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B4C35" w14:textId="77777777" w:rsidR="00C345C4" w:rsidRDefault="00C345C4" w:rsidP="00C345C4">
      <w:pPr>
        <w:spacing w:after="0"/>
        <w:contextualSpacing/>
        <w:jc w:val="center"/>
        <w:rPr>
          <w:rFonts w:ascii="Avenir Next LT Pro" w:eastAsiaTheme="minorHAnsi" w:hAnsi="Avenir Next LT Pro"/>
        </w:rPr>
      </w:pPr>
    </w:p>
    <w:p w14:paraId="7D639A5C" w14:textId="77777777" w:rsidR="00C345C4" w:rsidRDefault="00C345C4" w:rsidP="00C345C4">
      <w:pPr>
        <w:spacing w:after="0"/>
        <w:contextualSpacing/>
        <w:jc w:val="center"/>
        <w:rPr>
          <w:rFonts w:ascii="Avenir Next LT Pro" w:eastAsiaTheme="minorHAnsi" w:hAnsi="Avenir Next LT Pro"/>
        </w:rPr>
      </w:pPr>
    </w:p>
    <w:p w14:paraId="4C640F51" w14:textId="140776C2" w:rsidR="00C56AAA" w:rsidRPr="002C77BE" w:rsidRDefault="00C56AAA" w:rsidP="00C345C4">
      <w:pPr>
        <w:spacing w:after="0"/>
        <w:contextualSpacing/>
        <w:jc w:val="center"/>
        <w:rPr>
          <w:rFonts w:ascii="Avenir Next LT Pro" w:eastAsiaTheme="minorHAnsi" w:hAnsi="Avenir Next LT Pro"/>
          <w:b/>
          <w:color w:val="3E762A" w:themeColor="accent1" w:themeShade="BF"/>
          <w:sz w:val="32"/>
          <w:szCs w:val="32"/>
        </w:rPr>
      </w:pPr>
      <w:r w:rsidRPr="002C77BE">
        <w:rPr>
          <w:rFonts w:ascii="Avenir Next LT Pro" w:eastAsiaTheme="minorHAnsi" w:hAnsi="Avenir Next LT Pro"/>
          <w:b/>
          <w:color w:val="3E762A" w:themeColor="accent1" w:themeShade="BF"/>
          <w:sz w:val="32"/>
          <w:szCs w:val="32"/>
        </w:rPr>
        <w:t>Fonds National REDD+ de la RDC</w:t>
      </w:r>
    </w:p>
    <w:p w14:paraId="35AC847F" w14:textId="2BF5FA17" w:rsidR="00C56AAA" w:rsidRPr="00C345C4" w:rsidRDefault="00C56AAA" w:rsidP="00C345C4">
      <w:pPr>
        <w:spacing w:after="0"/>
        <w:contextualSpacing/>
        <w:jc w:val="center"/>
        <w:rPr>
          <w:rFonts w:ascii="Avenir Next LT Pro" w:hAnsi="Avenir Next LT Pro"/>
        </w:rPr>
      </w:pPr>
      <w:r w:rsidRPr="00C345C4">
        <w:rPr>
          <w:rFonts w:ascii="Avenir Next LT Pro" w:eastAsiaTheme="minorHAnsi" w:hAnsi="Avenir Next LT Pro"/>
          <w:sz w:val="20"/>
          <w:szCs w:val="20"/>
        </w:rPr>
        <w:t>Vers une mobilisation de la finance climat pour le développement durable de la RDC</w:t>
      </w:r>
    </w:p>
    <w:p w14:paraId="345A355D" w14:textId="77777777" w:rsidR="00C345C4" w:rsidRDefault="00C345C4" w:rsidP="00C345C4">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pacing w:after="0"/>
        <w:contextualSpacing/>
        <w:jc w:val="center"/>
        <w:rPr>
          <w:rFonts w:ascii="Avenir Next LT Pro" w:eastAsiaTheme="minorHAnsi" w:hAnsi="Avenir Next LT Pro"/>
          <w:b/>
          <w:sz w:val="24"/>
          <w:szCs w:val="20"/>
        </w:rPr>
      </w:pPr>
    </w:p>
    <w:p w14:paraId="2E1A94BF" w14:textId="22198809" w:rsidR="00C56AAA" w:rsidRPr="00C345C4" w:rsidRDefault="00C56AAA" w:rsidP="00117F78">
      <w:pPr>
        <w:tabs>
          <w:tab w:val="left" w:pos="775"/>
          <w:tab w:val="left" w:pos="1440"/>
          <w:tab w:val="left" w:pos="2160"/>
          <w:tab w:val="left" w:pos="2880"/>
          <w:tab w:val="left" w:pos="3600"/>
          <w:tab w:val="left" w:pos="4320"/>
          <w:tab w:val="center" w:pos="4535"/>
          <w:tab w:val="left" w:pos="5040"/>
          <w:tab w:val="left" w:pos="5760"/>
          <w:tab w:val="left" w:pos="6480"/>
          <w:tab w:val="left" w:pos="7200"/>
          <w:tab w:val="left" w:pos="7901"/>
        </w:tabs>
        <w:spacing w:after="0"/>
        <w:contextualSpacing/>
        <w:jc w:val="center"/>
        <w:rPr>
          <w:rFonts w:ascii="Avenir Next LT Pro" w:eastAsiaTheme="minorEastAsia" w:hAnsi="Avenir Next LT Pro"/>
          <w:b/>
          <w:sz w:val="24"/>
          <w:szCs w:val="24"/>
        </w:rPr>
      </w:pPr>
      <w:r w:rsidRPr="0F0B1BF0">
        <w:rPr>
          <w:rFonts w:ascii="Avenir Next LT Pro" w:eastAsiaTheme="minorEastAsia" w:hAnsi="Avenir Next LT Pro"/>
          <w:b/>
          <w:sz w:val="24"/>
          <w:szCs w:val="24"/>
        </w:rPr>
        <w:t xml:space="preserve">Modèle de Document de </w:t>
      </w:r>
      <w:r w:rsidR="004D0BE1" w:rsidRPr="0F0B1BF0">
        <w:rPr>
          <w:rFonts w:ascii="Avenir Next LT Pro" w:eastAsiaTheme="minorEastAsia" w:hAnsi="Avenir Next LT Pro"/>
          <w:b/>
          <w:sz w:val="24"/>
          <w:szCs w:val="24"/>
        </w:rPr>
        <w:t xml:space="preserve">Projet </w:t>
      </w:r>
      <w:r w:rsidRPr="0F0B1BF0">
        <w:rPr>
          <w:rFonts w:ascii="Avenir Next LT Pro" w:eastAsiaTheme="minorEastAsia" w:hAnsi="Avenir Next LT Pro"/>
          <w:b/>
          <w:sz w:val="24"/>
          <w:szCs w:val="24"/>
        </w:rPr>
        <w:t>REDD+</w:t>
      </w:r>
    </w:p>
    <w:p w14:paraId="7CEA4DA1" w14:textId="77777777" w:rsidR="00C345C4" w:rsidRPr="00C345C4" w:rsidRDefault="00C345C4" w:rsidP="00EE69F4">
      <w:pPr>
        <w:keepNext/>
        <w:keepLines/>
        <w:spacing w:after="0"/>
        <w:ind w:right="113"/>
        <w:contextualSpacing/>
        <w:jc w:val="center"/>
        <w:rPr>
          <w:rFonts w:ascii="Avenir Next LT Pro" w:eastAsiaTheme="minorHAnsi" w:hAnsi="Avenir Next LT Pro"/>
          <w:b/>
          <w:sz w:val="32"/>
        </w:rPr>
      </w:pPr>
    </w:p>
    <w:tbl>
      <w:tblPr>
        <w:tblW w:w="9356" w:type="dxa"/>
        <w:tblInd w:w="-147" w:type="dxa"/>
        <w:tblLayout w:type="fixed"/>
        <w:tblLook w:val="01E0" w:firstRow="1" w:lastRow="1" w:firstColumn="1" w:lastColumn="1" w:noHBand="0" w:noVBand="0"/>
      </w:tblPr>
      <w:tblGrid>
        <w:gridCol w:w="4395"/>
        <w:gridCol w:w="425"/>
        <w:gridCol w:w="4536"/>
      </w:tblGrid>
      <w:tr w:rsidR="00DC7AEA" w:rsidRPr="00C345C4" w14:paraId="23D51C9B" w14:textId="77777777" w:rsidTr="0085123F">
        <w:trPr>
          <w:trHeight w:val="206"/>
        </w:trPr>
        <w:tc>
          <w:tcPr>
            <w:tcW w:w="4395" w:type="dxa"/>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E8464B3" w14:textId="77777777" w:rsidR="00C56AAA" w:rsidRPr="00C345C4" w:rsidRDefault="00C56AAA" w:rsidP="00EE69F4">
            <w:pPr>
              <w:spacing w:after="0"/>
              <w:contextualSpacing/>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Organisation(s) </w:t>
            </w:r>
            <w:r w:rsidRPr="00C345C4">
              <w:rPr>
                <w:rFonts w:ascii="Avenir Next LT Pro" w:eastAsia="Times New Roman" w:hAnsi="Avenir Next LT Pro"/>
                <w:b/>
                <w:bCs/>
                <w:snapToGrid w:val="0"/>
                <w:color w:val="000000"/>
                <w:kern w:val="32"/>
                <w:sz w:val="20"/>
                <w:szCs w:val="20"/>
              </w:rPr>
              <w:t>de mise en œuvre :</w:t>
            </w:r>
          </w:p>
        </w:tc>
        <w:tc>
          <w:tcPr>
            <w:tcW w:w="425" w:type="dxa"/>
            <w:vMerge w:val="restart"/>
            <w:tcBorders>
              <w:left w:val="single" w:sz="4" w:space="0" w:color="auto"/>
              <w:right w:val="single" w:sz="4" w:space="0" w:color="auto"/>
            </w:tcBorders>
          </w:tcPr>
          <w:p w14:paraId="5817E897" w14:textId="77777777" w:rsidR="00C56AAA" w:rsidRPr="00C345C4" w:rsidRDefault="00C56AAA" w:rsidP="00EE69F4">
            <w:pPr>
              <w:spacing w:after="0"/>
              <w:contextualSpacing/>
              <w:rPr>
                <w:rFonts w:ascii="Avenir Next LT Pro" w:eastAsiaTheme="minorHAnsi" w:hAnsi="Avenir Next LT Pro"/>
                <w:sz w:val="20"/>
                <w:szCs w:val="20"/>
              </w:rPr>
            </w:pPr>
          </w:p>
        </w:tc>
        <w:tc>
          <w:tcPr>
            <w:tcW w:w="4536" w:type="dxa"/>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842C039" w14:textId="5786BAA4" w:rsidR="00C56AAA" w:rsidRPr="00C345C4" w:rsidRDefault="00EE69F4" w:rsidP="00EE69F4">
            <w:pPr>
              <w:spacing w:after="0"/>
              <w:contextualSpacing/>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Numéro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r>
      <w:tr w:rsidR="00E4181B" w:rsidRPr="00C345C4" w14:paraId="5BF24BE1" w14:textId="77777777" w:rsidTr="00B24D0D">
        <w:trPr>
          <w:trHeight w:val="495"/>
        </w:trPr>
        <w:tc>
          <w:tcPr>
            <w:tcW w:w="4395" w:type="dxa"/>
            <w:tcBorders>
              <w:top w:val="single" w:sz="4" w:space="0" w:color="auto"/>
              <w:left w:val="single" w:sz="4" w:space="0" w:color="auto"/>
              <w:bottom w:val="single" w:sz="4" w:space="0" w:color="auto"/>
              <w:right w:val="single" w:sz="4" w:space="0" w:color="auto"/>
            </w:tcBorders>
          </w:tcPr>
          <w:p w14:paraId="41B72E3D" w14:textId="4C2B2747" w:rsidR="00C56AAA" w:rsidRPr="00C345C4" w:rsidRDefault="003B4456" w:rsidP="00527A46">
            <w:pPr>
              <w:widowControl w:val="0"/>
              <w:spacing w:after="0"/>
              <w:contextualSpacing/>
              <w:rPr>
                <w:rFonts w:ascii="Avenir Next LT Pro" w:eastAsia="Times New Roman" w:hAnsi="Avenir Next LT Pro"/>
                <w:snapToGrid w:val="0"/>
                <w:sz w:val="20"/>
                <w:szCs w:val="20"/>
              </w:rPr>
            </w:pPr>
            <w:r>
              <w:rPr>
                <w:rFonts w:ascii="Avenir Next LT Pro" w:eastAsia="Times New Roman" w:hAnsi="Avenir Next LT Pro"/>
                <w:snapToGrid w:val="0"/>
                <w:sz w:val="20"/>
                <w:szCs w:val="20"/>
              </w:rPr>
              <w:t xml:space="preserve">Programme des Nations Unies </w:t>
            </w:r>
            <w:r w:rsidR="0040667A">
              <w:rPr>
                <w:rFonts w:ascii="Avenir Next LT Pro" w:eastAsia="Times New Roman" w:hAnsi="Avenir Next LT Pro"/>
                <w:snapToGrid w:val="0"/>
                <w:sz w:val="20"/>
                <w:szCs w:val="20"/>
              </w:rPr>
              <w:t xml:space="preserve">pour le </w:t>
            </w:r>
            <w:r w:rsidR="00F04943" w:rsidRPr="00F04943">
              <w:rPr>
                <w:rFonts w:ascii="Avenir Next LT Pro" w:eastAsia="Times New Roman" w:hAnsi="Avenir Next LT Pro"/>
                <w:snapToGrid w:val="0"/>
                <w:sz w:val="20"/>
                <w:szCs w:val="20"/>
              </w:rPr>
              <w:t>Développement</w:t>
            </w:r>
            <w:r w:rsidR="00F04943">
              <w:rPr>
                <w:rFonts w:ascii="Avenir Next LT Pro" w:eastAsia="Times New Roman" w:hAnsi="Avenir Next LT Pro"/>
                <w:snapToGrid w:val="0"/>
                <w:sz w:val="20"/>
                <w:szCs w:val="20"/>
              </w:rPr>
              <w:t xml:space="preserve"> (PNUD)</w:t>
            </w:r>
          </w:p>
        </w:tc>
        <w:tc>
          <w:tcPr>
            <w:tcW w:w="425" w:type="dxa"/>
            <w:vMerge/>
            <w:tcBorders>
              <w:left w:val="single" w:sz="4" w:space="0" w:color="auto"/>
              <w:right w:val="single" w:sz="4" w:space="0" w:color="auto"/>
            </w:tcBorders>
          </w:tcPr>
          <w:p w14:paraId="2B75C263"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4536" w:type="dxa"/>
            <w:tcBorders>
              <w:top w:val="single" w:sz="4" w:space="0" w:color="auto"/>
              <w:left w:val="single" w:sz="4" w:space="0" w:color="auto"/>
              <w:bottom w:val="single" w:sz="4" w:space="0" w:color="auto"/>
              <w:right w:val="single" w:sz="4" w:space="0" w:color="auto"/>
            </w:tcBorders>
          </w:tcPr>
          <w:p w14:paraId="5FAF1CD7"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r>
    </w:tbl>
    <w:p w14:paraId="7955E687" w14:textId="745102E5" w:rsidR="00C56AAA" w:rsidRPr="00C345C4" w:rsidRDefault="00C56AAA" w:rsidP="00EE69F4">
      <w:pPr>
        <w:spacing w:after="0"/>
        <w:contextualSpacing/>
        <w:rPr>
          <w:rFonts w:ascii="Avenir Next LT Pro" w:eastAsiaTheme="minorHAnsi" w:hAnsi="Avenir Next LT Pro"/>
          <w:sz w:val="20"/>
          <w:szCs w:val="20"/>
        </w:rPr>
      </w:pPr>
    </w:p>
    <w:tbl>
      <w:tblPr>
        <w:tblW w:w="9566" w:type="dxa"/>
        <w:tblInd w:w="-147" w:type="dxa"/>
        <w:tblLayout w:type="fixed"/>
        <w:tblLook w:val="01E0" w:firstRow="1" w:lastRow="1" w:firstColumn="1" w:lastColumn="1" w:noHBand="0" w:noVBand="0"/>
      </w:tblPr>
      <w:tblGrid>
        <w:gridCol w:w="9330"/>
        <w:gridCol w:w="236"/>
      </w:tblGrid>
      <w:tr w:rsidR="00E4181B" w:rsidRPr="00C345C4" w14:paraId="0E5D6265" w14:textId="77777777" w:rsidTr="0085123F">
        <w:trPr>
          <w:trHeight w:val="388"/>
        </w:trPr>
        <w:tc>
          <w:tcPr>
            <w:tcW w:w="9330" w:type="dxa"/>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66AEA14" w14:textId="74441DF9" w:rsidR="00EE69F4" w:rsidRPr="00C345C4" w:rsidRDefault="00EE69F4" w:rsidP="00B24D0D">
            <w:pPr>
              <w:spacing w:after="0"/>
              <w:ind w:right="-278"/>
              <w:contextualSpacing/>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Titre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REDD+ </w:t>
            </w:r>
            <w:r w:rsidR="00843684" w:rsidRPr="00C345C4">
              <w:rPr>
                <w:rFonts w:ascii="Avenir Next LT Pro" w:eastAsia="Times New Roman" w:hAnsi="Avenir Next LT Pro"/>
                <w:b/>
                <w:bCs/>
                <w:snapToGrid w:val="0"/>
                <w:kern w:val="32"/>
                <w:sz w:val="20"/>
                <w:szCs w:val="20"/>
              </w:rPr>
              <w:t>et date de soumission officielle de la présente version</w:t>
            </w:r>
            <w:r w:rsidR="00DF0142" w:rsidRPr="00C345C4">
              <w:rPr>
                <w:rFonts w:ascii="Avenir Next LT Pro" w:eastAsia="Times New Roman" w:hAnsi="Avenir Next LT Pro"/>
                <w:b/>
                <w:bCs/>
                <w:snapToGrid w:val="0"/>
                <w:kern w:val="32"/>
                <w:sz w:val="20"/>
                <w:szCs w:val="20"/>
              </w:rPr>
              <w:t xml:space="preserve"> </w:t>
            </w:r>
            <w:r w:rsidRPr="00C345C4">
              <w:rPr>
                <w:rFonts w:ascii="Avenir Next LT Pro" w:eastAsia="Times New Roman" w:hAnsi="Avenir Next LT Pro"/>
                <w:b/>
                <w:bCs/>
                <w:snapToGrid w:val="0"/>
                <w:kern w:val="32"/>
                <w:sz w:val="20"/>
                <w:szCs w:val="20"/>
              </w:rPr>
              <w:t>:</w:t>
            </w:r>
          </w:p>
        </w:tc>
        <w:tc>
          <w:tcPr>
            <w:tcW w:w="236" w:type="dxa"/>
            <w:vMerge w:val="restart"/>
            <w:tcBorders>
              <w:left w:val="single" w:sz="4" w:space="0" w:color="auto"/>
            </w:tcBorders>
          </w:tcPr>
          <w:p w14:paraId="1EA2C7B3" w14:textId="77777777" w:rsidR="00EE69F4" w:rsidRPr="00C345C4" w:rsidRDefault="00EE69F4" w:rsidP="00643A0C">
            <w:pPr>
              <w:spacing w:after="0"/>
              <w:contextualSpacing/>
              <w:rPr>
                <w:rFonts w:ascii="Avenir Next LT Pro" w:eastAsiaTheme="minorHAnsi" w:hAnsi="Avenir Next LT Pro"/>
                <w:sz w:val="20"/>
                <w:szCs w:val="20"/>
              </w:rPr>
            </w:pPr>
          </w:p>
        </w:tc>
      </w:tr>
      <w:tr w:rsidR="00EE69F4" w:rsidRPr="00C345C4" w14:paraId="4EC8F5F4" w14:textId="77777777" w:rsidTr="00B24D0D">
        <w:trPr>
          <w:trHeight w:val="476"/>
        </w:trPr>
        <w:tc>
          <w:tcPr>
            <w:tcW w:w="9330" w:type="dxa"/>
            <w:tcBorders>
              <w:top w:val="single" w:sz="4" w:space="0" w:color="auto"/>
              <w:left w:val="single" w:sz="4" w:space="0" w:color="auto"/>
              <w:bottom w:val="single" w:sz="4" w:space="0" w:color="auto"/>
              <w:right w:val="single" w:sz="4" w:space="0" w:color="auto"/>
            </w:tcBorders>
            <w:shd w:val="clear" w:color="auto" w:fill="auto"/>
          </w:tcPr>
          <w:p w14:paraId="5F71F5E1" w14:textId="4369785E" w:rsidR="00406615" w:rsidRDefault="00F549B3" w:rsidP="00643A0C">
            <w:pPr>
              <w:widowControl w:val="0"/>
              <w:spacing w:after="0"/>
              <w:contextualSpacing/>
              <w:jc w:val="both"/>
              <w:rPr>
                <w:rFonts w:ascii="Avenir Next LT Pro" w:eastAsia="Times New Roman" w:hAnsi="Avenir Next LT Pro"/>
                <w:snapToGrid w:val="0"/>
                <w:sz w:val="20"/>
                <w:szCs w:val="20"/>
              </w:rPr>
            </w:pPr>
            <w:r w:rsidRPr="00F549B3">
              <w:rPr>
                <w:rFonts w:ascii="Avenir Next LT Pro" w:eastAsia="Times New Roman" w:hAnsi="Avenir Next LT Pro"/>
                <w:snapToGrid w:val="0"/>
                <w:sz w:val="20"/>
                <w:szCs w:val="20"/>
              </w:rPr>
              <w:t>Projet d’appui au développement des marchés du carbone et à la coordination de la Contribution Déterminée Nationale en République Démocratique du Congo « Programme Marché Carbone &amp; CDN »</w:t>
            </w:r>
            <w:r>
              <w:rPr>
                <w:rFonts w:ascii="Avenir Next LT Pro" w:eastAsia="Times New Roman" w:hAnsi="Avenir Next LT Pro"/>
                <w:snapToGrid w:val="0"/>
                <w:sz w:val="20"/>
                <w:szCs w:val="20"/>
              </w:rPr>
              <w:t> </w:t>
            </w:r>
          </w:p>
          <w:p w14:paraId="2F94769D" w14:textId="74EA66AD" w:rsidR="00EE69F4" w:rsidRPr="00C345C4" w:rsidRDefault="00327A6A" w:rsidP="00643A0C">
            <w:pPr>
              <w:widowControl w:val="0"/>
              <w:spacing w:after="0"/>
              <w:contextualSpacing/>
              <w:jc w:val="both"/>
              <w:rPr>
                <w:rFonts w:ascii="Avenir Next LT Pro" w:eastAsia="Times New Roman" w:hAnsi="Avenir Next LT Pro"/>
                <w:snapToGrid w:val="0"/>
                <w:sz w:val="20"/>
                <w:szCs w:val="20"/>
              </w:rPr>
            </w:pPr>
            <w:r>
              <w:rPr>
                <w:rFonts w:ascii="Avenir Next LT Pro" w:eastAsia="Times New Roman" w:hAnsi="Avenir Next LT Pro"/>
                <w:snapToGrid w:val="0"/>
                <w:sz w:val="20"/>
                <w:szCs w:val="20"/>
              </w:rPr>
              <w:t xml:space="preserve">Date de </w:t>
            </w:r>
            <w:r w:rsidR="00406615">
              <w:rPr>
                <w:rFonts w:ascii="Avenir Next LT Pro" w:eastAsia="Times New Roman" w:hAnsi="Avenir Next LT Pro"/>
                <w:snapToGrid w:val="0"/>
                <w:sz w:val="20"/>
                <w:szCs w:val="20"/>
              </w:rPr>
              <w:t xml:space="preserve">la présente </w:t>
            </w:r>
            <w:r>
              <w:rPr>
                <w:rFonts w:ascii="Avenir Next LT Pro" w:eastAsia="Times New Roman" w:hAnsi="Avenir Next LT Pro"/>
                <w:snapToGrid w:val="0"/>
                <w:sz w:val="20"/>
                <w:szCs w:val="20"/>
              </w:rPr>
              <w:t>soumission</w:t>
            </w:r>
            <w:r w:rsidR="00406615">
              <w:rPr>
                <w:rFonts w:ascii="Avenir Next LT Pro" w:eastAsia="Times New Roman" w:hAnsi="Avenir Next LT Pro"/>
                <w:snapToGrid w:val="0"/>
                <w:sz w:val="20"/>
                <w:szCs w:val="20"/>
              </w:rPr>
              <w:t> : 29 juin 2024.</w:t>
            </w:r>
          </w:p>
        </w:tc>
        <w:tc>
          <w:tcPr>
            <w:tcW w:w="236" w:type="dxa"/>
            <w:vMerge/>
            <w:tcBorders>
              <w:left w:val="single" w:sz="4" w:space="0" w:color="auto"/>
            </w:tcBorders>
          </w:tcPr>
          <w:p w14:paraId="6D97282B" w14:textId="77777777" w:rsidR="00EE69F4" w:rsidRPr="00C345C4" w:rsidRDefault="00EE69F4" w:rsidP="00643A0C">
            <w:pPr>
              <w:widowControl w:val="0"/>
              <w:spacing w:after="0"/>
              <w:contextualSpacing/>
              <w:jc w:val="both"/>
              <w:rPr>
                <w:rFonts w:ascii="Avenir Next LT Pro" w:eastAsia="Times New Roman" w:hAnsi="Avenir Next LT Pro"/>
                <w:snapToGrid w:val="0"/>
                <w:sz w:val="20"/>
                <w:szCs w:val="20"/>
              </w:rPr>
            </w:pPr>
          </w:p>
        </w:tc>
      </w:tr>
    </w:tbl>
    <w:p w14:paraId="3714075A" w14:textId="77777777" w:rsidR="00EE69F4" w:rsidRPr="00C345C4" w:rsidRDefault="00EE69F4" w:rsidP="00EE69F4">
      <w:pPr>
        <w:spacing w:after="0"/>
        <w:contextualSpacing/>
        <w:rPr>
          <w:rFonts w:ascii="Avenir Next LT Pro" w:eastAsiaTheme="minorHAnsi" w:hAnsi="Avenir Next LT Pro"/>
          <w:sz w:val="20"/>
          <w:szCs w:val="20"/>
        </w:rPr>
      </w:pPr>
    </w:p>
    <w:tbl>
      <w:tblPr>
        <w:tblW w:w="9412" w:type="dxa"/>
        <w:tblInd w:w="-147" w:type="dxa"/>
        <w:tblLayout w:type="fixed"/>
        <w:tblLook w:val="01E0" w:firstRow="1" w:lastRow="1" w:firstColumn="1" w:lastColumn="1" w:noHBand="0" w:noVBand="0"/>
      </w:tblPr>
      <w:tblGrid>
        <w:gridCol w:w="3562"/>
        <w:gridCol w:w="810"/>
        <w:gridCol w:w="425"/>
        <w:gridCol w:w="4615"/>
      </w:tblGrid>
      <w:tr w:rsidR="00DC7AEA" w:rsidRPr="00C345C4" w14:paraId="772EEC66" w14:textId="77777777" w:rsidTr="00BD0EB0">
        <w:trPr>
          <w:trHeight w:val="476"/>
        </w:trPr>
        <w:tc>
          <w:tcPr>
            <w:tcW w:w="4372" w:type="dxa"/>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6F79C98B" w14:textId="69F89490" w:rsidR="00C56AAA" w:rsidRPr="00C345C4" w:rsidRDefault="00EE69F4" w:rsidP="00EE69F4">
            <w:pPr>
              <w:spacing w:after="0"/>
              <w:contextualSpacing/>
              <w:rPr>
                <w:rFonts w:ascii="Avenir Next LT Pro" w:eastAsia="Times New Roman" w:hAnsi="Avenir Next LT Pro"/>
                <w:b/>
                <w:bCs/>
                <w:i/>
                <w:iCs/>
                <w:snapToGrid w:val="0"/>
                <w:kern w:val="32"/>
                <w:sz w:val="20"/>
                <w:szCs w:val="20"/>
              </w:rPr>
            </w:pPr>
            <w:r w:rsidRPr="00C345C4">
              <w:rPr>
                <w:rFonts w:ascii="Avenir Next LT Pro" w:eastAsia="Times New Roman" w:hAnsi="Avenir Next LT Pro"/>
                <w:b/>
                <w:bCs/>
                <w:snapToGrid w:val="0"/>
                <w:kern w:val="32"/>
                <w:sz w:val="20"/>
                <w:szCs w:val="20"/>
              </w:rPr>
              <w:t>Responsable de l’Agence</w:t>
            </w:r>
            <w:r w:rsidR="00C56AAA" w:rsidRPr="00C345C4">
              <w:rPr>
                <w:rFonts w:ascii="Avenir Next LT Pro" w:eastAsia="Times New Roman" w:hAnsi="Avenir Next LT Pro"/>
                <w:b/>
                <w:bCs/>
                <w:snapToGrid w:val="0"/>
                <w:kern w:val="32"/>
                <w:sz w:val="20"/>
                <w:szCs w:val="20"/>
              </w:rPr>
              <w:t> :</w:t>
            </w:r>
            <w:r w:rsidR="00E54753">
              <w:rPr>
                <w:rFonts w:ascii="Avenir Next LT Pro" w:eastAsia="Times New Roman" w:hAnsi="Avenir Next LT Pro"/>
                <w:b/>
                <w:bCs/>
                <w:snapToGrid w:val="0"/>
                <w:kern w:val="32"/>
                <w:sz w:val="20"/>
                <w:szCs w:val="20"/>
              </w:rPr>
              <w:t xml:space="preserve"> PNUD</w:t>
            </w:r>
          </w:p>
        </w:tc>
        <w:tc>
          <w:tcPr>
            <w:tcW w:w="425" w:type="dxa"/>
            <w:vMerge w:val="restart"/>
            <w:tcBorders>
              <w:left w:val="single" w:sz="4" w:space="0" w:color="auto"/>
              <w:bottom w:val="single" w:sz="4" w:space="0" w:color="auto"/>
              <w:right w:val="single" w:sz="4" w:space="0" w:color="auto"/>
            </w:tcBorders>
          </w:tcPr>
          <w:p w14:paraId="2E35C71E" w14:textId="77777777" w:rsidR="00C56AAA" w:rsidRPr="00C345C4" w:rsidRDefault="00C56AAA" w:rsidP="00EE69F4">
            <w:pPr>
              <w:spacing w:after="0"/>
              <w:contextualSpacing/>
              <w:rPr>
                <w:rFonts w:ascii="Avenir Next LT Pro" w:eastAsiaTheme="minorHAnsi" w:hAnsi="Avenir Next LT Pro"/>
                <w:sz w:val="20"/>
                <w:szCs w:val="20"/>
              </w:rPr>
            </w:pPr>
          </w:p>
        </w:tc>
        <w:tc>
          <w:tcPr>
            <w:tcW w:w="4615" w:type="dxa"/>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602499D8" w14:textId="42E0E947" w:rsidR="00C56AAA" w:rsidRPr="00C345C4" w:rsidRDefault="00C56AAA" w:rsidP="00EE69F4">
            <w:pPr>
              <w:spacing w:after="0"/>
              <w:contextualSpacing/>
              <w:rPr>
                <w:rFonts w:ascii="Avenir Next LT Pro" w:eastAsia="Times New Roman" w:hAnsi="Avenir Next LT Pro"/>
                <w:b/>
                <w:bCs/>
                <w:i/>
                <w:iCs/>
                <w:snapToGrid w:val="0"/>
                <w:kern w:val="32"/>
                <w:sz w:val="20"/>
                <w:szCs w:val="20"/>
              </w:rPr>
            </w:pPr>
            <w:r w:rsidRPr="00C345C4">
              <w:rPr>
                <w:rFonts w:ascii="Avenir Next LT Pro" w:eastAsia="Times New Roman" w:hAnsi="Avenir Next LT Pro"/>
                <w:b/>
                <w:bCs/>
                <w:iCs/>
                <w:snapToGrid w:val="0"/>
                <w:kern w:val="32"/>
                <w:sz w:val="20"/>
                <w:szCs w:val="20"/>
              </w:rPr>
              <w:t>Chef de file gouvernemental :</w:t>
            </w:r>
            <w:r w:rsidR="00C56B47">
              <w:rPr>
                <w:rFonts w:ascii="Avenir Next LT Pro" w:eastAsia="Times New Roman" w:hAnsi="Avenir Next LT Pro"/>
                <w:b/>
                <w:bCs/>
                <w:iCs/>
                <w:snapToGrid w:val="0"/>
                <w:kern w:val="32"/>
                <w:sz w:val="20"/>
                <w:szCs w:val="20"/>
              </w:rPr>
              <w:t xml:space="preserve"> </w:t>
            </w:r>
            <w:r w:rsidR="000E0DE2" w:rsidRPr="000E0DE2">
              <w:rPr>
                <w:rFonts w:ascii="Avenir Next LT Pro" w:eastAsia="Times New Roman" w:hAnsi="Avenir Next LT Pro"/>
                <w:b/>
                <w:bCs/>
                <w:iCs/>
                <w:snapToGrid w:val="0"/>
                <w:kern w:val="32"/>
                <w:sz w:val="20"/>
                <w:szCs w:val="20"/>
              </w:rPr>
              <w:t xml:space="preserve">Ministère de l’Environnement et Développement Durable </w:t>
            </w:r>
          </w:p>
        </w:tc>
      </w:tr>
      <w:tr w:rsidR="00B66F7D" w:rsidRPr="00C345C4" w14:paraId="01877C4E" w14:textId="77777777" w:rsidTr="0068224E">
        <w:trPr>
          <w:trHeight w:val="476"/>
        </w:trPr>
        <w:tc>
          <w:tcPr>
            <w:tcW w:w="3562" w:type="dxa"/>
            <w:tcBorders>
              <w:top w:val="single" w:sz="4" w:space="0" w:color="auto"/>
              <w:left w:val="single" w:sz="4" w:space="0" w:color="auto"/>
            </w:tcBorders>
            <w:shd w:val="clear" w:color="auto" w:fill="auto"/>
          </w:tcPr>
          <w:p w14:paraId="529513FA" w14:textId="35CFF891" w:rsidR="00B66F7D" w:rsidRPr="004141D9" w:rsidRDefault="00B66F7D"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Nom :</w:t>
            </w:r>
            <w:r>
              <w:rPr>
                <w:rFonts w:ascii="Avenir Next LT Pro" w:eastAsia="Times New Roman" w:hAnsi="Avenir Next LT Pro"/>
                <w:b/>
                <w:bCs/>
                <w:iCs/>
                <w:snapToGrid w:val="0"/>
                <w:sz w:val="20"/>
                <w:szCs w:val="20"/>
              </w:rPr>
              <w:t xml:space="preserve"> </w:t>
            </w:r>
            <w:r w:rsidRPr="004141D9">
              <w:rPr>
                <w:rFonts w:ascii="Avenir Next LT Pro" w:eastAsia="Times New Roman" w:hAnsi="Avenir Next LT Pro"/>
                <w:b/>
                <w:bCs/>
                <w:iCs/>
                <w:snapToGrid w:val="0"/>
                <w:sz w:val="20"/>
                <w:szCs w:val="20"/>
              </w:rPr>
              <w:t>Damien M</w:t>
            </w:r>
            <w:r w:rsidR="004141D9" w:rsidRPr="004141D9">
              <w:rPr>
                <w:rFonts w:ascii="Avenir Next LT Pro" w:eastAsia="Times New Roman" w:hAnsi="Avenir Next LT Pro"/>
                <w:b/>
                <w:bCs/>
                <w:iCs/>
                <w:snapToGrid w:val="0"/>
                <w:sz w:val="20"/>
                <w:szCs w:val="20"/>
              </w:rPr>
              <w:t>ama</w:t>
            </w:r>
          </w:p>
          <w:p w14:paraId="08295704" w14:textId="77777777" w:rsidR="00B66F7D" w:rsidRPr="00C345C4" w:rsidRDefault="00B66F7D" w:rsidP="00EE69F4">
            <w:pPr>
              <w:spacing w:after="0"/>
              <w:contextualSpacing/>
              <w:rPr>
                <w:rFonts w:ascii="Avenir Next LT Pro" w:eastAsia="Times New Roman" w:hAnsi="Avenir Next LT Pro"/>
                <w:b/>
                <w:bCs/>
                <w:iCs/>
                <w:snapToGrid w:val="0"/>
                <w:sz w:val="20"/>
                <w:szCs w:val="20"/>
              </w:rPr>
            </w:pPr>
          </w:p>
          <w:p w14:paraId="1613B5FE" w14:textId="42AB4500" w:rsidR="00B66F7D" w:rsidRPr="00C345C4" w:rsidRDefault="00B66F7D"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Fonction :</w:t>
            </w:r>
            <w:r>
              <w:t xml:space="preserve"> </w:t>
            </w:r>
            <w:r w:rsidRPr="007D4C43">
              <w:rPr>
                <w:rFonts w:ascii="Avenir Next LT Pro" w:eastAsia="Times New Roman" w:hAnsi="Avenir Next LT Pro"/>
                <w:iCs/>
                <w:snapToGrid w:val="0"/>
                <w:sz w:val="20"/>
                <w:szCs w:val="20"/>
              </w:rPr>
              <w:t>Représentant Résident</w:t>
            </w:r>
          </w:p>
          <w:p w14:paraId="5E300BB3" w14:textId="30C87A97" w:rsidR="00B66F7D" w:rsidRPr="00C345C4" w:rsidRDefault="00B66F7D" w:rsidP="00EE69F4">
            <w:pPr>
              <w:spacing w:after="0"/>
              <w:contextualSpacing/>
              <w:rPr>
                <w:rFonts w:ascii="Avenir Next LT Pro" w:eastAsia="Times New Roman" w:hAnsi="Avenir Next LT Pro"/>
                <w:b/>
                <w:bCs/>
                <w:iCs/>
                <w:snapToGrid w:val="0"/>
                <w:sz w:val="20"/>
                <w:szCs w:val="20"/>
              </w:rPr>
            </w:pPr>
          </w:p>
        </w:tc>
        <w:tc>
          <w:tcPr>
            <w:tcW w:w="810" w:type="dxa"/>
            <w:tcBorders>
              <w:top w:val="single" w:sz="4" w:space="0" w:color="auto"/>
              <w:left w:val="nil"/>
              <w:right w:val="single" w:sz="4" w:space="0" w:color="auto"/>
            </w:tcBorders>
            <w:shd w:val="clear" w:color="auto" w:fill="auto"/>
          </w:tcPr>
          <w:p w14:paraId="743DBB99" w14:textId="77777777" w:rsidR="00B66F7D" w:rsidRPr="00C345C4" w:rsidRDefault="00B66F7D" w:rsidP="00EE69F4">
            <w:pPr>
              <w:spacing w:after="0"/>
              <w:contextualSpacing/>
              <w:rPr>
                <w:rFonts w:ascii="Avenir Next LT Pro" w:eastAsia="Times New Roman" w:hAnsi="Avenir Next LT Pro"/>
                <w:b/>
                <w:bCs/>
                <w:snapToGrid w:val="0"/>
                <w:kern w:val="32"/>
                <w:sz w:val="20"/>
                <w:szCs w:val="20"/>
              </w:rPr>
            </w:pPr>
          </w:p>
        </w:tc>
        <w:tc>
          <w:tcPr>
            <w:tcW w:w="425" w:type="dxa"/>
            <w:vMerge/>
            <w:tcBorders>
              <w:top w:val="single" w:sz="4" w:space="0" w:color="auto"/>
              <w:left w:val="single" w:sz="4" w:space="0" w:color="auto"/>
              <w:right w:val="single" w:sz="4" w:space="0" w:color="auto"/>
            </w:tcBorders>
            <w:shd w:val="clear" w:color="auto" w:fill="auto"/>
          </w:tcPr>
          <w:p w14:paraId="7F52DA29" w14:textId="77777777" w:rsidR="00B66F7D" w:rsidRPr="00C345C4" w:rsidRDefault="00B66F7D" w:rsidP="00EE69F4">
            <w:pPr>
              <w:spacing w:after="0"/>
              <w:contextualSpacing/>
              <w:rPr>
                <w:rFonts w:ascii="Avenir Next LT Pro" w:eastAsia="Times New Roman" w:hAnsi="Avenir Next LT Pro"/>
                <w:b/>
                <w:bCs/>
                <w:snapToGrid w:val="0"/>
                <w:kern w:val="32"/>
                <w:sz w:val="20"/>
                <w:szCs w:val="20"/>
              </w:rPr>
            </w:pPr>
          </w:p>
        </w:tc>
        <w:tc>
          <w:tcPr>
            <w:tcW w:w="4615" w:type="dxa"/>
            <w:vMerge w:val="restart"/>
            <w:tcBorders>
              <w:top w:val="single" w:sz="4" w:space="0" w:color="auto"/>
              <w:left w:val="single" w:sz="4" w:space="0" w:color="auto"/>
              <w:right w:val="single" w:sz="4" w:space="0" w:color="auto"/>
            </w:tcBorders>
            <w:shd w:val="clear" w:color="auto" w:fill="auto"/>
          </w:tcPr>
          <w:p w14:paraId="15B38269" w14:textId="009643E2" w:rsidR="00B66F7D" w:rsidRDefault="00B66F7D" w:rsidP="00D2063B">
            <w:pPr>
              <w:spacing w:after="0" w:line="360" w:lineRule="auto"/>
              <w:ind w:right="160"/>
              <w:contextualSpacing/>
              <w:rPr>
                <w:rFonts w:ascii="Avenir Next LT Pro" w:eastAsia="Times New Roman" w:hAnsi="Avenir Next LT Pro"/>
                <w:iCs/>
                <w:snapToGrid w:val="0"/>
                <w:sz w:val="20"/>
                <w:szCs w:val="20"/>
              </w:rPr>
            </w:pPr>
            <w:r w:rsidRPr="00C345C4">
              <w:rPr>
                <w:rFonts w:ascii="Avenir Next LT Pro" w:eastAsia="Times New Roman" w:hAnsi="Avenir Next LT Pro"/>
                <w:b/>
                <w:bCs/>
                <w:iCs/>
                <w:snapToGrid w:val="0"/>
                <w:sz w:val="20"/>
                <w:szCs w:val="20"/>
              </w:rPr>
              <w:t>Nom :</w:t>
            </w:r>
            <w:r>
              <w:rPr>
                <w:rFonts w:ascii="Avenir Next LT Pro" w:eastAsia="Times New Roman" w:hAnsi="Avenir Next LT Pro"/>
                <w:b/>
                <w:bCs/>
                <w:iCs/>
                <w:snapToGrid w:val="0"/>
                <w:sz w:val="20"/>
                <w:szCs w:val="20"/>
              </w:rPr>
              <w:t xml:space="preserve"> </w:t>
            </w:r>
            <w:r w:rsidRPr="004141D9">
              <w:rPr>
                <w:rFonts w:ascii="Avenir Next LT Pro" w:eastAsia="Times New Roman" w:hAnsi="Avenir Next LT Pro"/>
                <w:b/>
                <w:bCs/>
                <w:iCs/>
                <w:snapToGrid w:val="0"/>
                <w:sz w:val="20"/>
                <w:szCs w:val="20"/>
              </w:rPr>
              <w:t xml:space="preserve">Eve </w:t>
            </w:r>
            <w:proofErr w:type="spellStart"/>
            <w:r w:rsidRPr="004141D9">
              <w:rPr>
                <w:rFonts w:ascii="Avenir Next LT Pro" w:eastAsia="Times New Roman" w:hAnsi="Avenir Next LT Pro"/>
                <w:b/>
                <w:bCs/>
                <w:iCs/>
                <w:snapToGrid w:val="0"/>
                <w:sz w:val="20"/>
                <w:szCs w:val="20"/>
              </w:rPr>
              <w:t>Bazaiba</w:t>
            </w:r>
            <w:proofErr w:type="spellEnd"/>
            <w:r w:rsidRPr="004141D9">
              <w:rPr>
                <w:rFonts w:ascii="Avenir Next LT Pro" w:eastAsia="Times New Roman" w:hAnsi="Avenir Next LT Pro"/>
                <w:b/>
                <w:bCs/>
                <w:iCs/>
                <w:snapToGrid w:val="0"/>
                <w:sz w:val="20"/>
                <w:szCs w:val="20"/>
              </w:rPr>
              <w:t xml:space="preserve"> </w:t>
            </w:r>
            <w:proofErr w:type="spellStart"/>
            <w:r w:rsidRPr="004141D9">
              <w:rPr>
                <w:rFonts w:ascii="Avenir Next LT Pro" w:eastAsia="Times New Roman" w:hAnsi="Avenir Next LT Pro"/>
                <w:b/>
                <w:bCs/>
                <w:iCs/>
                <w:snapToGrid w:val="0"/>
                <w:sz w:val="20"/>
                <w:szCs w:val="20"/>
              </w:rPr>
              <w:t>M</w:t>
            </w:r>
            <w:r w:rsidR="004141D9" w:rsidRPr="004141D9">
              <w:rPr>
                <w:rFonts w:ascii="Avenir Next LT Pro" w:eastAsia="Times New Roman" w:hAnsi="Avenir Next LT Pro"/>
                <w:b/>
                <w:bCs/>
                <w:iCs/>
                <w:snapToGrid w:val="0"/>
                <w:sz w:val="20"/>
                <w:szCs w:val="20"/>
              </w:rPr>
              <w:t>asuidi</w:t>
            </w:r>
            <w:proofErr w:type="spellEnd"/>
            <w:r w:rsidR="004141D9">
              <w:rPr>
                <w:rFonts w:ascii="Avenir Next LT Pro" w:eastAsia="Times New Roman" w:hAnsi="Avenir Next LT Pro"/>
                <w:iCs/>
                <w:snapToGrid w:val="0"/>
                <w:sz w:val="20"/>
                <w:szCs w:val="20"/>
              </w:rPr>
              <w:t xml:space="preserve"> </w:t>
            </w:r>
          </w:p>
          <w:p w14:paraId="229EB696" w14:textId="77777777" w:rsidR="00B66F7D" w:rsidRDefault="00B66F7D" w:rsidP="00D2063B">
            <w:pPr>
              <w:spacing w:after="0" w:line="360" w:lineRule="auto"/>
              <w:contextualSpacing/>
              <w:rPr>
                <w:rFonts w:ascii="Avenir Next LT Pro" w:eastAsia="Times New Roman" w:hAnsi="Avenir Next LT Pro"/>
                <w:iCs/>
                <w:snapToGrid w:val="0"/>
                <w:sz w:val="20"/>
                <w:szCs w:val="20"/>
              </w:rPr>
            </w:pPr>
            <w:r w:rsidRPr="00C345C4">
              <w:rPr>
                <w:rFonts w:ascii="Avenir Next LT Pro" w:eastAsia="Times New Roman" w:hAnsi="Avenir Next LT Pro"/>
                <w:b/>
                <w:bCs/>
                <w:iCs/>
                <w:snapToGrid w:val="0"/>
                <w:sz w:val="20"/>
                <w:szCs w:val="20"/>
              </w:rPr>
              <w:t>Fonction :</w:t>
            </w:r>
            <w:r>
              <w:t xml:space="preserve"> </w:t>
            </w:r>
            <w:r w:rsidRPr="00BD0EB0">
              <w:rPr>
                <w:rFonts w:ascii="Avenir Next LT Pro" w:eastAsia="Times New Roman" w:hAnsi="Avenir Next LT Pro"/>
                <w:iCs/>
                <w:snapToGrid w:val="0"/>
                <w:sz w:val="20"/>
                <w:szCs w:val="20"/>
              </w:rPr>
              <w:t>Ministre d’Etat, Ministre de l’Environnement et Développement Durable</w:t>
            </w:r>
          </w:p>
          <w:p w14:paraId="3DCF5410" w14:textId="77777777" w:rsidR="00B66F7D" w:rsidRDefault="00B66F7D" w:rsidP="00D2063B">
            <w:pPr>
              <w:spacing w:after="0" w:line="360" w:lineRule="auto"/>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Téléphone</w:t>
            </w:r>
            <w:r>
              <w:rPr>
                <w:rFonts w:ascii="Avenir Next LT Pro" w:eastAsia="Times New Roman" w:hAnsi="Avenir Next LT Pro"/>
                <w:b/>
                <w:bCs/>
                <w:iCs/>
                <w:snapToGrid w:val="0"/>
                <w:sz w:val="20"/>
                <w:szCs w:val="20"/>
              </w:rPr>
              <w:t> :</w:t>
            </w:r>
          </w:p>
          <w:p w14:paraId="0E3AD198" w14:textId="0FEB8C29" w:rsidR="00B66F7D" w:rsidRPr="00017BD2" w:rsidRDefault="00B66F7D" w:rsidP="00527A46">
            <w:pPr>
              <w:spacing w:after="120" w:line="360" w:lineRule="auto"/>
              <w:rPr>
                <w:rFonts w:ascii="Avenir Next LT Pro" w:eastAsia="Times New Roman" w:hAnsi="Avenir Next LT Pro"/>
                <w:b/>
                <w:bCs/>
                <w:iCs/>
                <w:snapToGrid w:val="0"/>
                <w:sz w:val="20"/>
                <w:szCs w:val="20"/>
              </w:rPr>
            </w:pPr>
            <w:r w:rsidRPr="00C418AD">
              <w:rPr>
                <w:rFonts w:ascii="Avenir Next LT Pro" w:eastAsia="Times New Roman" w:hAnsi="Avenir Next LT Pro"/>
                <w:b/>
                <w:bCs/>
                <w:iCs/>
                <w:snapToGrid w:val="0"/>
                <w:sz w:val="20"/>
                <w:szCs w:val="20"/>
              </w:rPr>
              <w:t>E-mail :</w:t>
            </w:r>
          </w:p>
        </w:tc>
      </w:tr>
      <w:tr w:rsidR="00B66F7D" w:rsidRPr="00C345C4" w14:paraId="3DAD2DAB" w14:textId="77777777" w:rsidTr="0068224E">
        <w:trPr>
          <w:trHeight w:val="476"/>
        </w:trPr>
        <w:tc>
          <w:tcPr>
            <w:tcW w:w="3562" w:type="dxa"/>
            <w:tcBorders>
              <w:left w:val="single" w:sz="4" w:space="0" w:color="auto"/>
            </w:tcBorders>
            <w:shd w:val="clear" w:color="auto" w:fill="auto"/>
          </w:tcPr>
          <w:p w14:paraId="45B865C5" w14:textId="615D42FD" w:rsidR="00B66F7D" w:rsidRPr="00BB6CB8" w:rsidRDefault="00B66F7D" w:rsidP="00EE69F4">
            <w:pPr>
              <w:spacing w:after="0"/>
              <w:ind w:right="-108"/>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Téléphone :</w:t>
            </w:r>
            <w:r>
              <w:rPr>
                <w:rFonts w:ascii="Avenir Next LT Pro" w:eastAsia="Times New Roman" w:hAnsi="Avenir Next LT Pro"/>
                <w:b/>
                <w:bCs/>
                <w:iCs/>
                <w:snapToGrid w:val="0"/>
                <w:sz w:val="20"/>
                <w:szCs w:val="20"/>
              </w:rPr>
              <w:t xml:space="preserve"> </w:t>
            </w:r>
            <w:r w:rsidRPr="00B67111">
              <w:rPr>
                <w:rFonts w:ascii="Avenir Next LT Pro" w:eastAsia="Times New Roman" w:hAnsi="Avenir Next LT Pro"/>
                <w:iCs/>
                <w:snapToGrid w:val="0"/>
                <w:sz w:val="20"/>
                <w:szCs w:val="20"/>
              </w:rPr>
              <w:t>+243 9 99 93 33</w:t>
            </w:r>
          </w:p>
        </w:tc>
        <w:tc>
          <w:tcPr>
            <w:tcW w:w="810" w:type="dxa"/>
            <w:tcBorders>
              <w:left w:val="nil"/>
              <w:right w:val="single" w:sz="4" w:space="0" w:color="auto"/>
            </w:tcBorders>
            <w:shd w:val="clear" w:color="auto" w:fill="auto"/>
          </w:tcPr>
          <w:p w14:paraId="4E252191" w14:textId="77777777" w:rsidR="00B66F7D" w:rsidRPr="00C345C4" w:rsidRDefault="00B66F7D" w:rsidP="00EE69F4">
            <w:pPr>
              <w:spacing w:after="0"/>
              <w:contextualSpacing/>
              <w:rPr>
                <w:rFonts w:ascii="Avenir Next LT Pro" w:eastAsia="Times New Roman" w:hAnsi="Avenir Next LT Pro"/>
                <w:b/>
                <w:bCs/>
                <w:snapToGrid w:val="0"/>
                <w:kern w:val="32"/>
                <w:sz w:val="20"/>
                <w:szCs w:val="20"/>
              </w:rPr>
            </w:pPr>
          </w:p>
        </w:tc>
        <w:tc>
          <w:tcPr>
            <w:tcW w:w="425" w:type="dxa"/>
            <w:vMerge/>
            <w:tcBorders>
              <w:left w:val="single" w:sz="4" w:space="0" w:color="auto"/>
              <w:right w:val="single" w:sz="4" w:space="0" w:color="auto"/>
            </w:tcBorders>
            <w:shd w:val="clear" w:color="auto" w:fill="auto"/>
          </w:tcPr>
          <w:p w14:paraId="0185854E" w14:textId="77777777" w:rsidR="00B66F7D" w:rsidRPr="00C345C4" w:rsidRDefault="00B66F7D" w:rsidP="00EE69F4">
            <w:pPr>
              <w:spacing w:after="0"/>
              <w:contextualSpacing/>
              <w:rPr>
                <w:rFonts w:ascii="Avenir Next LT Pro" w:eastAsia="Times New Roman" w:hAnsi="Avenir Next LT Pro"/>
                <w:b/>
                <w:bCs/>
                <w:snapToGrid w:val="0"/>
                <w:kern w:val="32"/>
                <w:sz w:val="20"/>
                <w:szCs w:val="20"/>
              </w:rPr>
            </w:pPr>
          </w:p>
        </w:tc>
        <w:tc>
          <w:tcPr>
            <w:tcW w:w="4615" w:type="dxa"/>
            <w:vMerge/>
            <w:tcBorders>
              <w:left w:val="single" w:sz="4" w:space="0" w:color="auto"/>
              <w:right w:val="single" w:sz="4" w:space="0" w:color="auto"/>
            </w:tcBorders>
            <w:shd w:val="clear" w:color="auto" w:fill="auto"/>
          </w:tcPr>
          <w:p w14:paraId="12C8D557" w14:textId="77777777" w:rsidR="00B66F7D" w:rsidRPr="00C345C4" w:rsidRDefault="00B66F7D" w:rsidP="00EE69F4">
            <w:pPr>
              <w:spacing w:after="0"/>
              <w:contextualSpacing/>
              <w:rPr>
                <w:rFonts w:ascii="Avenir Next LT Pro" w:eastAsia="Times New Roman" w:hAnsi="Avenir Next LT Pro"/>
                <w:b/>
                <w:bCs/>
                <w:iCs/>
                <w:snapToGrid w:val="0"/>
                <w:kern w:val="32"/>
                <w:sz w:val="20"/>
                <w:szCs w:val="20"/>
              </w:rPr>
            </w:pPr>
          </w:p>
        </w:tc>
      </w:tr>
      <w:tr w:rsidR="00B66F7D" w:rsidRPr="00FF672C" w14:paraId="37F1286D" w14:textId="77777777" w:rsidTr="00527A46">
        <w:trPr>
          <w:trHeight w:val="353"/>
        </w:trPr>
        <w:tc>
          <w:tcPr>
            <w:tcW w:w="3562" w:type="dxa"/>
            <w:tcBorders>
              <w:left w:val="single" w:sz="4" w:space="0" w:color="auto"/>
              <w:bottom w:val="single" w:sz="4" w:space="0" w:color="auto"/>
            </w:tcBorders>
            <w:shd w:val="clear" w:color="auto" w:fill="auto"/>
          </w:tcPr>
          <w:p w14:paraId="37BDC267" w14:textId="48ADE769" w:rsidR="00B66F7D" w:rsidRPr="0004411C" w:rsidRDefault="00B66F7D" w:rsidP="00EE69F4">
            <w:pPr>
              <w:spacing w:after="0"/>
              <w:contextualSpacing/>
              <w:rPr>
                <w:rFonts w:ascii="Avenir Next LT Pro" w:eastAsia="Times New Roman" w:hAnsi="Avenir Next LT Pro"/>
                <w:b/>
                <w:bCs/>
                <w:snapToGrid w:val="0"/>
                <w:kern w:val="32"/>
                <w:sz w:val="20"/>
                <w:szCs w:val="20"/>
                <w:lang w:val="de-DE"/>
              </w:rPr>
            </w:pPr>
            <w:proofErr w:type="spellStart"/>
            <w:proofErr w:type="gramStart"/>
            <w:r w:rsidRPr="0004411C">
              <w:rPr>
                <w:rFonts w:ascii="Avenir Next LT Pro" w:eastAsia="Times New Roman" w:hAnsi="Avenir Next LT Pro"/>
                <w:b/>
                <w:bCs/>
                <w:snapToGrid w:val="0"/>
                <w:kern w:val="32"/>
                <w:sz w:val="20"/>
                <w:szCs w:val="20"/>
                <w:lang w:val="de-DE"/>
              </w:rPr>
              <w:t>E-mail</w:t>
            </w:r>
            <w:proofErr w:type="spellEnd"/>
            <w:r w:rsidRPr="0004411C">
              <w:rPr>
                <w:rFonts w:ascii="Avenir Next LT Pro" w:eastAsia="Times New Roman" w:hAnsi="Avenir Next LT Pro"/>
                <w:b/>
                <w:bCs/>
                <w:snapToGrid w:val="0"/>
                <w:kern w:val="32"/>
                <w:sz w:val="20"/>
                <w:szCs w:val="20"/>
                <w:lang w:val="de-DE"/>
              </w:rPr>
              <w:t> :</w:t>
            </w:r>
            <w:proofErr w:type="gramEnd"/>
            <w:r w:rsidRPr="0004411C">
              <w:rPr>
                <w:rFonts w:ascii="Avenir Next LT Pro" w:eastAsia="Times New Roman" w:hAnsi="Avenir Next LT Pro"/>
                <w:b/>
                <w:bCs/>
                <w:snapToGrid w:val="0"/>
                <w:kern w:val="32"/>
                <w:sz w:val="20"/>
                <w:szCs w:val="20"/>
                <w:lang w:val="de-DE"/>
              </w:rPr>
              <w:t xml:space="preserve"> </w:t>
            </w:r>
            <w:r w:rsidRPr="0004411C">
              <w:rPr>
                <w:rFonts w:ascii="Avenir Next LT Pro" w:eastAsia="Times New Roman" w:hAnsi="Avenir Next LT Pro"/>
                <w:snapToGrid w:val="0"/>
                <w:kern w:val="32"/>
                <w:sz w:val="20"/>
                <w:szCs w:val="20"/>
                <w:lang w:val="de-DE"/>
              </w:rPr>
              <w:t>damien.mama@undp.org</w:t>
            </w:r>
          </w:p>
        </w:tc>
        <w:tc>
          <w:tcPr>
            <w:tcW w:w="810" w:type="dxa"/>
            <w:tcBorders>
              <w:left w:val="nil"/>
              <w:bottom w:val="single" w:sz="4" w:space="0" w:color="auto"/>
              <w:right w:val="single" w:sz="4" w:space="0" w:color="auto"/>
            </w:tcBorders>
            <w:shd w:val="clear" w:color="auto" w:fill="auto"/>
          </w:tcPr>
          <w:p w14:paraId="05D7B5A0" w14:textId="77777777" w:rsidR="00B66F7D" w:rsidRPr="0004411C" w:rsidRDefault="00B66F7D" w:rsidP="00C56B47">
            <w:pPr>
              <w:spacing w:after="0"/>
              <w:ind w:left="230"/>
              <w:contextualSpacing/>
              <w:rPr>
                <w:rFonts w:ascii="Avenir Next LT Pro" w:eastAsia="Times New Roman" w:hAnsi="Avenir Next LT Pro"/>
                <w:b/>
                <w:bCs/>
                <w:snapToGrid w:val="0"/>
                <w:kern w:val="32"/>
                <w:sz w:val="20"/>
                <w:szCs w:val="20"/>
                <w:lang w:val="de-DE"/>
              </w:rPr>
            </w:pPr>
          </w:p>
        </w:tc>
        <w:tc>
          <w:tcPr>
            <w:tcW w:w="425" w:type="dxa"/>
            <w:vMerge/>
            <w:tcBorders>
              <w:left w:val="single" w:sz="4" w:space="0" w:color="auto"/>
              <w:right w:val="single" w:sz="4" w:space="0" w:color="auto"/>
            </w:tcBorders>
            <w:shd w:val="clear" w:color="auto" w:fill="auto"/>
          </w:tcPr>
          <w:p w14:paraId="3F5F6430" w14:textId="77777777" w:rsidR="00B66F7D" w:rsidRPr="0004411C" w:rsidRDefault="00B66F7D" w:rsidP="00EE69F4">
            <w:pPr>
              <w:spacing w:after="0"/>
              <w:contextualSpacing/>
              <w:rPr>
                <w:rFonts w:ascii="Avenir Next LT Pro" w:eastAsia="Times New Roman" w:hAnsi="Avenir Next LT Pro"/>
                <w:b/>
                <w:bCs/>
                <w:snapToGrid w:val="0"/>
                <w:kern w:val="32"/>
                <w:sz w:val="20"/>
                <w:szCs w:val="20"/>
                <w:lang w:val="de-DE"/>
              </w:rPr>
            </w:pPr>
          </w:p>
        </w:tc>
        <w:tc>
          <w:tcPr>
            <w:tcW w:w="4615" w:type="dxa"/>
            <w:vMerge/>
            <w:tcBorders>
              <w:left w:val="single" w:sz="4" w:space="0" w:color="auto"/>
              <w:bottom w:val="single" w:sz="4" w:space="0" w:color="auto"/>
              <w:right w:val="single" w:sz="4" w:space="0" w:color="auto"/>
            </w:tcBorders>
            <w:shd w:val="clear" w:color="auto" w:fill="auto"/>
          </w:tcPr>
          <w:p w14:paraId="331496FD" w14:textId="77777777" w:rsidR="00B66F7D" w:rsidRPr="00B66F7D" w:rsidRDefault="00B66F7D" w:rsidP="00EE69F4">
            <w:pPr>
              <w:spacing w:after="0"/>
              <w:contextualSpacing/>
              <w:rPr>
                <w:rFonts w:ascii="Avenir Next LT Pro" w:eastAsia="Times New Roman" w:hAnsi="Avenir Next LT Pro"/>
                <w:b/>
                <w:bCs/>
                <w:iCs/>
                <w:snapToGrid w:val="0"/>
                <w:kern w:val="32"/>
                <w:sz w:val="20"/>
                <w:szCs w:val="20"/>
                <w:lang w:val="de-DE"/>
              </w:rPr>
            </w:pPr>
          </w:p>
        </w:tc>
      </w:tr>
    </w:tbl>
    <w:p w14:paraId="2A7529E3" w14:textId="5A03B266" w:rsidR="00004AFB" w:rsidRDefault="00004AFB" w:rsidP="00EE69F4">
      <w:pPr>
        <w:widowControl w:val="0"/>
        <w:spacing w:after="0"/>
        <w:contextualSpacing/>
        <w:jc w:val="both"/>
        <w:rPr>
          <w:rFonts w:ascii="Avenir Next LT Pro" w:eastAsia="Times New Roman" w:hAnsi="Avenir Next LT Pro"/>
          <w:snapToGrid w:val="0"/>
          <w:sz w:val="20"/>
          <w:szCs w:val="20"/>
          <w:lang w:val="de-DE"/>
        </w:rPr>
      </w:pPr>
    </w:p>
    <w:tbl>
      <w:tblPr>
        <w:tblW w:w="9498" w:type="dxa"/>
        <w:tblInd w:w="-147" w:type="dxa"/>
        <w:tblLayout w:type="fixed"/>
        <w:tblLook w:val="01E0" w:firstRow="1" w:lastRow="1" w:firstColumn="1" w:lastColumn="1" w:noHBand="0" w:noVBand="0"/>
      </w:tblPr>
      <w:tblGrid>
        <w:gridCol w:w="1276"/>
        <w:gridCol w:w="3119"/>
        <w:gridCol w:w="425"/>
        <w:gridCol w:w="4394"/>
        <w:gridCol w:w="284"/>
      </w:tblGrid>
      <w:tr w:rsidR="003E0796" w:rsidRPr="00C345C4" w14:paraId="7732BA39" w14:textId="77777777" w:rsidTr="00F10083">
        <w:trPr>
          <w:trHeight w:val="476"/>
        </w:trPr>
        <w:tc>
          <w:tcPr>
            <w:tcW w:w="4395" w:type="dxa"/>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5D33D5E1" w14:textId="129EE588" w:rsidR="003E0796" w:rsidRPr="00C345C4" w:rsidRDefault="003E0796" w:rsidP="00F10083">
            <w:pPr>
              <w:spacing w:after="0"/>
              <w:contextualSpacing/>
              <w:rPr>
                <w:rFonts w:ascii="Avenir Next LT Pro" w:eastAsia="Times New Roman" w:hAnsi="Avenir Next LT Pro"/>
                <w:b/>
                <w:bCs/>
                <w:i/>
                <w:iCs/>
                <w:snapToGrid w:val="0"/>
                <w:kern w:val="32"/>
                <w:sz w:val="20"/>
                <w:szCs w:val="20"/>
              </w:rPr>
            </w:pPr>
            <w:r w:rsidRPr="00C345C4">
              <w:rPr>
                <w:rFonts w:ascii="Avenir Next LT Pro" w:eastAsia="Times New Roman" w:hAnsi="Avenir Next LT Pro"/>
                <w:b/>
                <w:bCs/>
                <w:snapToGrid w:val="0"/>
                <w:kern w:val="32"/>
                <w:sz w:val="20"/>
                <w:szCs w:val="20"/>
              </w:rPr>
              <w:t>Responsable d</w:t>
            </w:r>
            <w:r>
              <w:rPr>
                <w:rFonts w:ascii="Avenir Next LT Pro" w:eastAsia="Times New Roman" w:hAnsi="Avenir Next LT Pro"/>
                <w:b/>
                <w:bCs/>
                <w:snapToGrid w:val="0"/>
                <w:kern w:val="32"/>
                <w:sz w:val="20"/>
                <w:szCs w:val="20"/>
              </w:rPr>
              <w:t xml:space="preserve">u Ministère </w:t>
            </w:r>
            <w:r w:rsidRPr="00C345C4">
              <w:rPr>
                <w:rFonts w:ascii="Avenir Next LT Pro" w:eastAsia="Times New Roman" w:hAnsi="Avenir Next LT Pro"/>
                <w:b/>
                <w:bCs/>
                <w:snapToGrid w:val="0"/>
                <w:kern w:val="32"/>
                <w:sz w:val="20"/>
                <w:szCs w:val="20"/>
              </w:rPr>
              <w:t>:</w:t>
            </w:r>
          </w:p>
        </w:tc>
        <w:tc>
          <w:tcPr>
            <w:tcW w:w="425" w:type="dxa"/>
            <w:vMerge w:val="restart"/>
            <w:tcBorders>
              <w:left w:val="single" w:sz="4" w:space="0" w:color="auto"/>
              <w:bottom w:val="single" w:sz="4" w:space="0" w:color="auto"/>
              <w:right w:val="single" w:sz="4" w:space="0" w:color="auto"/>
            </w:tcBorders>
          </w:tcPr>
          <w:p w14:paraId="28A1023D" w14:textId="77777777" w:rsidR="003E0796" w:rsidRPr="00C345C4" w:rsidRDefault="003E0796" w:rsidP="00F10083">
            <w:pPr>
              <w:spacing w:after="0"/>
              <w:contextualSpacing/>
              <w:rPr>
                <w:rFonts w:ascii="Avenir Next LT Pro" w:eastAsiaTheme="minorHAnsi" w:hAnsi="Avenir Next LT Pro"/>
                <w:sz w:val="20"/>
                <w:szCs w:val="20"/>
              </w:rPr>
            </w:pPr>
          </w:p>
        </w:tc>
        <w:tc>
          <w:tcPr>
            <w:tcW w:w="4678" w:type="dxa"/>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43DFAE69" w14:textId="77777777" w:rsidR="003E0796" w:rsidRPr="00C345C4" w:rsidRDefault="003E0796" w:rsidP="00F10083">
            <w:pPr>
              <w:spacing w:after="0"/>
              <w:contextualSpacing/>
              <w:rPr>
                <w:rFonts w:ascii="Avenir Next LT Pro" w:eastAsia="Times New Roman" w:hAnsi="Avenir Next LT Pro"/>
                <w:b/>
                <w:bCs/>
                <w:i/>
                <w:iCs/>
                <w:snapToGrid w:val="0"/>
                <w:kern w:val="32"/>
                <w:sz w:val="20"/>
                <w:szCs w:val="20"/>
              </w:rPr>
            </w:pPr>
            <w:r w:rsidRPr="004A26BA">
              <w:rPr>
                <w:rFonts w:ascii="Avenir Next LT Pro" w:eastAsia="Times New Roman" w:hAnsi="Avenir Next LT Pro"/>
                <w:b/>
                <w:bCs/>
                <w:iCs/>
                <w:snapToGrid w:val="0"/>
                <w:kern w:val="32"/>
                <w:sz w:val="20"/>
                <w:szCs w:val="20"/>
              </w:rPr>
              <w:t xml:space="preserve">Responsable du </w:t>
            </w:r>
            <w:r w:rsidRPr="00A7372F">
              <w:rPr>
                <w:rFonts w:ascii="Avenir Next LT Pro" w:eastAsia="Times New Roman" w:hAnsi="Avenir Next LT Pro"/>
                <w:b/>
                <w:bCs/>
                <w:iCs/>
                <w:snapToGrid w:val="0"/>
                <w:kern w:val="32"/>
                <w:sz w:val="20"/>
                <w:szCs w:val="20"/>
              </w:rPr>
              <w:t>Ministère des Finances</w:t>
            </w:r>
            <w:r>
              <w:rPr>
                <w:rFonts w:ascii="Avenir Next LT Pro" w:eastAsia="Times New Roman" w:hAnsi="Avenir Next LT Pro"/>
                <w:b/>
                <w:bCs/>
                <w:iCs/>
                <w:snapToGrid w:val="0"/>
                <w:kern w:val="32"/>
                <w:sz w:val="20"/>
                <w:szCs w:val="20"/>
              </w:rPr>
              <w:t xml:space="preserve"> </w:t>
            </w:r>
            <w:r w:rsidRPr="00C345C4">
              <w:rPr>
                <w:rFonts w:ascii="Avenir Next LT Pro" w:eastAsia="Times New Roman" w:hAnsi="Avenir Next LT Pro"/>
                <w:b/>
                <w:bCs/>
                <w:iCs/>
                <w:snapToGrid w:val="0"/>
                <w:kern w:val="32"/>
                <w:sz w:val="20"/>
                <w:szCs w:val="20"/>
              </w:rPr>
              <w:t>:</w:t>
            </w:r>
          </w:p>
        </w:tc>
      </w:tr>
      <w:tr w:rsidR="003E0796" w:rsidRPr="00C345C4" w14:paraId="3A5770E3" w14:textId="77777777" w:rsidTr="000531B9">
        <w:trPr>
          <w:trHeight w:val="476"/>
        </w:trPr>
        <w:tc>
          <w:tcPr>
            <w:tcW w:w="1276" w:type="dxa"/>
            <w:tcBorders>
              <w:top w:val="single" w:sz="4" w:space="0" w:color="auto"/>
              <w:left w:val="single" w:sz="4" w:space="0" w:color="auto"/>
            </w:tcBorders>
            <w:shd w:val="clear" w:color="auto" w:fill="auto"/>
          </w:tcPr>
          <w:p w14:paraId="701F12DE" w14:textId="0DF8A8C6" w:rsidR="003E0796" w:rsidRPr="006F37DB" w:rsidRDefault="003E0796" w:rsidP="00F10083">
            <w:pPr>
              <w:spacing w:after="0"/>
              <w:contextualSpacing/>
              <w:rPr>
                <w:rFonts w:ascii="Avenir Next LT Pro" w:eastAsia="Times New Roman" w:hAnsi="Avenir Next LT Pro"/>
                <w:b/>
                <w:bCs/>
                <w:iCs/>
                <w:snapToGrid w:val="0"/>
                <w:sz w:val="20"/>
                <w:szCs w:val="20"/>
              </w:rPr>
            </w:pPr>
            <w:r w:rsidRPr="006F37DB">
              <w:rPr>
                <w:rFonts w:ascii="Avenir Next LT Pro" w:eastAsia="Times New Roman" w:hAnsi="Avenir Next LT Pro"/>
                <w:b/>
                <w:bCs/>
                <w:iCs/>
                <w:snapToGrid w:val="0"/>
                <w:sz w:val="20"/>
                <w:szCs w:val="20"/>
              </w:rPr>
              <w:t xml:space="preserve">Nom : </w:t>
            </w:r>
            <w:r w:rsidR="0002319D" w:rsidRPr="00C26A17">
              <w:rPr>
                <w:rFonts w:ascii="Avenir Next LT Pro" w:eastAsia="Times New Roman" w:hAnsi="Avenir Next LT Pro"/>
                <w:b/>
                <w:bCs/>
                <w:iCs/>
                <w:snapToGrid w:val="0"/>
                <w:sz w:val="20"/>
                <w:szCs w:val="20"/>
              </w:rPr>
              <w:t xml:space="preserve">: </w:t>
            </w:r>
          </w:p>
          <w:p w14:paraId="7323B9B8" w14:textId="77777777" w:rsidR="003E0796" w:rsidRPr="006F37DB" w:rsidRDefault="003E0796" w:rsidP="00F10083">
            <w:pPr>
              <w:spacing w:after="0"/>
              <w:contextualSpacing/>
              <w:rPr>
                <w:rFonts w:ascii="Avenir Next LT Pro" w:eastAsia="Times New Roman" w:hAnsi="Avenir Next LT Pro"/>
                <w:b/>
                <w:bCs/>
                <w:iCs/>
                <w:snapToGrid w:val="0"/>
                <w:sz w:val="20"/>
                <w:szCs w:val="20"/>
              </w:rPr>
            </w:pPr>
          </w:p>
          <w:p w14:paraId="5E5D4BF0" w14:textId="527A9DF9" w:rsidR="00B13D32" w:rsidRPr="006F37DB" w:rsidRDefault="003E0796" w:rsidP="00B13D32">
            <w:pPr>
              <w:spacing w:after="0"/>
              <w:contextualSpacing/>
              <w:rPr>
                <w:rFonts w:ascii="Avenir Next LT Pro" w:eastAsia="Times New Roman" w:hAnsi="Avenir Next LT Pro"/>
                <w:b/>
                <w:bCs/>
                <w:iCs/>
                <w:snapToGrid w:val="0"/>
                <w:sz w:val="20"/>
                <w:szCs w:val="20"/>
              </w:rPr>
            </w:pPr>
            <w:r w:rsidRPr="006F37DB">
              <w:rPr>
                <w:rFonts w:ascii="Avenir Next LT Pro" w:eastAsia="Times New Roman" w:hAnsi="Avenir Next LT Pro"/>
                <w:b/>
                <w:bCs/>
                <w:iCs/>
                <w:snapToGrid w:val="0"/>
                <w:sz w:val="20"/>
                <w:szCs w:val="20"/>
              </w:rPr>
              <w:t>Fonction :</w:t>
            </w:r>
            <w:r w:rsidRPr="006F37DB">
              <w:t xml:space="preserve"> </w:t>
            </w:r>
          </w:p>
          <w:p w14:paraId="49C122D1" w14:textId="3C371173" w:rsidR="003E0796" w:rsidRPr="006F37DB" w:rsidRDefault="003E0796" w:rsidP="003E0796">
            <w:pPr>
              <w:spacing w:after="0"/>
              <w:contextualSpacing/>
              <w:rPr>
                <w:rFonts w:ascii="Avenir Next LT Pro" w:eastAsia="Times New Roman" w:hAnsi="Avenir Next LT Pro"/>
                <w:b/>
                <w:bCs/>
                <w:iCs/>
                <w:snapToGrid w:val="0"/>
                <w:sz w:val="20"/>
                <w:szCs w:val="20"/>
              </w:rPr>
            </w:pPr>
          </w:p>
        </w:tc>
        <w:tc>
          <w:tcPr>
            <w:tcW w:w="3119" w:type="dxa"/>
            <w:tcBorders>
              <w:top w:val="single" w:sz="4" w:space="0" w:color="auto"/>
              <w:left w:val="nil"/>
              <w:right w:val="single" w:sz="4" w:space="0" w:color="auto"/>
            </w:tcBorders>
            <w:shd w:val="clear" w:color="auto" w:fill="auto"/>
          </w:tcPr>
          <w:p w14:paraId="11618671" w14:textId="37407701" w:rsidR="003E0796" w:rsidRPr="000531B9" w:rsidRDefault="003E0796" w:rsidP="00F10083">
            <w:pPr>
              <w:spacing w:after="0"/>
              <w:contextualSpacing/>
              <w:rPr>
                <w:rFonts w:ascii="Avenir Next LT Pro" w:eastAsia="Times New Roman" w:hAnsi="Avenir Next LT Pro"/>
                <w:snapToGrid w:val="0"/>
                <w:kern w:val="32"/>
                <w:sz w:val="20"/>
                <w:szCs w:val="20"/>
              </w:rPr>
            </w:pPr>
          </w:p>
        </w:tc>
        <w:tc>
          <w:tcPr>
            <w:tcW w:w="425" w:type="dxa"/>
            <w:vMerge/>
            <w:tcBorders>
              <w:top w:val="single" w:sz="4" w:space="0" w:color="auto"/>
              <w:left w:val="single" w:sz="4" w:space="0" w:color="auto"/>
              <w:right w:val="single" w:sz="4" w:space="0" w:color="auto"/>
            </w:tcBorders>
            <w:shd w:val="clear" w:color="auto" w:fill="auto"/>
          </w:tcPr>
          <w:p w14:paraId="656F60B6" w14:textId="77777777" w:rsidR="003E0796" w:rsidRPr="00C345C4" w:rsidRDefault="003E0796" w:rsidP="00F10083">
            <w:pPr>
              <w:spacing w:after="0"/>
              <w:contextualSpacing/>
              <w:rPr>
                <w:rFonts w:ascii="Avenir Next LT Pro" w:eastAsia="Times New Roman" w:hAnsi="Avenir Next LT Pro"/>
                <w:b/>
                <w:bCs/>
                <w:snapToGrid w:val="0"/>
                <w:kern w:val="32"/>
                <w:sz w:val="20"/>
                <w:szCs w:val="20"/>
              </w:rPr>
            </w:pPr>
          </w:p>
        </w:tc>
        <w:tc>
          <w:tcPr>
            <w:tcW w:w="4394" w:type="dxa"/>
            <w:tcBorders>
              <w:top w:val="single" w:sz="4" w:space="0" w:color="auto"/>
              <w:left w:val="single" w:sz="4" w:space="0" w:color="auto"/>
            </w:tcBorders>
            <w:shd w:val="clear" w:color="auto" w:fill="auto"/>
          </w:tcPr>
          <w:p w14:paraId="7CDE00C7" w14:textId="74279074" w:rsidR="003E0796" w:rsidRPr="00527A46" w:rsidRDefault="003E0796" w:rsidP="00F10083">
            <w:pPr>
              <w:spacing w:after="0"/>
              <w:contextualSpacing/>
              <w:rPr>
                <w:rFonts w:ascii="Avenir Next LT Pro" w:eastAsia="Times New Roman" w:hAnsi="Avenir Next LT Pro"/>
                <w:iCs/>
                <w:snapToGrid w:val="0"/>
                <w:sz w:val="20"/>
                <w:szCs w:val="20"/>
              </w:rPr>
            </w:pPr>
            <w:r w:rsidRPr="00C345C4">
              <w:rPr>
                <w:rFonts w:ascii="Avenir Next LT Pro" w:eastAsia="Times New Roman" w:hAnsi="Avenir Next LT Pro"/>
                <w:b/>
                <w:bCs/>
                <w:iCs/>
                <w:snapToGrid w:val="0"/>
                <w:sz w:val="20"/>
                <w:szCs w:val="20"/>
              </w:rPr>
              <w:t>Nom :</w:t>
            </w:r>
            <w:r>
              <w:rPr>
                <w:rFonts w:ascii="Avenir Next LT Pro" w:eastAsia="Times New Roman" w:hAnsi="Avenir Next LT Pro"/>
                <w:b/>
                <w:bCs/>
                <w:iCs/>
                <w:snapToGrid w:val="0"/>
                <w:sz w:val="20"/>
                <w:szCs w:val="20"/>
              </w:rPr>
              <w:t xml:space="preserve"> </w:t>
            </w:r>
            <w:r w:rsidRPr="00006A0B">
              <w:rPr>
                <w:rFonts w:ascii="Avenir Next LT Pro" w:eastAsia="Times New Roman" w:hAnsi="Avenir Next LT Pro"/>
                <w:b/>
                <w:bCs/>
                <w:iCs/>
                <w:snapToGrid w:val="0"/>
                <w:sz w:val="20"/>
                <w:szCs w:val="20"/>
              </w:rPr>
              <w:t xml:space="preserve">Doudou </w:t>
            </w:r>
            <w:proofErr w:type="spellStart"/>
            <w:r w:rsidRPr="00006A0B">
              <w:rPr>
                <w:rFonts w:ascii="Avenir Next LT Pro" w:eastAsia="Times New Roman" w:hAnsi="Avenir Next LT Pro"/>
                <w:b/>
                <w:bCs/>
                <w:iCs/>
                <w:snapToGrid w:val="0"/>
                <w:sz w:val="20"/>
                <w:szCs w:val="20"/>
              </w:rPr>
              <w:t>Nfwamba</w:t>
            </w:r>
            <w:proofErr w:type="spellEnd"/>
            <w:r w:rsidRPr="00006A0B">
              <w:rPr>
                <w:rFonts w:ascii="Avenir Next LT Pro" w:eastAsia="Times New Roman" w:hAnsi="Avenir Next LT Pro"/>
                <w:b/>
                <w:bCs/>
                <w:iCs/>
                <w:snapToGrid w:val="0"/>
                <w:sz w:val="20"/>
                <w:szCs w:val="20"/>
              </w:rPr>
              <w:t xml:space="preserve"> </w:t>
            </w:r>
            <w:proofErr w:type="spellStart"/>
            <w:r w:rsidR="00FF7FA3" w:rsidRPr="00006A0B">
              <w:rPr>
                <w:rFonts w:ascii="Avenir Next LT Pro" w:eastAsia="Times New Roman" w:hAnsi="Avenir Next LT Pro"/>
                <w:b/>
                <w:bCs/>
                <w:iCs/>
                <w:snapToGrid w:val="0"/>
                <w:sz w:val="20"/>
                <w:szCs w:val="20"/>
              </w:rPr>
              <w:t>L</w:t>
            </w:r>
            <w:r w:rsidR="004141D9" w:rsidRPr="00006A0B">
              <w:rPr>
                <w:rFonts w:ascii="Avenir Next LT Pro" w:eastAsia="Times New Roman" w:hAnsi="Avenir Next LT Pro"/>
                <w:b/>
                <w:bCs/>
                <w:iCs/>
                <w:snapToGrid w:val="0"/>
                <w:sz w:val="20"/>
                <w:szCs w:val="20"/>
              </w:rPr>
              <w:t>ikunde</w:t>
            </w:r>
            <w:proofErr w:type="spellEnd"/>
          </w:p>
          <w:p w14:paraId="6BD0CA40" w14:textId="77777777" w:rsidR="003E0796" w:rsidRPr="00C345C4" w:rsidRDefault="003E0796" w:rsidP="00F10083">
            <w:pPr>
              <w:spacing w:after="0"/>
              <w:contextualSpacing/>
              <w:rPr>
                <w:rFonts w:ascii="Avenir Next LT Pro" w:eastAsia="Times New Roman" w:hAnsi="Avenir Next LT Pro"/>
                <w:b/>
                <w:bCs/>
                <w:iCs/>
                <w:snapToGrid w:val="0"/>
                <w:sz w:val="20"/>
                <w:szCs w:val="20"/>
              </w:rPr>
            </w:pPr>
          </w:p>
          <w:p w14:paraId="43EBF21C" w14:textId="77777777" w:rsidR="003E0796" w:rsidRPr="00527A46" w:rsidRDefault="003E0796" w:rsidP="00F10083">
            <w:pPr>
              <w:spacing w:after="0"/>
              <w:contextualSpacing/>
              <w:rPr>
                <w:rFonts w:ascii="Avenir Next LT Pro" w:eastAsia="Times New Roman" w:hAnsi="Avenir Next LT Pro"/>
                <w:iCs/>
                <w:snapToGrid w:val="0"/>
                <w:sz w:val="20"/>
                <w:szCs w:val="20"/>
              </w:rPr>
            </w:pPr>
            <w:r w:rsidRPr="00C345C4">
              <w:rPr>
                <w:rFonts w:ascii="Avenir Next LT Pro" w:eastAsia="Times New Roman" w:hAnsi="Avenir Next LT Pro"/>
                <w:b/>
                <w:bCs/>
                <w:iCs/>
                <w:snapToGrid w:val="0"/>
                <w:sz w:val="20"/>
                <w:szCs w:val="20"/>
              </w:rPr>
              <w:t>Fonction :</w:t>
            </w:r>
            <w:r>
              <w:t xml:space="preserve"> </w:t>
            </w:r>
            <w:r w:rsidRPr="00527A46">
              <w:rPr>
                <w:rFonts w:ascii="Avenir Next LT Pro" w:eastAsia="Times New Roman" w:hAnsi="Avenir Next LT Pro"/>
                <w:iCs/>
                <w:snapToGrid w:val="0"/>
                <w:sz w:val="20"/>
                <w:szCs w:val="20"/>
              </w:rPr>
              <w:t>Ministère des Finances</w:t>
            </w:r>
          </w:p>
          <w:p w14:paraId="4DB3F590" w14:textId="77777777" w:rsidR="003E0796" w:rsidRPr="00C345C4" w:rsidRDefault="003E0796" w:rsidP="00F10083">
            <w:pPr>
              <w:spacing w:after="0"/>
              <w:contextualSpacing/>
              <w:rPr>
                <w:rFonts w:ascii="Avenir Next LT Pro" w:eastAsia="Times New Roman" w:hAnsi="Avenir Next LT Pro"/>
                <w:b/>
                <w:bCs/>
                <w:iCs/>
                <w:snapToGrid w:val="0"/>
                <w:sz w:val="20"/>
                <w:szCs w:val="20"/>
              </w:rPr>
            </w:pPr>
          </w:p>
        </w:tc>
        <w:tc>
          <w:tcPr>
            <w:tcW w:w="284" w:type="dxa"/>
            <w:tcBorders>
              <w:top w:val="single" w:sz="4" w:space="0" w:color="auto"/>
              <w:left w:val="nil"/>
              <w:right w:val="single" w:sz="4" w:space="0" w:color="auto"/>
            </w:tcBorders>
            <w:shd w:val="clear" w:color="auto" w:fill="auto"/>
          </w:tcPr>
          <w:p w14:paraId="0BE0638B" w14:textId="77777777" w:rsidR="003E0796" w:rsidRPr="00C345C4" w:rsidRDefault="003E0796" w:rsidP="00F10083">
            <w:pPr>
              <w:spacing w:after="0"/>
              <w:contextualSpacing/>
              <w:rPr>
                <w:rFonts w:ascii="Avenir Next LT Pro" w:eastAsia="Times New Roman" w:hAnsi="Avenir Next LT Pro"/>
                <w:b/>
                <w:bCs/>
                <w:iCs/>
                <w:snapToGrid w:val="0"/>
                <w:kern w:val="32"/>
                <w:sz w:val="20"/>
                <w:szCs w:val="20"/>
              </w:rPr>
            </w:pPr>
          </w:p>
        </w:tc>
      </w:tr>
      <w:tr w:rsidR="003E0796" w:rsidRPr="00C345C4" w14:paraId="75A8A185" w14:textId="77777777" w:rsidTr="000531B9">
        <w:trPr>
          <w:trHeight w:val="476"/>
        </w:trPr>
        <w:tc>
          <w:tcPr>
            <w:tcW w:w="1276" w:type="dxa"/>
            <w:tcBorders>
              <w:left w:val="single" w:sz="4" w:space="0" w:color="auto"/>
            </w:tcBorders>
            <w:shd w:val="clear" w:color="auto" w:fill="auto"/>
          </w:tcPr>
          <w:p w14:paraId="47928071" w14:textId="77777777" w:rsidR="003E0796" w:rsidRPr="006F37DB" w:rsidRDefault="003E0796" w:rsidP="00F10083">
            <w:pPr>
              <w:spacing w:after="0"/>
              <w:ind w:right="-108"/>
              <w:contextualSpacing/>
              <w:rPr>
                <w:rFonts w:ascii="Avenir Next LT Pro" w:eastAsia="Times New Roman" w:hAnsi="Avenir Next LT Pro"/>
                <w:b/>
                <w:bCs/>
                <w:iCs/>
                <w:snapToGrid w:val="0"/>
                <w:sz w:val="20"/>
                <w:szCs w:val="20"/>
              </w:rPr>
            </w:pPr>
            <w:r w:rsidRPr="006F37DB">
              <w:rPr>
                <w:rFonts w:ascii="Avenir Next LT Pro" w:eastAsia="Times New Roman" w:hAnsi="Avenir Next LT Pro"/>
                <w:b/>
                <w:bCs/>
                <w:iCs/>
                <w:snapToGrid w:val="0"/>
                <w:sz w:val="20"/>
                <w:szCs w:val="20"/>
              </w:rPr>
              <w:t xml:space="preserve">Téléphone : </w:t>
            </w:r>
          </w:p>
        </w:tc>
        <w:tc>
          <w:tcPr>
            <w:tcW w:w="3119" w:type="dxa"/>
            <w:tcBorders>
              <w:left w:val="nil"/>
              <w:right w:val="single" w:sz="4" w:space="0" w:color="auto"/>
            </w:tcBorders>
            <w:shd w:val="clear" w:color="auto" w:fill="auto"/>
          </w:tcPr>
          <w:p w14:paraId="5A564FEF" w14:textId="77777777" w:rsidR="003E0796" w:rsidRPr="00C345C4" w:rsidRDefault="003E0796" w:rsidP="00F10083">
            <w:pPr>
              <w:spacing w:after="0"/>
              <w:contextualSpacing/>
              <w:rPr>
                <w:rFonts w:ascii="Avenir Next LT Pro" w:eastAsia="Times New Roman" w:hAnsi="Avenir Next LT Pro"/>
                <w:b/>
                <w:bCs/>
                <w:snapToGrid w:val="0"/>
                <w:kern w:val="32"/>
                <w:sz w:val="20"/>
                <w:szCs w:val="20"/>
              </w:rPr>
            </w:pPr>
          </w:p>
        </w:tc>
        <w:tc>
          <w:tcPr>
            <w:tcW w:w="425" w:type="dxa"/>
            <w:vMerge/>
            <w:tcBorders>
              <w:left w:val="single" w:sz="4" w:space="0" w:color="auto"/>
              <w:right w:val="single" w:sz="4" w:space="0" w:color="auto"/>
            </w:tcBorders>
            <w:shd w:val="clear" w:color="auto" w:fill="auto"/>
          </w:tcPr>
          <w:p w14:paraId="3C455858" w14:textId="77777777" w:rsidR="003E0796" w:rsidRPr="00C345C4" w:rsidRDefault="003E0796" w:rsidP="00F10083">
            <w:pPr>
              <w:spacing w:after="0"/>
              <w:contextualSpacing/>
              <w:rPr>
                <w:rFonts w:ascii="Avenir Next LT Pro" w:eastAsia="Times New Roman" w:hAnsi="Avenir Next LT Pro"/>
                <w:b/>
                <w:bCs/>
                <w:snapToGrid w:val="0"/>
                <w:kern w:val="32"/>
                <w:sz w:val="20"/>
                <w:szCs w:val="20"/>
              </w:rPr>
            </w:pPr>
          </w:p>
        </w:tc>
        <w:tc>
          <w:tcPr>
            <w:tcW w:w="4394" w:type="dxa"/>
            <w:tcBorders>
              <w:left w:val="single" w:sz="4" w:space="0" w:color="auto"/>
            </w:tcBorders>
            <w:shd w:val="clear" w:color="auto" w:fill="auto"/>
          </w:tcPr>
          <w:p w14:paraId="4B5AFD9D" w14:textId="77777777" w:rsidR="003E0796" w:rsidRPr="00C345C4" w:rsidRDefault="003E0796" w:rsidP="00F10083">
            <w:pPr>
              <w:spacing w:after="0"/>
              <w:ind w:right="-108"/>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Téléphone :</w:t>
            </w:r>
          </w:p>
        </w:tc>
        <w:tc>
          <w:tcPr>
            <w:tcW w:w="284" w:type="dxa"/>
            <w:tcBorders>
              <w:left w:val="nil"/>
              <w:right w:val="single" w:sz="4" w:space="0" w:color="auto"/>
            </w:tcBorders>
            <w:shd w:val="clear" w:color="auto" w:fill="auto"/>
          </w:tcPr>
          <w:p w14:paraId="7CC03B1C" w14:textId="77777777" w:rsidR="003E0796" w:rsidRPr="00C345C4" w:rsidRDefault="003E0796" w:rsidP="00F10083">
            <w:pPr>
              <w:spacing w:after="0"/>
              <w:contextualSpacing/>
              <w:rPr>
                <w:rFonts w:ascii="Avenir Next LT Pro" w:eastAsia="Times New Roman" w:hAnsi="Avenir Next LT Pro"/>
                <w:b/>
                <w:bCs/>
                <w:iCs/>
                <w:snapToGrid w:val="0"/>
                <w:kern w:val="32"/>
                <w:sz w:val="20"/>
                <w:szCs w:val="20"/>
              </w:rPr>
            </w:pPr>
          </w:p>
        </w:tc>
      </w:tr>
      <w:tr w:rsidR="003E0796" w:rsidRPr="00C345C4" w14:paraId="48796534" w14:textId="77777777" w:rsidTr="000531B9">
        <w:trPr>
          <w:trHeight w:val="208"/>
        </w:trPr>
        <w:tc>
          <w:tcPr>
            <w:tcW w:w="1276" w:type="dxa"/>
            <w:tcBorders>
              <w:left w:val="single" w:sz="4" w:space="0" w:color="auto"/>
              <w:bottom w:val="single" w:sz="4" w:space="0" w:color="auto"/>
            </w:tcBorders>
            <w:shd w:val="clear" w:color="auto" w:fill="auto"/>
          </w:tcPr>
          <w:p w14:paraId="6149715D" w14:textId="77777777" w:rsidR="003E0796" w:rsidRPr="006F37DB" w:rsidRDefault="003E0796" w:rsidP="00F10083">
            <w:pPr>
              <w:spacing w:after="0"/>
              <w:contextualSpacing/>
              <w:rPr>
                <w:rFonts w:ascii="Avenir Next LT Pro" w:eastAsia="Times New Roman" w:hAnsi="Avenir Next LT Pro"/>
                <w:b/>
                <w:bCs/>
                <w:snapToGrid w:val="0"/>
                <w:kern w:val="32"/>
                <w:sz w:val="20"/>
                <w:szCs w:val="20"/>
                <w:lang w:val="pt-PT"/>
              </w:rPr>
            </w:pPr>
            <w:r w:rsidRPr="006F37DB">
              <w:rPr>
                <w:rFonts w:ascii="Avenir Next LT Pro" w:eastAsia="Times New Roman" w:hAnsi="Avenir Next LT Pro"/>
                <w:b/>
                <w:bCs/>
                <w:snapToGrid w:val="0"/>
                <w:kern w:val="32"/>
                <w:sz w:val="20"/>
                <w:szCs w:val="20"/>
                <w:lang w:val="pt-PT"/>
              </w:rPr>
              <w:t xml:space="preserve">E-mail: </w:t>
            </w:r>
          </w:p>
        </w:tc>
        <w:tc>
          <w:tcPr>
            <w:tcW w:w="3119" w:type="dxa"/>
            <w:tcBorders>
              <w:left w:val="nil"/>
              <w:bottom w:val="single" w:sz="4" w:space="0" w:color="auto"/>
              <w:right w:val="single" w:sz="4" w:space="0" w:color="auto"/>
            </w:tcBorders>
            <w:shd w:val="clear" w:color="auto" w:fill="auto"/>
          </w:tcPr>
          <w:p w14:paraId="598ED4F9" w14:textId="77777777" w:rsidR="003E0796" w:rsidRPr="00AE28E7" w:rsidRDefault="003E0796" w:rsidP="00F10083">
            <w:pPr>
              <w:spacing w:after="0"/>
              <w:contextualSpacing/>
              <w:rPr>
                <w:rFonts w:ascii="Avenir Next LT Pro" w:eastAsia="Times New Roman" w:hAnsi="Avenir Next LT Pro"/>
                <w:b/>
                <w:bCs/>
                <w:snapToGrid w:val="0"/>
                <w:kern w:val="32"/>
                <w:sz w:val="20"/>
                <w:szCs w:val="20"/>
                <w:lang w:val="pt-PT"/>
              </w:rPr>
            </w:pPr>
          </w:p>
        </w:tc>
        <w:tc>
          <w:tcPr>
            <w:tcW w:w="425" w:type="dxa"/>
            <w:vMerge/>
            <w:tcBorders>
              <w:left w:val="single" w:sz="4" w:space="0" w:color="auto"/>
              <w:right w:val="single" w:sz="4" w:space="0" w:color="auto"/>
            </w:tcBorders>
            <w:shd w:val="clear" w:color="auto" w:fill="auto"/>
          </w:tcPr>
          <w:p w14:paraId="578D4CA4" w14:textId="77777777" w:rsidR="003E0796" w:rsidRPr="00AE28E7" w:rsidRDefault="003E0796" w:rsidP="00F10083">
            <w:pPr>
              <w:spacing w:after="0"/>
              <w:contextualSpacing/>
              <w:rPr>
                <w:rFonts w:ascii="Avenir Next LT Pro" w:eastAsia="Times New Roman" w:hAnsi="Avenir Next LT Pro"/>
                <w:b/>
                <w:bCs/>
                <w:snapToGrid w:val="0"/>
                <w:kern w:val="32"/>
                <w:sz w:val="20"/>
                <w:szCs w:val="20"/>
                <w:lang w:val="pt-PT"/>
              </w:rPr>
            </w:pPr>
          </w:p>
        </w:tc>
        <w:tc>
          <w:tcPr>
            <w:tcW w:w="4394" w:type="dxa"/>
            <w:tcBorders>
              <w:left w:val="single" w:sz="4" w:space="0" w:color="auto"/>
              <w:bottom w:val="single" w:sz="4" w:space="0" w:color="auto"/>
            </w:tcBorders>
            <w:shd w:val="clear" w:color="auto" w:fill="auto"/>
          </w:tcPr>
          <w:p w14:paraId="62C216E7" w14:textId="77777777" w:rsidR="003E0796" w:rsidRPr="00C345C4" w:rsidRDefault="003E0796" w:rsidP="00F10083">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snapToGrid w:val="0"/>
                <w:kern w:val="32"/>
                <w:sz w:val="20"/>
                <w:szCs w:val="20"/>
              </w:rPr>
              <w:t>E-mail :</w:t>
            </w:r>
          </w:p>
        </w:tc>
        <w:tc>
          <w:tcPr>
            <w:tcW w:w="284" w:type="dxa"/>
            <w:tcBorders>
              <w:left w:val="nil"/>
              <w:bottom w:val="single" w:sz="4" w:space="0" w:color="auto"/>
              <w:right w:val="single" w:sz="4" w:space="0" w:color="auto"/>
            </w:tcBorders>
            <w:shd w:val="clear" w:color="auto" w:fill="auto"/>
          </w:tcPr>
          <w:p w14:paraId="4AF58844" w14:textId="77777777" w:rsidR="003E0796" w:rsidRPr="00C345C4" w:rsidRDefault="003E0796" w:rsidP="00F10083">
            <w:pPr>
              <w:spacing w:after="0"/>
              <w:contextualSpacing/>
              <w:rPr>
                <w:rFonts w:ascii="Avenir Next LT Pro" w:eastAsia="Times New Roman" w:hAnsi="Avenir Next LT Pro"/>
                <w:b/>
                <w:bCs/>
                <w:iCs/>
                <w:snapToGrid w:val="0"/>
                <w:kern w:val="32"/>
                <w:sz w:val="20"/>
                <w:szCs w:val="20"/>
              </w:rPr>
            </w:pPr>
          </w:p>
        </w:tc>
      </w:tr>
    </w:tbl>
    <w:p w14:paraId="50ECA82F" w14:textId="77777777" w:rsidR="003E0796" w:rsidRPr="00B66F7D" w:rsidRDefault="003E0796" w:rsidP="00EE69F4">
      <w:pPr>
        <w:widowControl w:val="0"/>
        <w:spacing w:after="0"/>
        <w:contextualSpacing/>
        <w:jc w:val="both"/>
        <w:rPr>
          <w:rFonts w:ascii="Avenir Next LT Pro" w:eastAsia="Times New Roman" w:hAnsi="Avenir Next LT Pro"/>
          <w:snapToGrid w:val="0"/>
          <w:sz w:val="20"/>
          <w:szCs w:val="20"/>
          <w:lang w:val="de-DE"/>
        </w:rPr>
      </w:pPr>
    </w:p>
    <w:tbl>
      <w:tblPr>
        <w:tblW w:w="524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3"/>
        <w:gridCol w:w="427"/>
        <w:gridCol w:w="2865"/>
        <w:gridCol w:w="1814"/>
      </w:tblGrid>
      <w:tr w:rsidR="007627D8" w:rsidRPr="00C345C4" w14:paraId="6654C628" w14:textId="77777777" w:rsidTr="000531B9">
        <w:trPr>
          <w:trHeight w:val="440"/>
        </w:trPr>
        <w:tc>
          <w:tcPr>
            <w:tcW w:w="2312"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0414B6DE" w14:textId="49FB9901"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Coûts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c>
          <w:tcPr>
            <w:tcW w:w="225" w:type="pct"/>
            <w:tcBorders>
              <w:top w:val="nil"/>
              <w:left w:val="single" w:sz="4" w:space="0" w:color="auto"/>
              <w:bottom w:val="nil"/>
              <w:right w:val="single" w:sz="4" w:space="0" w:color="auto"/>
            </w:tcBorders>
            <w:shd w:val="clear" w:color="auto" w:fill="auto"/>
          </w:tcPr>
          <w:p w14:paraId="29B81CDF"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p>
        </w:tc>
        <w:tc>
          <w:tcPr>
            <w:tcW w:w="2463" w:type="pct"/>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7384FA9" w14:textId="5D9237ED"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Lieu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r>
      <w:tr w:rsidR="00A87B71" w:rsidRPr="00C345C4" w14:paraId="1F44785B" w14:textId="77777777" w:rsidTr="000531B9">
        <w:trPr>
          <w:trHeight w:val="215"/>
        </w:trPr>
        <w:tc>
          <w:tcPr>
            <w:tcW w:w="2312" w:type="pct"/>
            <w:vMerge w:val="restart"/>
            <w:tcBorders>
              <w:top w:val="single" w:sz="4" w:space="0" w:color="auto"/>
              <w:left w:val="single" w:sz="4" w:space="0" w:color="auto"/>
              <w:right w:val="single" w:sz="4" w:space="0" w:color="auto"/>
            </w:tcBorders>
            <w:shd w:val="clear" w:color="auto" w:fill="auto"/>
          </w:tcPr>
          <w:p w14:paraId="2678EB26" w14:textId="743EC5BA" w:rsidR="00FE6991" w:rsidRPr="00C345C4" w:rsidRDefault="001B3FF0"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 xml:space="preserve">Cout total du </w:t>
            </w:r>
            <w:r w:rsidR="0068302F" w:rsidRPr="00C345C4">
              <w:rPr>
                <w:rFonts w:ascii="Avenir Next LT Pro" w:eastAsia="Times New Roman" w:hAnsi="Avenir Next LT Pro"/>
                <w:b/>
                <w:bCs/>
                <w:iCs/>
                <w:snapToGrid w:val="0"/>
                <w:sz w:val="20"/>
                <w:szCs w:val="20"/>
              </w:rPr>
              <w:t xml:space="preserve">projet </w:t>
            </w:r>
            <w:r w:rsidRPr="00C345C4">
              <w:rPr>
                <w:rFonts w:ascii="Avenir Next LT Pro" w:eastAsia="Times New Roman" w:hAnsi="Avenir Next LT Pro"/>
                <w:iCs/>
                <w:snapToGrid w:val="0"/>
                <w:sz w:val="20"/>
                <w:szCs w:val="20"/>
              </w:rPr>
              <w:t xml:space="preserve">(y compris le budget estimatif </w:t>
            </w:r>
            <w:r w:rsidR="005C0A1E" w:rsidRPr="00C345C4">
              <w:rPr>
                <w:rFonts w:ascii="Avenir Next LT Pro" w:eastAsia="Times New Roman" w:hAnsi="Avenir Next LT Pro"/>
                <w:iCs/>
                <w:snapToGrid w:val="0"/>
                <w:sz w:val="20"/>
                <w:szCs w:val="20"/>
              </w:rPr>
              <w:t>non-finance</w:t>
            </w:r>
            <w:r w:rsidRPr="00C345C4">
              <w:rPr>
                <w:rFonts w:ascii="Avenir Next LT Pro" w:eastAsia="Times New Roman" w:hAnsi="Avenir Next LT Pro"/>
                <w:iCs/>
                <w:snapToGrid w:val="0"/>
                <w:sz w:val="20"/>
                <w:szCs w:val="20"/>
              </w:rPr>
              <w:t>)</w:t>
            </w:r>
            <w:r w:rsidR="00DF0142" w:rsidRPr="00C345C4">
              <w:rPr>
                <w:rFonts w:ascii="Avenir Next LT Pro" w:eastAsia="Times New Roman" w:hAnsi="Avenir Next LT Pro"/>
                <w:iCs/>
                <w:snapToGrid w:val="0"/>
                <w:sz w:val="20"/>
                <w:szCs w:val="20"/>
              </w:rPr>
              <w:t xml:space="preserve"> </w:t>
            </w:r>
            <w:r w:rsidR="00FE6991" w:rsidRPr="00C345C4">
              <w:rPr>
                <w:rFonts w:ascii="Avenir Next LT Pro" w:eastAsia="Times New Roman" w:hAnsi="Avenir Next LT Pro"/>
                <w:iCs/>
                <w:snapToGrid w:val="0"/>
                <w:sz w:val="20"/>
                <w:szCs w:val="20"/>
              </w:rPr>
              <w:t>:</w:t>
            </w:r>
            <w:r w:rsidR="00FE6991" w:rsidRPr="00C345C4">
              <w:rPr>
                <w:rFonts w:ascii="Avenir Next LT Pro" w:eastAsia="Times New Roman" w:hAnsi="Avenir Next LT Pro"/>
                <w:b/>
                <w:bCs/>
                <w:iCs/>
                <w:snapToGrid w:val="0"/>
                <w:sz w:val="20"/>
                <w:szCs w:val="20"/>
              </w:rPr>
              <w:t xml:space="preserve">  </w:t>
            </w:r>
          </w:p>
          <w:p w14:paraId="1341C33C" w14:textId="7AD5A2DC" w:rsidR="001B3FF0" w:rsidRPr="00C345C4" w:rsidRDefault="001B3FF0"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USD [</w:t>
            </w:r>
            <w:r w:rsidR="00D31FCA" w:rsidRPr="00D31FCA">
              <w:rPr>
                <w:rFonts w:ascii="Avenir Next LT Pro" w:eastAsia="Times New Roman" w:hAnsi="Avenir Next LT Pro"/>
                <w:b/>
                <w:bCs/>
                <w:iCs/>
                <w:snapToGrid w:val="0"/>
                <w:sz w:val="20"/>
                <w:szCs w:val="20"/>
              </w:rPr>
              <w:t>3.100.000</w:t>
            </w:r>
            <w:r w:rsidRPr="00C345C4">
              <w:rPr>
                <w:rFonts w:ascii="Avenir Next LT Pro" w:eastAsia="Times New Roman" w:hAnsi="Avenir Next LT Pro"/>
                <w:b/>
                <w:bCs/>
                <w:iCs/>
                <w:snapToGrid w:val="0"/>
                <w:sz w:val="20"/>
                <w:szCs w:val="20"/>
              </w:rPr>
              <w:t>]</w:t>
            </w:r>
          </w:p>
          <w:p w14:paraId="6AB297E1" w14:textId="77777777" w:rsidR="001B3FF0" w:rsidRPr="00C345C4" w:rsidRDefault="001B3FF0" w:rsidP="00EE69F4">
            <w:pPr>
              <w:spacing w:after="0"/>
              <w:contextualSpacing/>
              <w:rPr>
                <w:rFonts w:ascii="Avenir Next LT Pro" w:eastAsia="Times New Roman" w:hAnsi="Avenir Next LT Pro"/>
                <w:b/>
                <w:bCs/>
                <w:iCs/>
                <w:snapToGrid w:val="0"/>
                <w:sz w:val="20"/>
                <w:szCs w:val="20"/>
              </w:rPr>
            </w:pPr>
          </w:p>
          <w:p w14:paraId="07E1E22F" w14:textId="54B0060B" w:rsidR="00FE6991" w:rsidRPr="00C345C4" w:rsidRDefault="001B3FF0"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 xml:space="preserve">Total finance par CAFI : </w:t>
            </w:r>
            <w:r w:rsidR="00C64AD4" w:rsidRPr="00C345C4">
              <w:rPr>
                <w:rFonts w:ascii="Avenir Next LT Pro" w:eastAsia="Times New Roman" w:hAnsi="Avenir Next LT Pro"/>
                <w:b/>
                <w:bCs/>
                <w:iCs/>
                <w:snapToGrid w:val="0"/>
                <w:sz w:val="20"/>
                <w:szCs w:val="20"/>
              </w:rPr>
              <w:t>[</w:t>
            </w:r>
            <w:r w:rsidR="00D31FCA">
              <w:rPr>
                <w:rFonts w:ascii="Avenir Next LT Pro" w:eastAsia="Times New Roman" w:hAnsi="Avenir Next LT Pro"/>
                <w:b/>
                <w:bCs/>
                <w:iCs/>
                <w:snapToGrid w:val="0"/>
                <w:sz w:val="20"/>
                <w:szCs w:val="20"/>
              </w:rPr>
              <w:t>3.000.000</w:t>
            </w:r>
            <w:r w:rsidR="00C64AD4" w:rsidRPr="00C345C4">
              <w:rPr>
                <w:rFonts w:ascii="Avenir Next LT Pro" w:eastAsia="Times New Roman" w:hAnsi="Avenir Next LT Pro"/>
                <w:b/>
                <w:bCs/>
                <w:iCs/>
                <w:snapToGrid w:val="0"/>
                <w:sz w:val="20"/>
                <w:szCs w:val="20"/>
              </w:rPr>
              <w:t>]</w:t>
            </w:r>
            <w:r w:rsidR="005C0A1E" w:rsidRPr="00C345C4">
              <w:rPr>
                <w:rFonts w:ascii="Avenir Next LT Pro" w:eastAsia="Times New Roman" w:hAnsi="Avenir Next LT Pro"/>
                <w:b/>
                <w:bCs/>
                <w:iCs/>
                <w:snapToGrid w:val="0"/>
                <w:sz w:val="20"/>
                <w:szCs w:val="20"/>
              </w:rPr>
              <w:t xml:space="preserve"> </w:t>
            </w:r>
            <w:r w:rsidRPr="00C345C4">
              <w:rPr>
                <w:rFonts w:ascii="Avenir Next LT Pro" w:eastAsia="Times New Roman" w:hAnsi="Avenir Next LT Pro"/>
                <w:b/>
                <w:bCs/>
                <w:iCs/>
                <w:snapToGrid w:val="0"/>
                <w:sz w:val="20"/>
                <w:szCs w:val="20"/>
              </w:rPr>
              <w:t xml:space="preserve">USD </w:t>
            </w:r>
          </w:p>
          <w:p w14:paraId="4746250C" w14:textId="77777777" w:rsidR="00006A0B" w:rsidRDefault="00006A0B" w:rsidP="00EE69F4">
            <w:pPr>
              <w:spacing w:after="0"/>
              <w:contextualSpacing/>
              <w:rPr>
                <w:rFonts w:ascii="Avenir Next LT Pro" w:eastAsia="Times New Roman" w:hAnsi="Avenir Next LT Pro"/>
                <w:b/>
                <w:bCs/>
                <w:iCs/>
                <w:snapToGrid w:val="0"/>
                <w:sz w:val="20"/>
                <w:szCs w:val="20"/>
              </w:rPr>
            </w:pPr>
          </w:p>
          <w:p w14:paraId="1D72DB21" w14:textId="08913FB8" w:rsidR="007358C2" w:rsidRPr="00C345C4" w:rsidRDefault="007358C2" w:rsidP="00EE69F4">
            <w:pPr>
              <w:spacing w:after="0"/>
              <w:contextualSpacing/>
              <w:rPr>
                <w:rFonts w:ascii="Avenir Next LT Pro" w:eastAsia="Times New Roman" w:hAnsi="Avenir Next LT Pro"/>
                <w:iCs/>
                <w:snapToGrid w:val="0"/>
                <w:sz w:val="20"/>
                <w:szCs w:val="20"/>
              </w:rPr>
            </w:pPr>
            <w:r w:rsidRPr="00C345C4">
              <w:rPr>
                <w:rFonts w:ascii="Avenir Next LT Pro" w:eastAsia="Times New Roman" w:hAnsi="Avenir Next LT Pro"/>
                <w:b/>
                <w:bCs/>
                <w:iCs/>
                <w:snapToGrid w:val="0"/>
                <w:sz w:val="20"/>
                <w:szCs w:val="20"/>
              </w:rPr>
              <w:t xml:space="preserve">Total tranche 1 : </w:t>
            </w:r>
            <w:r w:rsidR="00C64AD4" w:rsidRPr="00C345C4">
              <w:rPr>
                <w:rFonts w:ascii="Avenir Next LT Pro" w:eastAsia="Times New Roman" w:hAnsi="Avenir Next LT Pro"/>
                <w:b/>
                <w:bCs/>
                <w:iCs/>
                <w:snapToGrid w:val="0"/>
                <w:sz w:val="20"/>
                <w:szCs w:val="20"/>
              </w:rPr>
              <w:t>[</w:t>
            </w:r>
            <w:r w:rsidR="00A24B7E">
              <w:rPr>
                <w:rFonts w:ascii="Avenir Next LT Pro" w:eastAsia="Times New Roman" w:hAnsi="Avenir Next LT Pro"/>
                <w:b/>
                <w:bCs/>
                <w:iCs/>
                <w:snapToGrid w:val="0"/>
                <w:sz w:val="20"/>
                <w:szCs w:val="20"/>
              </w:rPr>
              <w:t>1.500.000</w:t>
            </w:r>
            <w:r w:rsidR="00C64AD4" w:rsidRPr="00C345C4">
              <w:rPr>
                <w:rFonts w:ascii="Avenir Next LT Pro" w:eastAsia="Times New Roman" w:hAnsi="Avenir Next LT Pro"/>
                <w:b/>
                <w:bCs/>
                <w:iCs/>
                <w:snapToGrid w:val="0"/>
                <w:sz w:val="20"/>
                <w:szCs w:val="20"/>
              </w:rPr>
              <w:t>] USD</w:t>
            </w:r>
          </w:p>
          <w:p w14:paraId="36B648CB" w14:textId="77777777" w:rsidR="001B3FF0" w:rsidRPr="00C345C4" w:rsidRDefault="001B3FF0" w:rsidP="00EE69F4">
            <w:pPr>
              <w:spacing w:after="0"/>
              <w:contextualSpacing/>
              <w:rPr>
                <w:rFonts w:ascii="Avenir Next LT Pro" w:eastAsia="Times New Roman" w:hAnsi="Avenir Next LT Pro"/>
                <w:iCs/>
                <w:snapToGrid w:val="0"/>
                <w:sz w:val="20"/>
                <w:szCs w:val="20"/>
              </w:rPr>
            </w:pPr>
          </w:p>
          <w:p w14:paraId="31EA6607" w14:textId="2F5AF058" w:rsidR="001B3FF0" w:rsidRPr="00C345C4" w:rsidRDefault="001B3FF0" w:rsidP="00EE69F4">
            <w:pPr>
              <w:spacing w:after="0"/>
              <w:contextualSpacing/>
              <w:rPr>
                <w:rFonts w:ascii="Avenir Next LT Pro" w:eastAsia="Times New Roman" w:hAnsi="Avenir Next LT Pro"/>
                <w:iCs/>
                <w:snapToGrid w:val="0"/>
                <w:sz w:val="20"/>
                <w:szCs w:val="20"/>
              </w:rPr>
            </w:pPr>
            <w:r w:rsidRPr="00C345C4">
              <w:rPr>
                <w:rFonts w:ascii="Avenir Next LT Pro" w:eastAsia="Times New Roman" w:hAnsi="Avenir Next LT Pro"/>
                <w:iCs/>
                <w:snapToGrid w:val="0"/>
                <w:sz w:val="20"/>
                <w:szCs w:val="20"/>
              </w:rPr>
              <w:t>Autres sources de financement :</w:t>
            </w:r>
          </w:p>
          <w:p w14:paraId="76F835F0" w14:textId="5A6CAE60" w:rsidR="002A54F5" w:rsidRPr="00C345C4" w:rsidRDefault="001B3FF0" w:rsidP="00487A95">
            <w:pPr>
              <w:pStyle w:val="Paragraphedeliste"/>
              <w:numPr>
                <w:ilvl w:val="0"/>
                <w:numId w:val="11"/>
              </w:numPr>
              <w:spacing w:after="0"/>
              <w:rPr>
                <w:rFonts w:ascii="Avenir Next LT Pro" w:eastAsia="Times New Roman" w:hAnsi="Avenir Next LT Pro"/>
                <w:iCs/>
                <w:snapToGrid w:val="0"/>
                <w:sz w:val="20"/>
                <w:szCs w:val="20"/>
              </w:rPr>
            </w:pPr>
            <w:r w:rsidRPr="00C345C4">
              <w:rPr>
                <w:rFonts w:ascii="Avenir Next LT Pro" w:eastAsia="Times New Roman" w:hAnsi="Avenir Next LT Pro"/>
                <w:iCs/>
                <w:snapToGrid w:val="0"/>
                <w:sz w:val="20"/>
                <w:szCs w:val="20"/>
              </w:rPr>
              <w:t>Contribution du gouvernement :</w:t>
            </w:r>
          </w:p>
          <w:p w14:paraId="6910F608" w14:textId="6E5F9D9A" w:rsidR="00FE6991" w:rsidRPr="00C345C4" w:rsidRDefault="000E4FB5" w:rsidP="00487A95">
            <w:pPr>
              <w:pStyle w:val="Paragraphedeliste"/>
              <w:numPr>
                <w:ilvl w:val="0"/>
                <w:numId w:val="11"/>
              </w:numPr>
              <w:spacing w:after="0"/>
              <w:rPr>
                <w:rFonts w:ascii="Avenir Next LT Pro" w:eastAsia="Times New Roman" w:hAnsi="Avenir Next LT Pro"/>
                <w:snapToGrid w:val="0"/>
                <w:sz w:val="20"/>
                <w:szCs w:val="20"/>
              </w:rPr>
            </w:pPr>
            <w:r>
              <w:rPr>
                <w:rFonts w:ascii="Avenir Next LT Pro" w:eastAsia="Times New Roman" w:hAnsi="Avenir Next LT Pro"/>
                <w:iCs/>
                <w:snapToGrid w:val="0"/>
                <w:sz w:val="20"/>
                <w:szCs w:val="20"/>
              </w:rPr>
              <w:t>PNUD</w:t>
            </w:r>
            <w:r w:rsidR="002E15A6" w:rsidRPr="00C345C4">
              <w:rPr>
                <w:rFonts w:ascii="Avenir Next LT Pro" w:eastAsia="Times New Roman" w:hAnsi="Avenir Next LT Pro"/>
                <w:iCs/>
                <w:snapToGrid w:val="0"/>
                <w:sz w:val="20"/>
                <w:szCs w:val="20"/>
              </w:rPr>
              <w:t>:</w:t>
            </w:r>
            <w:r>
              <w:rPr>
                <w:rFonts w:ascii="Avenir Next LT Pro" w:eastAsia="Times New Roman" w:hAnsi="Avenir Next LT Pro"/>
                <w:iCs/>
                <w:snapToGrid w:val="0"/>
                <w:sz w:val="20"/>
                <w:szCs w:val="20"/>
              </w:rPr>
              <w:t xml:space="preserve"> </w:t>
            </w:r>
            <w:r w:rsidRPr="000E4FB5">
              <w:rPr>
                <w:rFonts w:ascii="Avenir Next LT Pro" w:eastAsia="Times New Roman" w:hAnsi="Avenir Next LT Pro"/>
                <w:b/>
                <w:bCs/>
                <w:iCs/>
                <w:snapToGrid w:val="0"/>
                <w:sz w:val="20"/>
                <w:szCs w:val="20"/>
              </w:rPr>
              <w:t>100.000 USD</w:t>
            </w:r>
            <w:r>
              <w:rPr>
                <w:rFonts w:ascii="Avenir Next LT Pro" w:eastAsia="Times New Roman" w:hAnsi="Avenir Next LT Pro"/>
                <w:iCs/>
                <w:snapToGrid w:val="0"/>
                <w:sz w:val="20"/>
                <w:szCs w:val="20"/>
              </w:rPr>
              <w:t xml:space="preserve"> </w:t>
            </w:r>
          </w:p>
        </w:tc>
        <w:tc>
          <w:tcPr>
            <w:tcW w:w="225" w:type="pct"/>
            <w:tcBorders>
              <w:top w:val="nil"/>
              <w:left w:val="single" w:sz="4" w:space="0" w:color="auto"/>
              <w:bottom w:val="nil"/>
              <w:right w:val="single" w:sz="4" w:space="0" w:color="auto"/>
            </w:tcBorders>
          </w:tcPr>
          <w:p w14:paraId="4ABB7635"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1508" w:type="pct"/>
            <w:tcBorders>
              <w:top w:val="single" w:sz="4" w:space="0" w:color="auto"/>
              <w:left w:val="single" w:sz="4" w:space="0" w:color="auto"/>
              <w:bottom w:val="nil"/>
              <w:right w:val="nil"/>
            </w:tcBorders>
            <w:shd w:val="clear" w:color="auto" w:fill="auto"/>
          </w:tcPr>
          <w:p w14:paraId="0667DD35" w14:textId="47E70329" w:rsidR="00FE6991" w:rsidRDefault="00FE6991" w:rsidP="00EE69F4">
            <w:pPr>
              <w:widowControl w:val="0"/>
              <w:spacing w:after="0"/>
              <w:contextualSpacing/>
              <w:jc w:val="both"/>
              <w:rPr>
                <w:rFonts w:ascii="Avenir Next LT Pro" w:eastAsia="Times New Roman" w:hAnsi="Avenir Next LT Pro"/>
                <w:b/>
                <w:snapToGrid w:val="0"/>
                <w:sz w:val="20"/>
                <w:szCs w:val="20"/>
              </w:rPr>
            </w:pPr>
            <w:r w:rsidRPr="00C345C4">
              <w:rPr>
                <w:rFonts w:ascii="Avenir Next LT Pro" w:eastAsia="Times New Roman" w:hAnsi="Avenir Next LT Pro"/>
                <w:b/>
                <w:snapToGrid w:val="0"/>
                <w:sz w:val="20"/>
                <w:szCs w:val="20"/>
              </w:rPr>
              <w:t>Province :</w:t>
            </w:r>
            <w:r w:rsidR="003D7F8C">
              <w:rPr>
                <w:rFonts w:ascii="Avenir Next LT Pro" w:eastAsia="Times New Roman" w:hAnsi="Avenir Next LT Pro"/>
                <w:b/>
                <w:snapToGrid w:val="0"/>
                <w:sz w:val="20"/>
                <w:szCs w:val="20"/>
              </w:rPr>
              <w:t xml:space="preserve"> </w:t>
            </w:r>
            <w:r w:rsidR="00D764B8" w:rsidRPr="00D764B8">
              <w:rPr>
                <w:rFonts w:ascii="Avenir Next LT Pro" w:eastAsia="Times New Roman" w:hAnsi="Avenir Next LT Pro"/>
                <w:bCs/>
                <w:snapToGrid w:val="0"/>
                <w:sz w:val="20"/>
                <w:szCs w:val="20"/>
              </w:rPr>
              <w:t>National</w:t>
            </w:r>
          </w:p>
          <w:p w14:paraId="14B2BF46" w14:textId="77777777" w:rsidR="003D7F8C" w:rsidRPr="00C345C4" w:rsidRDefault="003D7F8C" w:rsidP="00EE69F4">
            <w:pPr>
              <w:widowControl w:val="0"/>
              <w:spacing w:after="0"/>
              <w:contextualSpacing/>
              <w:jc w:val="both"/>
              <w:rPr>
                <w:rFonts w:ascii="Avenir Next LT Pro" w:eastAsia="Times New Roman" w:hAnsi="Avenir Next LT Pro"/>
                <w:b/>
                <w:snapToGrid w:val="0"/>
                <w:sz w:val="20"/>
                <w:szCs w:val="20"/>
              </w:rPr>
            </w:pPr>
          </w:p>
        </w:tc>
        <w:tc>
          <w:tcPr>
            <w:tcW w:w="955" w:type="pct"/>
            <w:tcBorders>
              <w:top w:val="single" w:sz="4" w:space="0" w:color="auto"/>
              <w:left w:val="nil"/>
              <w:bottom w:val="nil"/>
              <w:right w:val="single" w:sz="4" w:space="0" w:color="auto"/>
            </w:tcBorders>
            <w:shd w:val="clear" w:color="auto" w:fill="auto"/>
          </w:tcPr>
          <w:p w14:paraId="2860A91D"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r w:rsidR="00A87B71" w:rsidRPr="00C345C4" w14:paraId="0F929CA2" w14:textId="77777777" w:rsidTr="000531B9">
        <w:trPr>
          <w:trHeight w:val="350"/>
        </w:trPr>
        <w:tc>
          <w:tcPr>
            <w:tcW w:w="2312" w:type="pct"/>
            <w:vMerge/>
            <w:tcBorders>
              <w:left w:val="single" w:sz="4" w:space="0" w:color="auto"/>
              <w:right w:val="single" w:sz="4" w:space="0" w:color="auto"/>
            </w:tcBorders>
            <w:shd w:val="clear" w:color="auto" w:fill="auto"/>
          </w:tcPr>
          <w:p w14:paraId="01320885" w14:textId="220A4C7C"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5" w:type="pct"/>
            <w:tcBorders>
              <w:top w:val="nil"/>
              <w:left w:val="single" w:sz="4" w:space="0" w:color="auto"/>
              <w:bottom w:val="nil"/>
              <w:right w:val="single" w:sz="4" w:space="0" w:color="auto"/>
            </w:tcBorders>
          </w:tcPr>
          <w:p w14:paraId="777D7C87"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1508" w:type="pct"/>
            <w:tcBorders>
              <w:top w:val="nil"/>
              <w:left w:val="single" w:sz="4" w:space="0" w:color="auto"/>
              <w:bottom w:val="nil"/>
              <w:right w:val="nil"/>
            </w:tcBorders>
            <w:shd w:val="clear" w:color="auto" w:fill="auto"/>
          </w:tcPr>
          <w:p w14:paraId="241F3950" w14:textId="72546A46" w:rsidR="00FE6991" w:rsidRPr="00C345C4" w:rsidRDefault="00FE6991" w:rsidP="00EE69F4">
            <w:pPr>
              <w:widowControl w:val="0"/>
              <w:spacing w:after="0"/>
              <w:contextualSpacing/>
              <w:jc w:val="both"/>
              <w:rPr>
                <w:rFonts w:ascii="Avenir Next LT Pro" w:eastAsia="Times New Roman" w:hAnsi="Avenir Next LT Pro"/>
                <w:b/>
                <w:snapToGrid w:val="0"/>
                <w:sz w:val="20"/>
                <w:szCs w:val="20"/>
              </w:rPr>
            </w:pPr>
            <w:r w:rsidRPr="00C345C4">
              <w:rPr>
                <w:rFonts w:ascii="Avenir Next LT Pro" w:eastAsia="Times New Roman" w:hAnsi="Avenir Next LT Pro"/>
                <w:b/>
                <w:snapToGrid w:val="0"/>
                <w:sz w:val="20"/>
                <w:szCs w:val="20"/>
              </w:rPr>
              <w:t>District(s)</w:t>
            </w:r>
            <w:r w:rsidR="002A54F5" w:rsidRPr="00C345C4">
              <w:rPr>
                <w:rFonts w:ascii="Avenir Next LT Pro" w:eastAsia="Times New Roman" w:hAnsi="Avenir Next LT Pro"/>
                <w:b/>
                <w:snapToGrid w:val="0"/>
                <w:sz w:val="20"/>
                <w:szCs w:val="20"/>
              </w:rPr>
              <w:t xml:space="preserve"> </w:t>
            </w:r>
            <w:r w:rsidRPr="00C345C4">
              <w:rPr>
                <w:rFonts w:ascii="Avenir Next LT Pro" w:eastAsia="Times New Roman" w:hAnsi="Avenir Next LT Pro"/>
                <w:b/>
                <w:snapToGrid w:val="0"/>
                <w:sz w:val="20"/>
                <w:szCs w:val="20"/>
              </w:rPr>
              <w:t>:</w:t>
            </w:r>
          </w:p>
        </w:tc>
        <w:tc>
          <w:tcPr>
            <w:tcW w:w="955" w:type="pct"/>
            <w:tcBorders>
              <w:top w:val="nil"/>
              <w:left w:val="nil"/>
              <w:bottom w:val="nil"/>
              <w:right w:val="single" w:sz="4" w:space="0" w:color="auto"/>
            </w:tcBorders>
            <w:shd w:val="clear" w:color="auto" w:fill="auto"/>
          </w:tcPr>
          <w:p w14:paraId="5CE6713A"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r w:rsidR="00A87B71" w:rsidRPr="00C345C4" w14:paraId="2EB977BB" w14:textId="77777777" w:rsidTr="000531B9">
        <w:trPr>
          <w:trHeight w:val="350"/>
        </w:trPr>
        <w:tc>
          <w:tcPr>
            <w:tcW w:w="2312" w:type="pct"/>
            <w:vMerge/>
            <w:tcBorders>
              <w:left w:val="single" w:sz="4" w:space="0" w:color="auto"/>
              <w:right w:val="single" w:sz="4" w:space="0" w:color="auto"/>
            </w:tcBorders>
            <w:shd w:val="clear" w:color="auto" w:fill="auto"/>
          </w:tcPr>
          <w:p w14:paraId="513FE6ED" w14:textId="0D080248"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5" w:type="pct"/>
            <w:tcBorders>
              <w:top w:val="nil"/>
              <w:left w:val="single" w:sz="4" w:space="0" w:color="auto"/>
              <w:bottom w:val="nil"/>
              <w:right w:val="single" w:sz="4" w:space="0" w:color="auto"/>
            </w:tcBorders>
          </w:tcPr>
          <w:p w14:paraId="1B8AF7EE"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1508" w:type="pct"/>
            <w:tcBorders>
              <w:top w:val="nil"/>
              <w:left w:val="single" w:sz="4" w:space="0" w:color="auto"/>
              <w:bottom w:val="nil"/>
              <w:right w:val="nil"/>
            </w:tcBorders>
            <w:shd w:val="clear" w:color="auto" w:fill="auto"/>
          </w:tcPr>
          <w:p w14:paraId="3D56132B" w14:textId="2B7E046E" w:rsidR="00FE6991" w:rsidRPr="00C345C4" w:rsidRDefault="00FE6991" w:rsidP="00EE69F4">
            <w:pPr>
              <w:widowControl w:val="0"/>
              <w:spacing w:after="0"/>
              <w:contextualSpacing/>
              <w:jc w:val="both"/>
              <w:rPr>
                <w:rFonts w:ascii="Avenir Next LT Pro" w:eastAsia="Times New Roman" w:hAnsi="Avenir Next LT Pro"/>
                <w:b/>
                <w:snapToGrid w:val="0"/>
                <w:sz w:val="20"/>
                <w:szCs w:val="20"/>
              </w:rPr>
            </w:pPr>
            <w:r w:rsidRPr="00C345C4">
              <w:rPr>
                <w:rFonts w:ascii="Avenir Next LT Pro" w:eastAsia="Times New Roman" w:hAnsi="Avenir Next LT Pro"/>
                <w:b/>
                <w:snapToGrid w:val="0"/>
                <w:sz w:val="20"/>
                <w:szCs w:val="20"/>
              </w:rPr>
              <w:t>Chefferie(s)</w:t>
            </w:r>
            <w:r w:rsidR="002A54F5" w:rsidRPr="00C345C4">
              <w:rPr>
                <w:rFonts w:ascii="Avenir Next LT Pro" w:eastAsia="Times New Roman" w:hAnsi="Avenir Next LT Pro"/>
                <w:b/>
                <w:snapToGrid w:val="0"/>
                <w:sz w:val="20"/>
                <w:szCs w:val="20"/>
              </w:rPr>
              <w:t xml:space="preserve"> </w:t>
            </w:r>
            <w:r w:rsidRPr="00C345C4">
              <w:rPr>
                <w:rFonts w:ascii="Avenir Next LT Pro" w:eastAsia="Times New Roman" w:hAnsi="Avenir Next LT Pro"/>
                <w:b/>
                <w:snapToGrid w:val="0"/>
                <w:sz w:val="20"/>
                <w:szCs w:val="20"/>
              </w:rPr>
              <w:t>:</w:t>
            </w:r>
          </w:p>
        </w:tc>
        <w:tc>
          <w:tcPr>
            <w:tcW w:w="955" w:type="pct"/>
            <w:tcBorders>
              <w:top w:val="nil"/>
              <w:left w:val="nil"/>
              <w:bottom w:val="nil"/>
              <w:right w:val="single" w:sz="4" w:space="0" w:color="auto"/>
            </w:tcBorders>
            <w:shd w:val="clear" w:color="auto" w:fill="auto"/>
          </w:tcPr>
          <w:p w14:paraId="2A2A2AD2"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r w:rsidR="00A87B71" w:rsidRPr="00C345C4" w14:paraId="7C031EB0" w14:textId="77777777" w:rsidTr="000531B9">
        <w:trPr>
          <w:trHeight w:val="350"/>
        </w:trPr>
        <w:tc>
          <w:tcPr>
            <w:tcW w:w="2312" w:type="pct"/>
            <w:vMerge/>
            <w:tcBorders>
              <w:left w:val="single" w:sz="4" w:space="0" w:color="auto"/>
              <w:bottom w:val="single" w:sz="4" w:space="0" w:color="auto"/>
              <w:right w:val="single" w:sz="4" w:space="0" w:color="auto"/>
            </w:tcBorders>
            <w:shd w:val="clear" w:color="auto" w:fill="auto"/>
          </w:tcPr>
          <w:p w14:paraId="6F467338"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225" w:type="pct"/>
            <w:tcBorders>
              <w:top w:val="nil"/>
              <w:left w:val="single" w:sz="4" w:space="0" w:color="auto"/>
              <w:bottom w:val="nil"/>
              <w:right w:val="single" w:sz="4" w:space="0" w:color="auto"/>
            </w:tcBorders>
          </w:tcPr>
          <w:p w14:paraId="7CBF2B65"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c>
          <w:tcPr>
            <w:tcW w:w="1508" w:type="pct"/>
            <w:tcBorders>
              <w:top w:val="nil"/>
              <w:left w:val="single" w:sz="4" w:space="0" w:color="auto"/>
              <w:bottom w:val="single" w:sz="4" w:space="0" w:color="auto"/>
              <w:right w:val="nil"/>
            </w:tcBorders>
            <w:shd w:val="clear" w:color="auto" w:fill="auto"/>
          </w:tcPr>
          <w:p w14:paraId="4CF0ABDD" w14:textId="77777777" w:rsidR="00FE6991" w:rsidRPr="00C345C4" w:rsidRDefault="00FE6991" w:rsidP="00EE69F4">
            <w:pPr>
              <w:widowControl w:val="0"/>
              <w:spacing w:after="0"/>
              <w:contextualSpacing/>
              <w:jc w:val="both"/>
              <w:rPr>
                <w:rFonts w:ascii="Avenir Next LT Pro" w:eastAsia="Times New Roman" w:hAnsi="Avenir Next LT Pro"/>
                <w:b/>
                <w:snapToGrid w:val="0"/>
                <w:sz w:val="20"/>
                <w:szCs w:val="20"/>
              </w:rPr>
            </w:pPr>
          </w:p>
        </w:tc>
        <w:tc>
          <w:tcPr>
            <w:tcW w:w="955" w:type="pct"/>
            <w:tcBorders>
              <w:top w:val="nil"/>
              <w:left w:val="nil"/>
              <w:bottom w:val="single" w:sz="4" w:space="0" w:color="auto"/>
              <w:right w:val="single" w:sz="4" w:space="0" w:color="auto"/>
            </w:tcBorders>
            <w:shd w:val="clear" w:color="auto" w:fill="auto"/>
          </w:tcPr>
          <w:p w14:paraId="47FE25F6" w14:textId="77777777" w:rsidR="00FE6991" w:rsidRPr="00C345C4" w:rsidRDefault="00FE6991" w:rsidP="00EE69F4">
            <w:pPr>
              <w:widowControl w:val="0"/>
              <w:spacing w:after="0"/>
              <w:contextualSpacing/>
              <w:jc w:val="both"/>
              <w:rPr>
                <w:rFonts w:ascii="Avenir Next LT Pro" w:eastAsia="Times New Roman" w:hAnsi="Avenir Next LT Pro"/>
                <w:snapToGrid w:val="0"/>
                <w:sz w:val="20"/>
                <w:szCs w:val="20"/>
              </w:rPr>
            </w:pPr>
          </w:p>
        </w:tc>
      </w:tr>
    </w:tbl>
    <w:p w14:paraId="1EBD3B5A" w14:textId="77777777" w:rsidR="00C56AAA" w:rsidRPr="00C345C4" w:rsidRDefault="00C56AAA" w:rsidP="00EE69F4">
      <w:pPr>
        <w:spacing w:after="0"/>
        <w:contextualSpacing/>
        <w:rPr>
          <w:rFonts w:ascii="Avenir Next LT Pro" w:eastAsiaTheme="minorHAnsi" w:hAnsi="Avenir Next LT Pro"/>
          <w:sz w:val="20"/>
          <w:szCs w:val="20"/>
        </w:rPr>
      </w:pPr>
    </w:p>
    <w:tbl>
      <w:tblPr>
        <w:tblW w:w="514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5"/>
        <w:gridCol w:w="632"/>
        <w:gridCol w:w="427"/>
        <w:gridCol w:w="3712"/>
        <w:gridCol w:w="807"/>
      </w:tblGrid>
      <w:tr w:rsidR="00DC7AEA" w:rsidRPr="00C345C4" w14:paraId="5F663927" w14:textId="77777777" w:rsidTr="008E3459">
        <w:trPr>
          <w:trHeight w:val="440"/>
        </w:trPr>
        <w:tc>
          <w:tcPr>
            <w:tcW w:w="2347" w:type="pct"/>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5C9AB772"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lastRenderedPageBreak/>
              <w:t>Organisations Participantes :</w:t>
            </w:r>
          </w:p>
        </w:tc>
        <w:tc>
          <w:tcPr>
            <w:tcW w:w="229" w:type="pct"/>
            <w:tcBorders>
              <w:top w:val="nil"/>
              <w:left w:val="single" w:sz="4" w:space="0" w:color="auto"/>
              <w:bottom w:val="nil"/>
              <w:right w:val="single" w:sz="4" w:space="0" w:color="auto"/>
            </w:tcBorders>
            <w:shd w:val="clear" w:color="auto" w:fill="auto"/>
          </w:tcPr>
          <w:p w14:paraId="367C82C1"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p>
        </w:tc>
        <w:tc>
          <w:tcPr>
            <w:tcW w:w="2424" w:type="pct"/>
            <w:gridSpan w:val="2"/>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61B106FE" w14:textId="3B0353EC"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 xml:space="preserve">Durée du </w:t>
            </w:r>
            <w:r w:rsidR="0068302F" w:rsidRPr="00C345C4">
              <w:rPr>
                <w:rFonts w:ascii="Avenir Next LT Pro" w:eastAsia="Times New Roman" w:hAnsi="Avenir Next LT Pro"/>
                <w:b/>
                <w:bCs/>
                <w:snapToGrid w:val="0"/>
                <w:kern w:val="32"/>
                <w:sz w:val="20"/>
                <w:szCs w:val="20"/>
              </w:rPr>
              <w:t xml:space="preserve">projet </w:t>
            </w:r>
            <w:r w:rsidRPr="00C345C4">
              <w:rPr>
                <w:rFonts w:ascii="Avenir Next LT Pro" w:eastAsia="Times New Roman" w:hAnsi="Avenir Next LT Pro"/>
                <w:b/>
                <w:bCs/>
                <w:snapToGrid w:val="0"/>
                <w:kern w:val="32"/>
                <w:sz w:val="20"/>
                <w:szCs w:val="20"/>
              </w:rPr>
              <w:t>:</w:t>
            </w:r>
          </w:p>
        </w:tc>
      </w:tr>
      <w:tr w:rsidR="00DC7AEA" w:rsidRPr="00C345C4" w14:paraId="3D83AC9D" w14:textId="77777777" w:rsidTr="008E3459">
        <w:trPr>
          <w:trHeight w:val="60"/>
        </w:trPr>
        <w:tc>
          <w:tcPr>
            <w:tcW w:w="2008" w:type="pct"/>
            <w:tcBorders>
              <w:top w:val="single" w:sz="4" w:space="0" w:color="auto"/>
              <w:left w:val="single" w:sz="4" w:space="0" w:color="auto"/>
              <w:bottom w:val="nil"/>
              <w:right w:val="nil"/>
            </w:tcBorders>
            <w:shd w:val="clear" w:color="auto" w:fill="auto"/>
          </w:tcPr>
          <w:p w14:paraId="302905CE" w14:textId="191913D4" w:rsidR="00E946DE" w:rsidRDefault="00A7361A" w:rsidP="00E946DE">
            <w:pPr>
              <w:widowControl w:val="0"/>
              <w:spacing w:after="0"/>
              <w:contextualSpacing/>
              <w:rPr>
                <w:rFonts w:asciiTheme="minorHAnsi" w:eastAsia="Times New Roman" w:hAnsiTheme="minorHAnsi" w:cstheme="minorHAnsi"/>
                <w:snapToGrid w:val="0"/>
                <w:sz w:val="20"/>
                <w:szCs w:val="20"/>
              </w:rPr>
            </w:pPr>
            <w:r w:rsidRPr="00C345C4">
              <w:rPr>
                <w:rFonts w:ascii="Avenir Next LT Pro" w:eastAsia="Times New Roman" w:hAnsi="Avenir Next LT Pro"/>
                <w:b/>
                <w:bCs/>
                <w:iCs/>
                <w:snapToGrid w:val="0"/>
                <w:sz w:val="20"/>
                <w:szCs w:val="20"/>
              </w:rPr>
              <w:t>Entités nationales</w:t>
            </w:r>
            <w:r w:rsidR="001243CC" w:rsidRPr="00C345C4">
              <w:rPr>
                <w:rFonts w:ascii="Avenir Next LT Pro" w:eastAsia="Times New Roman" w:hAnsi="Avenir Next LT Pro"/>
                <w:b/>
                <w:bCs/>
                <w:iCs/>
                <w:snapToGrid w:val="0"/>
                <w:sz w:val="20"/>
                <w:szCs w:val="20"/>
              </w:rPr>
              <w:t> </w:t>
            </w:r>
            <w:r w:rsidR="006E6B64" w:rsidRPr="00C345C4">
              <w:rPr>
                <w:rFonts w:ascii="Avenir Next LT Pro" w:eastAsia="Times New Roman" w:hAnsi="Avenir Next LT Pro"/>
                <w:b/>
                <w:bCs/>
                <w:iCs/>
                <w:snapToGrid w:val="0"/>
                <w:sz w:val="20"/>
                <w:szCs w:val="20"/>
              </w:rPr>
              <w:t>:</w:t>
            </w:r>
            <w:r w:rsidR="00F2214D">
              <w:rPr>
                <w:rFonts w:ascii="Avenir Next LT Pro" w:eastAsia="Times New Roman" w:hAnsi="Avenir Next LT Pro"/>
                <w:b/>
                <w:bCs/>
                <w:iCs/>
                <w:snapToGrid w:val="0"/>
                <w:sz w:val="20"/>
                <w:szCs w:val="20"/>
              </w:rPr>
              <w:t xml:space="preserve"> </w:t>
            </w:r>
            <w:r w:rsidR="00E946DE" w:rsidRPr="005D4E0C">
              <w:rPr>
                <w:rFonts w:asciiTheme="minorHAnsi" w:eastAsia="Times New Roman" w:hAnsiTheme="minorHAnsi" w:cstheme="minorHAnsi"/>
                <w:snapToGrid w:val="0"/>
                <w:sz w:val="20"/>
                <w:szCs w:val="20"/>
              </w:rPr>
              <w:t xml:space="preserve">Direction de Développement Durable (DDD) </w:t>
            </w:r>
            <w:r w:rsidR="00E946DE">
              <w:rPr>
                <w:rFonts w:asciiTheme="minorHAnsi" w:eastAsia="Times New Roman" w:hAnsiTheme="minorHAnsi" w:cstheme="minorHAnsi"/>
                <w:snapToGrid w:val="0"/>
                <w:sz w:val="20"/>
                <w:szCs w:val="20"/>
              </w:rPr>
              <w:t>du MEDD</w:t>
            </w:r>
            <w:r w:rsidR="00397C15">
              <w:rPr>
                <w:rFonts w:asciiTheme="minorHAnsi" w:eastAsia="Times New Roman" w:hAnsiTheme="minorHAnsi" w:cstheme="minorHAnsi"/>
                <w:snapToGrid w:val="0"/>
                <w:sz w:val="20"/>
                <w:szCs w:val="20"/>
              </w:rPr>
              <w:t> ;</w:t>
            </w:r>
          </w:p>
          <w:p w14:paraId="0AF69C91" w14:textId="2A318CBA" w:rsidR="00C56AAA" w:rsidRPr="00C345C4" w:rsidRDefault="00E946DE" w:rsidP="00397C15">
            <w:pPr>
              <w:widowControl w:val="0"/>
              <w:spacing w:after="0"/>
              <w:contextualSpacing/>
              <w:rPr>
                <w:rFonts w:ascii="Avenir Next LT Pro" w:eastAsia="Times New Roman" w:hAnsi="Avenir Next LT Pro"/>
                <w:b/>
                <w:bCs/>
                <w:iCs/>
                <w:snapToGrid w:val="0"/>
                <w:sz w:val="20"/>
                <w:szCs w:val="20"/>
              </w:rPr>
            </w:pPr>
            <w:r w:rsidRPr="005D4E0C">
              <w:rPr>
                <w:rFonts w:asciiTheme="minorHAnsi" w:eastAsia="Times New Roman" w:hAnsiTheme="minorHAnsi" w:cstheme="minorHAnsi"/>
                <w:snapToGrid w:val="0"/>
                <w:sz w:val="20"/>
                <w:szCs w:val="20"/>
              </w:rPr>
              <w:t>Autorité de Régulation du Marché du Carbone (ARMCA)</w:t>
            </w:r>
            <w:r w:rsidR="00397C15">
              <w:rPr>
                <w:rFonts w:asciiTheme="minorHAnsi" w:eastAsia="Times New Roman" w:hAnsiTheme="minorHAnsi" w:cstheme="minorHAnsi"/>
                <w:snapToGrid w:val="0"/>
                <w:sz w:val="20"/>
                <w:szCs w:val="20"/>
              </w:rPr>
              <w:t xml:space="preserve"> ; </w:t>
            </w:r>
            <w:r w:rsidRPr="00A50055">
              <w:rPr>
                <w:rFonts w:asciiTheme="minorHAnsi" w:eastAsia="Times New Roman" w:hAnsiTheme="minorHAnsi" w:cstheme="minorHAnsi"/>
                <w:snapToGrid w:val="0"/>
                <w:sz w:val="20"/>
                <w:szCs w:val="20"/>
              </w:rPr>
              <w:t>Ministère des Finances</w:t>
            </w:r>
          </w:p>
          <w:p w14:paraId="6FAB892C" w14:textId="77777777" w:rsidR="00A7361A" w:rsidRPr="00C345C4" w:rsidRDefault="00A7361A" w:rsidP="00EE69F4">
            <w:pPr>
              <w:spacing w:after="0"/>
              <w:contextualSpacing/>
              <w:rPr>
                <w:rFonts w:ascii="Avenir Next LT Pro" w:eastAsia="Times New Roman" w:hAnsi="Avenir Next LT Pro"/>
                <w:b/>
                <w:bCs/>
                <w:iCs/>
                <w:snapToGrid w:val="0"/>
                <w:sz w:val="20"/>
                <w:szCs w:val="20"/>
              </w:rPr>
            </w:pPr>
          </w:p>
        </w:tc>
        <w:tc>
          <w:tcPr>
            <w:tcW w:w="338" w:type="pct"/>
            <w:tcBorders>
              <w:top w:val="single" w:sz="4" w:space="0" w:color="auto"/>
              <w:left w:val="nil"/>
              <w:bottom w:val="nil"/>
              <w:right w:val="single" w:sz="4" w:space="0" w:color="auto"/>
            </w:tcBorders>
          </w:tcPr>
          <w:p w14:paraId="22BA4E6E"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229" w:type="pct"/>
            <w:tcBorders>
              <w:top w:val="nil"/>
              <w:left w:val="single" w:sz="4" w:space="0" w:color="auto"/>
              <w:bottom w:val="nil"/>
              <w:right w:val="single" w:sz="4" w:space="0" w:color="auto"/>
            </w:tcBorders>
          </w:tcPr>
          <w:p w14:paraId="605F85BC"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1991" w:type="pct"/>
            <w:tcBorders>
              <w:top w:val="single" w:sz="4" w:space="0" w:color="auto"/>
              <w:left w:val="single" w:sz="4" w:space="0" w:color="auto"/>
              <w:bottom w:val="nil"/>
              <w:right w:val="nil"/>
            </w:tcBorders>
            <w:shd w:val="clear" w:color="auto" w:fill="auto"/>
          </w:tcPr>
          <w:p w14:paraId="4B9A6AD7" w14:textId="3BA6BEB1"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 xml:space="preserve">Durée totale (en mois) :  </w:t>
            </w:r>
            <w:r w:rsidR="00397C15">
              <w:rPr>
                <w:rFonts w:ascii="Avenir Next LT Pro" w:eastAsia="Times New Roman" w:hAnsi="Avenir Next LT Pro"/>
                <w:snapToGrid w:val="0"/>
                <w:sz w:val="20"/>
                <w:szCs w:val="20"/>
              </w:rPr>
              <w:t>36 mois</w:t>
            </w:r>
          </w:p>
          <w:p w14:paraId="7E01A95F" w14:textId="393CBB26" w:rsidR="00C56AAA" w:rsidRPr="00C345C4" w:rsidRDefault="00C56AAA" w:rsidP="00EE69F4">
            <w:pPr>
              <w:widowControl w:val="0"/>
              <w:spacing w:after="0"/>
              <w:contextualSpacing/>
              <w:jc w:val="both"/>
              <w:rPr>
                <w:rFonts w:ascii="Avenir Next LT Pro" w:eastAsia="Times New Roman" w:hAnsi="Avenir Next LT Pro"/>
                <w:b/>
                <w:snapToGrid w:val="0"/>
                <w:sz w:val="20"/>
                <w:szCs w:val="20"/>
              </w:rPr>
            </w:pPr>
          </w:p>
        </w:tc>
        <w:tc>
          <w:tcPr>
            <w:tcW w:w="433" w:type="pct"/>
            <w:tcBorders>
              <w:top w:val="single" w:sz="4" w:space="0" w:color="auto"/>
              <w:left w:val="nil"/>
              <w:bottom w:val="nil"/>
              <w:right w:val="single" w:sz="4" w:space="0" w:color="auto"/>
            </w:tcBorders>
            <w:shd w:val="clear" w:color="auto" w:fill="auto"/>
          </w:tcPr>
          <w:p w14:paraId="20CB979A"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r>
      <w:tr w:rsidR="00DC7AEA" w:rsidRPr="00C345C4" w14:paraId="6DD3690B" w14:textId="77777777" w:rsidTr="008E3459">
        <w:trPr>
          <w:trHeight w:val="350"/>
        </w:trPr>
        <w:tc>
          <w:tcPr>
            <w:tcW w:w="2008" w:type="pct"/>
            <w:tcBorders>
              <w:top w:val="nil"/>
              <w:left w:val="single" w:sz="4" w:space="0" w:color="auto"/>
              <w:bottom w:val="single" w:sz="4" w:space="0" w:color="auto"/>
              <w:right w:val="nil"/>
            </w:tcBorders>
            <w:shd w:val="clear" w:color="auto" w:fill="auto"/>
          </w:tcPr>
          <w:p w14:paraId="7F81C950" w14:textId="0A098BBD" w:rsidR="00C56AAA" w:rsidRPr="00C345C4" w:rsidRDefault="00A7361A"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Entités internationales :</w:t>
            </w:r>
          </w:p>
        </w:tc>
        <w:tc>
          <w:tcPr>
            <w:tcW w:w="338" w:type="pct"/>
            <w:tcBorders>
              <w:top w:val="nil"/>
              <w:left w:val="nil"/>
              <w:bottom w:val="single" w:sz="4" w:space="0" w:color="auto"/>
              <w:right w:val="single" w:sz="4" w:space="0" w:color="auto"/>
            </w:tcBorders>
          </w:tcPr>
          <w:p w14:paraId="311510CD"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229" w:type="pct"/>
            <w:tcBorders>
              <w:top w:val="nil"/>
              <w:left w:val="single" w:sz="4" w:space="0" w:color="auto"/>
              <w:bottom w:val="nil"/>
              <w:right w:val="single" w:sz="4" w:space="0" w:color="auto"/>
            </w:tcBorders>
          </w:tcPr>
          <w:p w14:paraId="1032635D"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c>
          <w:tcPr>
            <w:tcW w:w="1991" w:type="pct"/>
            <w:tcBorders>
              <w:top w:val="nil"/>
              <w:left w:val="single" w:sz="4" w:space="0" w:color="auto"/>
              <w:bottom w:val="single" w:sz="4" w:space="0" w:color="auto"/>
              <w:right w:val="nil"/>
            </w:tcBorders>
            <w:shd w:val="clear" w:color="auto" w:fill="auto"/>
          </w:tcPr>
          <w:p w14:paraId="781AA6EC" w14:textId="73C69F36"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 xml:space="preserve">Date de </w:t>
            </w:r>
            <w:r w:rsidR="00F916B5" w:rsidRPr="00C345C4">
              <w:rPr>
                <w:rFonts w:ascii="Avenir Next LT Pro" w:eastAsia="Times New Roman" w:hAnsi="Avenir Next LT Pro"/>
                <w:snapToGrid w:val="0"/>
                <w:sz w:val="20"/>
                <w:szCs w:val="20"/>
              </w:rPr>
              <w:t xml:space="preserve">début </w:t>
            </w:r>
            <w:r w:rsidRPr="00C345C4">
              <w:rPr>
                <w:rFonts w:ascii="Avenir Next LT Pro" w:eastAsia="Times New Roman" w:hAnsi="Avenir Next LT Pro"/>
                <w:snapToGrid w:val="0"/>
                <w:sz w:val="20"/>
                <w:szCs w:val="20"/>
              </w:rPr>
              <w:t>prévue</w:t>
            </w:r>
            <w:r w:rsidRPr="00C345C4">
              <w:rPr>
                <w:rFonts w:ascii="Avenir Next LT Pro" w:eastAsiaTheme="majorEastAsia" w:hAnsi="Avenir Next LT Pro"/>
                <w:snapToGrid w:val="0"/>
                <w:sz w:val="20"/>
                <w:szCs w:val="20"/>
                <w:vertAlign w:val="superscript"/>
              </w:rPr>
              <w:footnoteReference w:id="2"/>
            </w:r>
            <w:r w:rsidRPr="00C345C4">
              <w:rPr>
                <w:rFonts w:ascii="Avenir Next LT Pro" w:eastAsia="Times New Roman" w:hAnsi="Avenir Next LT Pro"/>
                <w:snapToGrid w:val="0"/>
                <w:sz w:val="20"/>
                <w:szCs w:val="20"/>
              </w:rPr>
              <w:t> :</w:t>
            </w:r>
            <w:r w:rsidR="008E3459">
              <w:rPr>
                <w:rFonts w:ascii="Avenir Next LT Pro" w:eastAsia="Times New Roman" w:hAnsi="Avenir Next LT Pro"/>
                <w:snapToGrid w:val="0"/>
                <w:sz w:val="20"/>
                <w:szCs w:val="20"/>
              </w:rPr>
              <w:t xml:space="preserve"> 01/08/2024</w:t>
            </w:r>
          </w:p>
          <w:p w14:paraId="31829828" w14:textId="7BBDD949" w:rsidR="0068302F" w:rsidRPr="00C52192" w:rsidRDefault="00C56AAA" w:rsidP="00EE69F4">
            <w:pPr>
              <w:widowControl w:val="0"/>
              <w:spacing w:after="0"/>
              <w:contextualSpacing/>
              <w:jc w:val="both"/>
              <w:rPr>
                <w:rFonts w:ascii="Avenir Next LT Pro" w:eastAsia="Times New Roman" w:hAnsi="Avenir Next LT Pro"/>
                <w:bCs/>
                <w:snapToGrid w:val="0"/>
                <w:sz w:val="20"/>
                <w:szCs w:val="20"/>
              </w:rPr>
            </w:pPr>
            <w:r w:rsidRPr="00C345C4">
              <w:rPr>
                <w:rFonts w:ascii="Avenir Next LT Pro" w:eastAsia="Times New Roman" w:hAnsi="Avenir Next LT Pro"/>
                <w:bCs/>
                <w:snapToGrid w:val="0"/>
                <w:sz w:val="20"/>
                <w:szCs w:val="20"/>
              </w:rPr>
              <w:t>Date de clôture</w:t>
            </w:r>
            <w:r w:rsidR="0098151D" w:rsidRPr="00C345C4">
              <w:rPr>
                <w:rFonts w:ascii="Avenir Next LT Pro" w:eastAsia="Times New Roman" w:hAnsi="Avenir Next LT Pro"/>
                <w:bCs/>
                <w:snapToGrid w:val="0"/>
                <w:sz w:val="20"/>
                <w:szCs w:val="20"/>
              </w:rPr>
              <w:t xml:space="preserve"> prévue</w:t>
            </w:r>
            <w:r w:rsidRPr="00C345C4">
              <w:rPr>
                <w:rFonts w:ascii="Avenir Next LT Pro" w:eastAsia="Times New Roman" w:hAnsi="Avenir Next LT Pro"/>
                <w:bCs/>
                <w:snapToGrid w:val="0"/>
                <w:sz w:val="20"/>
                <w:szCs w:val="20"/>
              </w:rPr>
              <w:t> :</w:t>
            </w:r>
            <w:r w:rsidR="008E3459">
              <w:rPr>
                <w:rFonts w:ascii="Avenir Next LT Pro" w:eastAsia="Times New Roman" w:hAnsi="Avenir Next LT Pro"/>
                <w:bCs/>
                <w:snapToGrid w:val="0"/>
                <w:sz w:val="20"/>
                <w:szCs w:val="20"/>
              </w:rPr>
              <w:t xml:space="preserve"> </w:t>
            </w:r>
            <w:r w:rsidR="00D00E7A">
              <w:rPr>
                <w:rFonts w:ascii="Avenir Next LT Pro" w:eastAsia="Times New Roman" w:hAnsi="Avenir Next LT Pro"/>
                <w:bCs/>
                <w:snapToGrid w:val="0"/>
                <w:sz w:val="20"/>
                <w:szCs w:val="20"/>
              </w:rPr>
              <w:t>01/07/2026</w:t>
            </w:r>
          </w:p>
        </w:tc>
        <w:tc>
          <w:tcPr>
            <w:tcW w:w="433" w:type="pct"/>
            <w:tcBorders>
              <w:top w:val="nil"/>
              <w:left w:val="nil"/>
              <w:bottom w:val="single" w:sz="4" w:space="0" w:color="auto"/>
              <w:right w:val="single" w:sz="4" w:space="0" w:color="auto"/>
            </w:tcBorders>
            <w:shd w:val="clear" w:color="auto" w:fill="auto"/>
          </w:tcPr>
          <w:p w14:paraId="7A140A13" w14:textId="7777777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p>
        </w:tc>
      </w:tr>
    </w:tbl>
    <w:p w14:paraId="408840AF" w14:textId="5CD50F84" w:rsidR="00C56AAA" w:rsidRPr="00C345C4" w:rsidRDefault="00C56AAA" w:rsidP="00EE69F4">
      <w:pPr>
        <w:keepNext/>
        <w:keepLines/>
        <w:spacing w:after="0"/>
        <w:ind w:right="113"/>
        <w:contextualSpacing/>
        <w:jc w:val="center"/>
        <w:rPr>
          <w:rFonts w:ascii="Avenir Next LT Pro" w:hAnsi="Avenir Next LT Pro"/>
          <w:b/>
          <w:sz w:val="20"/>
          <w:szCs w:val="20"/>
        </w:rPr>
      </w:pPr>
    </w:p>
    <w:tbl>
      <w:tblPr>
        <w:tblW w:w="524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9"/>
      </w:tblGrid>
      <w:tr w:rsidR="005D2582" w:rsidRPr="00C345C4" w14:paraId="551B797D" w14:textId="77777777" w:rsidTr="0085123F">
        <w:tc>
          <w:tcPr>
            <w:tcW w:w="5000"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34F9255F" w14:textId="5384C564" w:rsidR="001677F8" w:rsidRPr="00C345C4" w:rsidRDefault="001677F8" w:rsidP="001677F8">
            <w:pPr>
              <w:keepNext/>
              <w:keepLines/>
              <w:spacing w:after="0"/>
              <w:ind w:right="113"/>
              <w:contextualSpacing/>
              <w:jc w:val="center"/>
              <w:rPr>
                <w:rFonts w:ascii="Avenir Next LT Pro" w:hAnsi="Avenir Next LT Pro"/>
                <w:b/>
                <w:sz w:val="20"/>
                <w:szCs w:val="20"/>
              </w:rPr>
            </w:pPr>
            <w:r w:rsidRPr="00C345C4">
              <w:rPr>
                <w:rFonts w:ascii="Avenir Next LT Pro" w:hAnsi="Avenir Next LT Pro"/>
                <w:b/>
                <w:sz w:val="20"/>
                <w:szCs w:val="20"/>
              </w:rPr>
              <w:t>Description du projet (</w:t>
            </w:r>
            <w:r w:rsidR="000216A7" w:rsidRPr="00C345C4">
              <w:rPr>
                <w:rFonts w:ascii="Avenir Next LT Pro" w:hAnsi="Avenir Next LT Pro"/>
                <w:b/>
                <w:sz w:val="20"/>
                <w:szCs w:val="20"/>
              </w:rPr>
              <w:t>max.</w:t>
            </w:r>
            <w:r w:rsidRPr="00C345C4">
              <w:rPr>
                <w:rFonts w:ascii="Avenir Next LT Pro" w:hAnsi="Avenir Next LT Pro"/>
                <w:b/>
                <w:sz w:val="20"/>
                <w:szCs w:val="20"/>
              </w:rPr>
              <w:t xml:space="preserve"> 200 mots, dans la mesure où elle sera publiée sur </w:t>
            </w:r>
            <w:hyperlink r:id="rId11" w:history="1">
              <w:r w:rsidRPr="00C345C4">
                <w:rPr>
                  <w:rStyle w:val="Lienhypertexte"/>
                  <w:rFonts w:ascii="Avenir Next LT Pro" w:hAnsi="Avenir Next LT Pro"/>
                  <w:b/>
                  <w:sz w:val="20"/>
                  <w:szCs w:val="20"/>
                </w:rPr>
                <w:t>GATEWAY</w:t>
              </w:r>
            </w:hyperlink>
            <w:r w:rsidRPr="00C345C4">
              <w:rPr>
                <w:rFonts w:ascii="Avenir Next LT Pro" w:hAnsi="Avenir Next LT Pro"/>
                <w:b/>
                <w:sz w:val="20"/>
                <w:szCs w:val="20"/>
              </w:rPr>
              <w:t>) : Indiquer tous les résultats qui contribuent au plan d’investissement REDD</w:t>
            </w:r>
            <w:r w:rsidR="00B632EC">
              <w:rPr>
                <w:rFonts w:ascii="Avenir Next LT Pro" w:hAnsi="Avenir Next LT Pro"/>
                <w:b/>
                <w:sz w:val="20"/>
                <w:szCs w:val="20"/>
              </w:rPr>
              <w:t>+</w:t>
            </w:r>
            <w:r w:rsidRPr="00C345C4">
              <w:rPr>
                <w:rFonts w:ascii="Avenir Next LT Pro" w:hAnsi="Avenir Next LT Pro"/>
                <w:b/>
                <w:sz w:val="20"/>
                <w:szCs w:val="20"/>
              </w:rPr>
              <w:t xml:space="preserve">, à la Lettre d’Intention 2 et au cadre de résultats CAFI </w:t>
            </w:r>
          </w:p>
        </w:tc>
      </w:tr>
      <w:tr w:rsidR="001677F8" w:rsidRPr="00C345C4" w14:paraId="2CA5F6E3" w14:textId="77777777" w:rsidTr="00B24D0D">
        <w:trPr>
          <w:trHeight w:val="1133"/>
        </w:trPr>
        <w:tc>
          <w:tcPr>
            <w:tcW w:w="5000" w:type="pct"/>
            <w:tcBorders>
              <w:top w:val="single" w:sz="4" w:space="0" w:color="auto"/>
            </w:tcBorders>
          </w:tcPr>
          <w:p w14:paraId="24FACF27" w14:textId="77777777" w:rsidR="00642E88" w:rsidRPr="005D0B51" w:rsidRDefault="00642E88" w:rsidP="00642E88">
            <w:pPr>
              <w:spacing w:after="0"/>
              <w:jc w:val="both"/>
              <w:rPr>
                <w:rFonts w:asciiTheme="minorHAnsi" w:eastAsia="Times New Roman" w:hAnsiTheme="minorHAnsi" w:cstheme="minorHAnsi"/>
                <w:snapToGrid w:val="0"/>
                <w:kern w:val="32"/>
              </w:rPr>
            </w:pPr>
            <w:r w:rsidRPr="005D0B51">
              <w:rPr>
                <w:rFonts w:asciiTheme="minorHAnsi" w:eastAsia="Times New Roman" w:hAnsiTheme="minorHAnsi" w:cstheme="minorHAnsi"/>
                <w:snapToGrid w:val="0"/>
              </w:rPr>
              <w:t xml:space="preserve">Le </w:t>
            </w:r>
            <w:r>
              <w:rPr>
                <w:rFonts w:asciiTheme="minorHAnsi" w:eastAsia="Times New Roman" w:hAnsiTheme="minorHAnsi" w:cstheme="minorHAnsi"/>
                <w:snapToGrid w:val="0"/>
              </w:rPr>
              <w:t xml:space="preserve">présent </w:t>
            </w:r>
            <w:r w:rsidRPr="005D0B51">
              <w:rPr>
                <w:rFonts w:asciiTheme="minorHAnsi" w:eastAsia="Times New Roman" w:hAnsiTheme="minorHAnsi" w:cstheme="minorHAnsi"/>
                <w:snapToGrid w:val="0"/>
              </w:rPr>
              <w:t xml:space="preserve">projet d’appui </w:t>
            </w:r>
            <w:r w:rsidRPr="00184CF9">
              <w:rPr>
                <w:rFonts w:asciiTheme="minorHAnsi" w:eastAsia="Times New Roman" w:hAnsiTheme="minorHAnsi" w:cstheme="minorHAnsi"/>
                <w:snapToGrid w:val="0"/>
                <w:kern w:val="32"/>
              </w:rPr>
              <w:t xml:space="preserve">au développement des marchés du carbone et à la coordination de la </w:t>
            </w:r>
            <w:r>
              <w:rPr>
                <w:rFonts w:asciiTheme="minorHAnsi" w:hAnsiTheme="minorHAnsi" w:cstheme="minorHAnsi"/>
              </w:rPr>
              <w:t xml:space="preserve">CDN </w:t>
            </w:r>
            <w:r w:rsidRPr="005D0B51">
              <w:rPr>
                <w:rFonts w:asciiTheme="minorHAnsi" w:eastAsia="Times New Roman" w:hAnsiTheme="minorHAnsi" w:cstheme="minorHAnsi"/>
                <w:snapToGrid w:val="0"/>
                <w:kern w:val="32"/>
              </w:rPr>
              <w:t xml:space="preserve">vise à créer </w:t>
            </w:r>
            <w:r w:rsidRPr="005D0B51">
              <w:rPr>
                <w:rFonts w:asciiTheme="minorHAnsi" w:hAnsiTheme="minorHAnsi" w:cstheme="minorHAnsi"/>
              </w:rPr>
              <w:t>un environnement favorable à la réalisation des objectifs d’atténuation et d’adaptation du pays</w:t>
            </w:r>
            <w:r>
              <w:rPr>
                <w:rFonts w:asciiTheme="minorHAnsi" w:hAnsiTheme="minorHAnsi" w:cstheme="minorHAnsi"/>
              </w:rPr>
              <w:t xml:space="preserve"> ainsi que leur suivi efficient</w:t>
            </w:r>
            <w:r w:rsidRPr="005D0B51">
              <w:rPr>
                <w:rFonts w:asciiTheme="minorHAnsi" w:hAnsiTheme="minorHAnsi" w:cstheme="minorHAnsi"/>
              </w:rPr>
              <w:t xml:space="preserve">. Il contribuera au renforcement des mécanismes de gouvernance pour la mise en œuvre efficace de la CDN et à un engagement stratégique du pays sur les marchés du carbone </w:t>
            </w:r>
            <w:r>
              <w:rPr>
                <w:rFonts w:asciiTheme="minorHAnsi" w:hAnsiTheme="minorHAnsi" w:cstheme="minorHAnsi"/>
              </w:rPr>
              <w:t xml:space="preserve">notamment </w:t>
            </w:r>
            <w:r w:rsidRPr="004D7F73">
              <w:rPr>
                <w:rFonts w:asciiTheme="minorHAnsi" w:hAnsiTheme="minorHAnsi" w:cstheme="minorHAnsi"/>
              </w:rPr>
              <w:t>dans le secteur forestier</w:t>
            </w:r>
            <w:r>
              <w:rPr>
                <w:rFonts w:asciiTheme="minorHAnsi" w:hAnsiTheme="minorHAnsi" w:cstheme="minorHAnsi"/>
              </w:rPr>
              <w:t>,</w:t>
            </w:r>
            <w:r w:rsidRPr="004D7F73">
              <w:rPr>
                <w:rFonts w:asciiTheme="minorHAnsi" w:hAnsiTheme="minorHAnsi" w:cstheme="minorHAnsi"/>
              </w:rPr>
              <w:t xml:space="preserve"> </w:t>
            </w:r>
            <w:r>
              <w:rPr>
                <w:rFonts w:asciiTheme="minorHAnsi" w:hAnsiTheme="minorHAnsi" w:cstheme="minorHAnsi"/>
              </w:rPr>
              <w:t xml:space="preserve">tout en </w:t>
            </w:r>
            <w:r w:rsidRPr="00DF3E45">
              <w:rPr>
                <w:rFonts w:asciiTheme="minorHAnsi" w:hAnsiTheme="minorHAnsi" w:cstheme="minorHAnsi"/>
              </w:rPr>
              <w:t>garanti</w:t>
            </w:r>
            <w:r>
              <w:rPr>
                <w:rFonts w:asciiTheme="minorHAnsi" w:hAnsiTheme="minorHAnsi" w:cstheme="minorHAnsi"/>
              </w:rPr>
              <w:t xml:space="preserve">ssant </w:t>
            </w:r>
            <w:r w:rsidRPr="00DF3E45">
              <w:rPr>
                <w:rFonts w:asciiTheme="minorHAnsi" w:hAnsiTheme="minorHAnsi" w:cstheme="minorHAnsi"/>
              </w:rPr>
              <w:t>l</w:t>
            </w:r>
            <w:r>
              <w:rPr>
                <w:rFonts w:asciiTheme="minorHAnsi" w:hAnsiTheme="minorHAnsi" w:cstheme="minorHAnsi"/>
              </w:rPr>
              <w:t xml:space="preserve">eur </w:t>
            </w:r>
            <w:r w:rsidRPr="00DF3E45">
              <w:rPr>
                <w:rFonts w:asciiTheme="minorHAnsi" w:hAnsiTheme="minorHAnsi" w:cstheme="minorHAnsi"/>
              </w:rPr>
              <w:t xml:space="preserve">intégrité, équité </w:t>
            </w:r>
            <w:r>
              <w:rPr>
                <w:rFonts w:asciiTheme="minorHAnsi" w:hAnsiTheme="minorHAnsi" w:cstheme="minorHAnsi"/>
              </w:rPr>
              <w:t xml:space="preserve">et </w:t>
            </w:r>
            <w:r w:rsidRPr="00DF3E45">
              <w:rPr>
                <w:rFonts w:asciiTheme="minorHAnsi" w:hAnsiTheme="minorHAnsi" w:cstheme="minorHAnsi"/>
              </w:rPr>
              <w:t xml:space="preserve">efficacité </w:t>
            </w:r>
            <w:r w:rsidRPr="005D0B51">
              <w:rPr>
                <w:rFonts w:asciiTheme="minorHAnsi" w:hAnsiTheme="minorHAnsi" w:cstheme="minorHAnsi"/>
              </w:rPr>
              <w:t>en vue de mobiliser des ressources</w:t>
            </w:r>
            <w:r>
              <w:rPr>
                <w:rFonts w:asciiTheme="minorHAnsi" w:hAnsiTheme="minorHAnsi" w:cstheme="minorHAnsi"/>
              </w:rPr>
              <w:t xml:space="preserve"> pour un financement pérenne de la CDN</w:t>
            </w:r>
            <w:r w:rsidRPr="005D0B51">
              <w:rPr>
                <w:rFonts w:asciiTheme="minorHAnsi" w:hAnsiTheme="minorHAnsi" w:cstheme="minorHAnsi"/>
              </w:rPr>
              <w:t>.</w:t>
            </w:r>
          </w:p>
          <w:p w14:paraId="44E9D7E5" w14:textId="77777777" w:rsidR="00642E88" w:rsidRPr="005D0B51" w:rsidRDefault="00642E88" w:rsidP="00642E88">
            <w:pPr>
              <w:spacing w:after="0"/>
              <w:jc w:val="both"/>
              <w:rPr>
                <w:rFonts w:asciiTheme="minorHAnsi" w:eastAsia="Times New Roman" w:hAnsiTheme="minorHAnsi" w:cstheme="minorHAnsi"/>
                <w:snapToGrid w:val="0"/>
                <w:kern w:val="32"/>
              </w:rPr>
            </w:pPr>
          </w:p>
          <w:p w14:paraId="713F8388" w14:textId="652E0684" w:rsidR="001677F8" w:rsidRPr="00C345C4" w:rsidRDefault="00642E88" w:rsidP="00090499">
            <w:pPr>
              <w:keepNext/>
              <w:keepLines/>
              <w:spacing w:after="0"/>
              <w:ind w:right="113"/>
              <w:contextualSpacing/>
              <w:jc w:val="both"/>
              <w:rPr>
                <w:rFonts w:ascii="Avenir Next LT Pro" w:hAnsi="Avenir Next LT Pro"/>
                <w:b/>
                <w:sz w:val="20"/>
                <w:szCs w:val="20"/>
              </w:rPr>
            </w:pPr>
            <w:r w:rsidRPr="005D0B51">
              <w:rPr>
                <w:rFonts w:asciiTheme="minorHAnsi" w:hAnsiTheme="minorHAnsi" w:cstheme="minorHAnsi"/>
              </w:rPr>
              <w:t xml:space="preserve">Il est arrimé à </w:t>
            </w:r>
            <w:bookmarkStart w:id="0" w:name="_Hlk137732663"/>
            <w:r w:rsidRPr="00090499">
              <w:rPr>
                <w:rFonts w:asciiTheme="minorHAnsi" w:hAnsiTheme="minorHAnsi" w:cstheme="minorHAnsi"/>
                <w:b/>
                <w:bCs/>
                <w:i/>
                <w:iCs/>
              </w:rPr>
              <w:t>l’Objectif 2031</w:t>
            </w:r>
            <w:r w:rsidRPr="005D0B51">
              <w:rPr>
                <w:rFonts w:asciiTheme="minorHAnsi" w:hAnsiTheme="minorHAnsi" w:cstheme="minorHAnsi"/>
              </w:rPr>
              <w:t xml:space="preserve"> de la nouvelle Lettre d’Intention sur la gouvernance et la mobilisation des ressources relativement au renforcement de la mobilisation des ressources financières publiques et privées, domestiques et extérieures, pour financer le développement et accroitre les ressources, spécialement du budget de l’État, et contribuer à la mise en œuvre de la CDN et de la lettre d’intention</w:t>
            </w:r>
            <w:r w:rsidR="00E345CE">
              <w:rPr>
                <w:rFonts w:asciiTheme="minorHAnsi" w:hAnsiTheme="minorHAnsi" w:cstheme="minorHAnsi"/>
              </w:rPr>
              <w:t xml:space="preserve"> de CAFI</w:t>
            </w:r>
            <w:r w:rsidRPr="005D0B51">
              <w:rPr>
                <w:rFonts w:asciiTheme="minorHAnsi" w:hAnsiTheme="minorHAnsi" w:cstheme="minorHAnsi"/>
              </w:rPr>
              <w:t xml:space="preserve">. Il s’inscrit dans une logique de gestion durable et de préservation des ressources </w:t>
            </w:r>
            <w:r>
              <w:rPr>
                <w:rFonts w:asciiTheme="minorHAnsi" w:hAnsiTheme="minorHAnsi" w:cstheme="minorHAnsi"/>
              </w:rPr>
              <w:t>forestières</w:t>
            </w:r>
            <w:r w:rsidRPr="005D0B51">
              <w:rPr>
                <w:rFonts w:asciiTheme="minorHAnsi" w:hAnsiTheme="minorHAnsi" w:cstheme="minorHAnsi"/>
              </w:rPr>
              <w:t>, ainsi que des « </w:t>
            </w:r>
            <w:r w:rsidRPr="004160C3">
              <w:rPr>
                <w:rFonts w:asciiTheme="minorHAnsi" w:hAnsiTheme="minorHAnsi" w:cstheme="minorHAnsi"/>
                <w:b/>
                <w:bCs/>
                <w:i/>
                <w:iCs/>
              </w:rPr>
              <w:t>Jalons politiques 2023</w:t>
            </w:r>
            <w:r w:rsidRPr="005D0B51">
              <w:rPr>
                <w:rFonts w:asciiTheme="minorHAnsi" w:hAnsiTheme="minorHAnsi" w:cstheme="minorHAnsi"/>
              </w:rPr>
              <w:t> </w:t>
            </w:r>
            <w:bookmarkEnd w:id="0"/>
            <w:r w:rsidRPr="005D0B51">
              <w:rPr>
                <w:rFonts w:asciiTheme="minorHAnsi" w:hAnsiTheme="minorHAnsi" w:cstheme="minorHAnsi"/>
              </w:rPr>
              <w:t xml:space="preserve">» pour lesquels des ressources non-domestiques innovantes sont mobilisées à la mise en œuvre des priorités </w:t>
            </w:r>
            <w:r>
              <w:rPr>
                <w:rFonts w:asciiTheme="minorHAnsi" w:hAnsiTheme="minorHAnsi" w:cstheme="minorHAnsi"/>
              </w:rPr>
              <w:t xml:space="preserve">de la </w:t>
            </w:r>
            <w:r w:rsidRPr="00410B17">
              <w:rPr>
                <w:rFonts w:asciiTheme="minorHAnsi" w:hAnsiTheme="minorHAnsi" w:cstheme="minorHAnsi"/>
              </w:rPr>
              <w:t xml:space="preserve">réduction des émissions dues à la déforestation et à la dégradation des forêts </w:t>
            </w:r>
            <w:r>
              <w:rPr>
                <w:rFonts w:asciiTheme="minorHAnsi" w:hAnsiTheme="minorHAnsi" w:cstheme="minorHAnsi"/>
              </w:rPr>
              <w:t>(</w:t>
            </w:r>
            <w:r w:rsidRPr="005D0B51">
              <w:rPr>
                <w:rFonts w:asciiTheme="minorHAnsi" w:hAnsiTheme="minorHAnsi" w:cstheme="minorHAnsi"/>
              </w:rPr>
              <w:t>REDD+</w:t>
            </w:r>
            <w:r>
              <w:rPr>
                <w:rFonts w:asciiTheme="minorHAnsi" w:hAnsiTheme="minorHAnsi" w:cstheme="minorHAnsi"/>
              </w:rPr>
              <w:t>)</w:t>
            </w:r>
            <w:r w:rsidRPr="005D0B51">
              <w:rPr>
                <w:rFonts w:asciiTheme="minorHAnsi" w:hAnsiTheme="minorHAnsi" w:cstheme="minorHAnsi"/>
              </w:rPr>
              <w:t>, sous forme de contributions directes, co-financement et alignement.</w:t>
            </w:r>
          </w:p>
        </w:tc>
      </w:tr>
    </w:tbl>
    <w:p w14:paraId="74C1286C" w14:textId="31389F89" w:rsidR="001677F8" w:rsidRPr="00C345C4" w:rsidRDefault="001677F8" w:rsidP="00EE69F4">
      <w:pPr>
        <w:keepNext/>
        <w:keepLines/>
        <w:spacing w:after="0"/>
        <w:ind w:right="113"/>
        <w:contextualSpacing/>
        <w:jc w:val="center"/>
        <w:rPr>
          <w:rFonts w:ascii="Avenir Next LT Pro" w:hAnsi="Avenir Next LT Pro"/>
          <w:b/>
          <w:sz w:val="20"/>
          <w:szCs w:val="20"/>
        </w:rPr>
      </w:pPr>
    </w:p>
    <w:p w14:paraId="644D1E9D" w14:textId="77777777" w:rsidR="001677F8" w:rsidRPr="00C345C4" w:rsidRDefault="001677F8" w:rsidP="00EE69F4">
      <w:pPr>
        <w:keepNext/>
        <w:keepLines/>
        <w:spacing w:after="0"/>
        <w:ind w:right="113"/>
        <w:contextualSpacing/>
        <w:jc w:val="center"/>
        <w:rPr>
          <w:rFonts w:ascii="Avenir Next LT Pro" w:hAnsi="Avenir Next LT Pro"/>
          <w:b/>
          <w:sz w:val="20"/>
          <w:szCs w:val="20"/>
        </w:rPr>
      </w:pPr>
    </w:p>
    <w:tbl>
      <w:tblPr>
        <w:tblW w:w="9498" w:type="dxa"/>
        <w:tblInd w:w="-14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935"/>
        <w:gridCol w:w="4563"/>
      </w:tblGrid>
      <w:tr w:rsidR="00DC7AEA" w:rsidRPr="00C345C4" w14:paraId="48CACAA0" w14:textId="77777777" w:rsidTr="0085123F">
        <w:trPr>
          <w:trHeight w:val="116"/>
        </w:trPr>
        <w:tc>
          <w:tcPr>
            <w:tcW w:w="9498" w:type="dxa"/>
            <w:gridSpan w:val="2"/>
            <w:tcBorders>
              <w:top w:val="single" w:sz="4" w:space="0" w:color="auto"/>
              <w:bottom w:val="single" w:sz="4" w:space="0" w:color="auto"/>
            </w:tcBorders>
            <w:shd w:val="clear" w:color="auto" w:fill="DAEFD3" w:themeFill="accent1" w:themeFillTint="33"/>
          </w:tcPr>
          <w:p w14:paraId="46265D01" w14:textId="77777777" w:rsidR="00C56AAA" w:rsidRPr="00C345C4" w:rsidRDefault="00C56AAA" w:rsidP="00EE69F4">
            <w:pPr>
              <w:spacing w:after="0"/>
              <w:contextualSpacing/>
              <w:jc w:val="center"/>
              <w:rPr>
                <w:rFonts w:ascii="Avenir Next LT Pro" w:eastAsia="Times New Roman" w:hAnsi="Avenir Next LT Pro"/>
                <w:b/>
                <w:bCs/>
                <w:snapToGrid w:val="0"/>
                <w:kern w:val="32"/>
                <w:sz w:val="20"/>
                <w:szCs w:val="20"/>
              </w:rPr>
            </w:pPr>
            <w:r w:rsidRPr="00C345C4">
              <w:rPr>
                <w:rFonts w:ascii="Avenir Next LT Pro" w:eastAsia="Times New Roman" w:hAnsi="Avenir Next LT Pro"/>
                <w:b/>
                <w:bCs/>
                <w:snapToGrid w:val="0"/>
                <w:kern w:val="32"/>
                <w:sz w:val="20"/>
                <w:szCs w:val="20"/>
              </w:rPr>
              <w:t>Dates d’examen &amp; d’approbation</w:t>
            </w:r>
          </w:p>
        </w:tc>
      </w:tr>
      <w:tr w:rsidR="00341098" w:rsidRPr="00C345C4" w14:paraId="33D9BD78" w14:textId="77777777" w:rsidTr="00B24D0D">
        <w:trPr>
          <w:trHeight w:val="225"/>
        </w:trPr>
        <w:tc>
          <w:tcPr>
            <w:tcW w:w="4935" w:type="dxa"/>
            <w:tcBorders>
              <w:top w:val="single" w:sz="4" w:space="0" w:color="auto"/>
            </w:tcBorders>
            <w:shd w:val="clear" w:color="auto" w:fill="auto"/>
          </w:tcPr>
          <w:p w14:paraId="26CC3F1B" w14:textId="77777777" w:rsidR="00C56AAA" w:rsidRPr="00C345C4" w:rsidRDefault="00C56AAA"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Soumission au Secrétariat Exécutif</w:t>
            </w:r>
          </w:p>
        </w:tc>
        <w:tc>
          <w:tcPr>
            <w:tcW w:w="4563" w:type="dxa"/>
            <w:tcBorders>
              <w:top w:val="single" w:sz="4" w:space="0" w:color="auto"/>
            </w:tcBorders>
          </w:tcPr>
          <w:p w14:paraId="049DC6A1" w14:textId="4BD8A0D1"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Date :</w:t>
            </w:r>
            <w:r w:rsidR="00231234">
              <w:rPr>
                <w:rFonts w:ascii="Avenir Next LT Pro" w:eastAsia="Times New Roman" w:hAnsi="Avenir Next LT Pro"/>
                <w:snapToGrid w:val="0"/>
                <w:sz w:val="20"/>
                <w:szCs w:val="20"/>
              </w:rPr>
              <w:t xml:space="preserve"> 30 octobre 2023</w:t>
            </w:r>
          </w:p>
        </w:tc>
      </w:tr>
      <w:tr w:rsidR="000C71B4" w:rsidRPr="00C345C4" w14:paraId="25A93143" w14:textId="77777777" w:rsidTr="00002DFC">
        <w:trPr>
          <w:trHeight w:val="207"/>
        </w:trPr>
        <w:tc>
          <w:tcPr>
            <w:tcW w:w="4935" w:type="dxa"/>
            <w:shd w:val="clear" w:color="auto" w:fill="auto"/>
          </w:tcPr>
          <w:p w14:paraId="43467A29" w14:textId="28402767" w:rsidR="00C56AAA" w:rsidRPr="00C345C4" w:rsidRDefault="00C56AAA"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 xml:space="preserve">Examen du Comité </w:t>
            </w:r>
            <w:r w:rsidR="00F33752">
              <w:rPr>
                <w:rFonts w:ascii="Avenir Next LT Pro" w:eastAsia="Times New Roman" w:hAnsi="Avenir Next LT Pro"/>
                <w:b/>
                <w:bCs/>
                <w:iCs/>
                <w:snapToGrid w:val="0"/>
                <w:sz w:val="20"/>
                <w:szCs w:val="20"/>
              </w:rPr>
              <w:t>de Revue des Programmes</w:t>
            </w:r>
          </w:p>
        </w:tc>
        <w:tc>
          <w:tcPr>
            <w:tcW w:w="4563" w:type="dxa"/>
          </w:tcPr>
          <w:p w14:paraId="01C9615F" w14:textId="494ECDB7"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Date :</w:t>
            </w:r>
            <w:r w:rsidR="00C73EB1">
              <w:rPr>
                <w:rFonts w:ascii="Avenir Next LT Pro" w:eastAsia="Times New Roman" w:hAnsi="Avenir Next LT Pro"/>
                <w:snapToGrid w:val="0"/>
                <w:sz w:val="20"/>
                <w:szCs w:val="20"/>
              </w:rPr>
              <w:t xml:space="preserve"> </w:t>
            </w:r>
          </w:p>
        </w:tc>
      </w:tr>
      <w:tr w:rsidR="000C71B4" w:rsidRPr="00C345C4" w14:paraId="6D981865" w14:textId="77777777" w:rsidTr="00002DFC">
        <w:trPr>
          <w:trHeight w:val="288"/>
        </w:trPr>
        <w:tc>
          <w:tcPr>
            <w:tcW w:w="4935" w:type="dxa"/>
            <w:shd w:val="clear" w:color="auto" w:fill="auto"/>
          </w:tcPr>
          <w:p w14:paraId="66D39036" w14:textId="77777777" w:rsidR="00C56AAA" w:rsidRPr="00C345C4" w:rsidRDefault="00C56AAA" w:rsidP="00EE69F4">
            <w:pPr>
              <w:spacing w:after="0"/>
              <w:contextualSpacing/>
              <w:rPr>
                <w:rFonts w:ascii="Avenir Next LT Pro" w:eastAsia="Times New Roman" w:hAnsi="Avenir Next LT Pro"/>
                <w:b/>
                <w:bCs/>
                <w:iCs/>
                <w:snapToGrid w:val="0"/>
                <w:sz w:val="20"/>
                <w:szCs w:val="20"/>
              </w:rPr>
            </w:pPr>
            <w:r w:rsidRPr="00C345C4">
              <w:rPr>
                <w:rFonts w:ascii="Avenir Next LT Pro" w:eastAsia="Times New Roman" w:hAnsi="Avenir Next LT Pro"/>
                <w:b/>
                <w:bCs/>
                <w:iCs/>
                <w:snapToGrid w:val="0"/>
                <w:sz w:val="20"/>
                <w:szCs w:val="20"/>
              </w:rPr>
              <w:t xml:space="preserve">Approbation du Comité de Pilotage </w:t>
            </w:r>
          </w:p>
        </w:tc>
        <w:tc>
          <w:tcPr>
            <w:tcW w:w="4563" w:type="dxa"/>
          </w:tcPr>
          <w:p w14:paraId="5D50534A" w14:textId="65F46A20" w:rsidR="00C56AAA" w:rsidRPr="00C345C4" w:rsidRDefault="00C56AAA" w:rsidP="00EE69F4">
            <w:pPr>
              <w:widowControl w:val="0"/>
              <w:spacing w:after="0"/>
              <w:contextualSpacing/>
              <w:jc w:val="both"/>
              <w:rPr>
                <w:rFonts w:ascii="Avenir Next LT Pro" w:eastAsia="Times New Roman" w:hAnsi="Avenir Next LT Pro"/>
                <w:snapToGrid w:val="0"/>
                <w:sz w:val="20"/>
                <w:szCs w:val="20"/>
              </w:rPr>
            </w:pPr>
            <w:r w:rsidRPr="00C345C4">
              <w:rPr>
                <w:rFonts w:ascii="Avenir Next LT Pro" w:eastAsia="Times New Roman" w:hAnsi="Avenir Next LT Pro"/>
                <w:snapToGrid w:val="0"/>
                <w:sz w:val="20"/>
                <w:szCs w:val="20"/>
              </w:rPr>
              <w:t>Date :</w:t>
            </w:r>
            <w:r w:rsidR="00872248">
              <w:t xml:space="preserve"> </w:t>
            </w:r>
            <w:r w:rsidR="00872248" w:rsidRPr="00872248">
              <w:rPr>
                <w:rFonts w:ascii="Avenir Next LT Pro" w:eastAsia="Times New Roman" w:hAnsi="Avenir Next LT Pro"/>
                <w:snapToGrid w:val="0"/>
                <w:sz w:val="20"/>
                <w:szCs w:val="20"/>
              </w:rPr>
              <w:t>30 novembre 2023</w:t>
            </w:r>
          </w:p>
        </w:tc>
      </w:tr>
    </w:tbl>
    <w:p w14:paraId="7EECC4B6" w14:textId="77777777" w:rsidR="00C56AAA" w:rsidRPr="00C345C4" w:rsidRDefault="00C56AAA" w:rsidP="00EE69F4">
      <w:pPr>
        <w:keepNext/>
        <w:keepLines/>
        <w:spacing w:after="0"/>
        <w:ind w:right="113"/>
        <w:contextualSpacing/>
        <w:jc w:val="center"/>
        <w:rPr>
          <w:rFonts w:ascii="Avenir Next LT Pro" w:hAnsi="Avenir Next LT Pro"/>
          <w:b/>
          <w:sz w:val="20"/>
          <w:szCs w:val="20"/>
        </w:rPr>
      </w:pPr>
    </w:p>
    <w:p w14:paraId="5C437B38" w14:textId="11C88842" w:rsidR="00C56AAA" w:rsidRPr="00C345C4" w:rsidRDefault="00C56AAA" w:rsidP="0085123F">
      <w:pPr>
        <w:keepNext/>
        <w:keepLines/>
        <w:spacing w:after="0"/>
        <w:ind w:right="113"/>
        <w:contextualSpacing/>
        <w:rPr>
          <w:rFonts w:ascii="Avenir Next LT Pro" w:hAnsi="Avenir Next LT Pro"/>
          <w:b/>
          <w:sz w:val="20"/>
          <w:szCs w:val="20"/>
        </w:rPr>
      </w:pPr>
      <w:r w:rsidRPr="00C345C4">
        <w:rPr>
          <w:rFonts w:ascii="Avenir Next LT Pro" w:hAnsi="Avenir Next LT Pro"/>
          <w:b/>
          <w:sz w:val="20"/>
          <w:szCs w:val="20"/>
        </w:rPr>
        <w:t xml:space="preserve">Signature </w:t>
      </w:r>
      <w:r w:rsidR="005C0A1E" w:rsidRPr="00C345C4">
        <w:rPr>
          <w:rFonts w:ascii="Avenir Next LT Pro" w:hAnsi="Avenir Next LT Pro"/>
          <w:b/>
          <w:sz w:val="20"/>
          <w:szCs w:val="20"/>
        </w:rPr>
        <w:t xml:space="preserve">du </w:t>
      </w:r>
      <w:r w:rsidR="00F916B5" w:rsidRPr="00C345C4">
        <w:rPr>
          <w:rFonts w:ascii="Avenir Next LT Pro" w:hAnsi="Avenir Next LT Pro"/>
          <w:b/>
          <w:sz w:val="20"/>
          <w:szCs w:val="20"/>
        </w:rPr>
        <w:t>Gouvernement Provincial</w:t>
      </w:r>
      <w:r w:rsidRPr="00C345C4">
        <w:rPr>
          <w:rFonts w:ascii="Avenir Next LT Pro" w:hAnsi="Avenir Next LT Pro"/>
          <w:b/>
          <w:sz w:val="20"/>
          <w:szCs w:val="20"/>
        </w:rPr>
        <w:t xml:space="preserve"> dans le cas d’un </w:t>
      </w:r>
      <w:r w:rsidR="0068302F" w:rsidRPr="00C345C4">
        <w:rPr>
          <w:rFonts w:ascii="Avenir Next LT Pro" w:hAnsi="Avenir Next LT Pro"/>
          <w:b/>
          <w:sz w:val="20"/>
          <w:szCs w:val="20"/>
        </w:rPr>
        <w:t xml:space="preserve">Projet </w:t>
      </w:r>
      <w:r w:rsidRPr="00C345C4">
        <w:rPr>
          <w:rFonts w:ascii="Avenir Next LT Pro" w:hAnsi="Avenir Next LT Pro"/>
          <w:b/>
          <w:sz w:val="20"/>
          <w:szCs w:val="20"/>
        </w:rPr>
        <w:t xml:space="preserve">REDD+ intégré </w:t>
      </w:r>
      <w:r w:rsidR="00C828A5" w:rsidRPr="00C345C4">
        <w:rPr>
          <w:rFonts w:ascii="Avenir Next LT Pro" w:hAnsi="Avenir Next LT Pro"/>
          <w:b/>
          <w:sz w:val="20"/>
          <w:szCs w:val="20"/>
        </w:rPr>
        <w:t>(PIREDD)</w:t>
      </w:r>
    </w:p>
    <w:tbl>
      <w:tblPr>
        <w:tblW w:w="52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4131"/>
        <w:gridCol w:w="4720"/>
      </w:tblGrid>
      <w:tr w:rsidR="00DC7AEA" w:rsidRPr="00C345C4" w14:paraId="0FB89247" w14:textId="77777777" w:rsidTr="0085123F">
        <w:trPr>
          <w:trHeight w:val="395"/>
        </w:trPr>
        <w:tc>
          <w:tcPr>
            <w:tcW w:w="340" w:type="pct"/>
            <w:tcBorders>
              <w:top w:val="single" w:sz="4" w:space="0" w:color="auto"/>
              <w:left w:val="single" w:sz="4" w:space="0" w:color="auto"/>
              <w:bottom w:val="nil"/>
              <w:right w:val="single" w:sz="4" w:space="0" w:color="auto"/>
            </w:tcBorders>
            <w:shd w:val="clear" w:color="auto" w:fill="DAEFD3" w:themeFill="accent1" w:themeFillTint="33"/>
          </w:tcPr>
          <w:p w14:paraId="23DAEBFC" w14:textId="77777777" w:rsidR="00C56AAA" w:rsidRPr="00C345C4" w:rsidRDefault="00C56AAA" w:rsidP="00EE69F4">
            <w:pPr>
              <w:spacing w:after="0"/>
              <w:contextualSpacing/>
              <w:jc w:val="center"/>
              <w:rPr>
                <w:rFonts w:ascii="Avenir Next LT Pro" w:hAnsi="Avenir Next LT Pro"/>
                <w:b/>
                <w:sz w:val="20"/>
                <w:szCs w:val="20"/>
              </w:rPr>
            </w:pPr>
            <w:r w:rsidRPr="00C345C4">
              <w:rPr>
                <w:rFonts w:ascii="Avenir Next LT Pro" w:hAnsi="Avenir Next LT Pro"/>
                <w:b/>
                <w:sz w:val="20"/>
                <w:szCs w:val="20"/>
              </w:rPr>
              <w:t>I.</w:t>
            </w: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09BF7D1" w14:textId="77777777" w:rsidR="00C56AAA" w:rsidRPr="00C345C4" w:rsidRDefault="00C56AAA" w:rsidP="00EE69F4">
            <w:pPr>
              <w:spacing w:after="0"/>
              <w:contextualSpacing/>
              <w:rPr>
                <w:rFonts w:ascii="Avenir Next LT Pro" w:hAnsi="Avenir Next LT Pro"/>
                <w:b/>
                <w:sz w:val="20"/>
                <w:szCs w:val="20"/>
              </w:rPr>
            </w:pPr>
            <w:r w:rsidRPr="00C345C4">
              <w:rPr>
                <w:rFonts w:ascii="Avenir Next LT Pro" w:hAnsi="Avenir Next LT Pro"/>
                <w:b/>
                <w:sz w:val="20"/>
                <w:szCs w:val="20"/>
              </w:rPr>
              <w:t xml:space="preserve">Nom du représentant                    </w:t>
            </w:r>
          </w:p>
        </w:tc>
        <w:tc>
          <w:tcPr>
            <w:tcW w:w="2485" w:type="pct"/>
            <w:tcBorders>
              <w:top w:val="single" w:sz="4" w:space="0" w:color="auto"/>
              <w:left w:val="single" w:sz="4" w:space="0" w:color="auto"/>
              <w:bottom w:val="single" w:sz="4" w:space="0" w:color="auto"/>
              <w:right w:val="single" w:sz="4" w:space="0" w:color="auto"/>
            </w:tcBorders>
          </w:tcPr>
          <w:p w14:paraId="1A7EDB87" w14:textId="77777777" w:rsidR="00C56AAA" w:rsidRPr="00C345C4" w:rsidRDefault="00C56AAA" w:rsidP="00EE69F4">
            <w:pPr>
              <w:spacing w:after="0"/>
              <w:contextualSpacing/>
              <w:rPr>
                <w:rFonts w:ascii="Avenir Next LT Pro" w:hAnsi="Avenir Next LT Pro"/>
                <w:sz w:val="20"/>
                <w:szCs w:val="20"/>
              </w:rPr>
            </w:pPr>
          </w:p>
        </w:tc>
      </w:tr>
      <w:tr w:rsidR="00DC7AEA" w:rsidRPr="00C345C4" w14:paraId="479C5491" w14:textId="77777777" w:rsidTr="0085123F">
        <w:trPr>
          <w:trHeight w:val="350"/>
        </w:trPr>
        <w:tc>
          <w:tcPr>
            <w:tcW w:w="340" w:type="pct"/>
            <w:tcBorders>
              <w:top w:val="nil"/>
              <w:left w:val="single" w:sz="4" w:space="0" w:color="auto"/>
              <w:bottom w:val="single" w:sz="4" w:space="0" w:color="auto"/>
              <w:right w:val="single" w:sz="4" w:space="0" w:color="auto"/>
            </w:tcBorders>
            <w:shd w:val="clear" w:color="auto" w:fill="DAEFD3" w:themeFill="accent1" w:themeFillTint="33"/>
          </w:tcPr>
          <w:p w14:paraId="36D0652A" w14:textId="77777777" w:rsidR="00C56AAA" w:rsidRPr="00C345C4" w:rsidRDefault="00C56AAA" w:rsidP="00EE69F4">
            <w:pPr>
              <w:spacing w:after="0"/>
              <w:contextualSpacing/>
              <w:jc w:val="center"/>
              <w:rPr>
                <w:rFonts w:ascii="Avenir Next LT Pro"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73C5DF03" w14:textId="77777777" w:rsidR="00C56AAA" w:rsidRPr="00C345C4" w:rsidRDefault="00C56AAA" w:rsidP="00EE69F4">
            <w:pPr>
              <w:spacing w:after="0"/>
              <w:contextualSpacing/>
              <w:rPr>
                <w:rFonts w:ascii="Avenir Next LT Pro" w:hAnsi="Avenir Next LT Pro"/>
                <w:b/>
                <w:sz w:val="20"/>
                <w:szCs w:val="20"/>
              </w:rPr>
            </w:pPr>
            <w:r w:rsidRPr="00C345C4">
              <w:rPr>
                <w:rFonts w:ascii="Avenir Next LT Pro" w:hAnsi="Avenir Next LT Pro"/>
                <w:b/>
                <w:sz w:val="20"/>
                <w:szCs w:val="20"/>
              </w:rPr>
              <w:t>Signature</w:t>
            </w:r>
          </w:p>
        </w:tc>
        <w:tc>
          <w:tcPr>
            <w:tcW w:w="2485" w:type="pct"/>
            <w:tcBorders>
              <w:top w:val="single" w:sz="4" w:space="0" w:color="auto"/>
              <w:left w:val="single" w:sz="4" w:space="0" w:color="auto"/>
              <w:bottom w:val="single" w:sz="4" w:space="0" w:color="auto"/>
              <w:right w:val="single" w:sz="4" w:space="0" w:color="auto"/>
            </w:tcBorders>
          </w:tcPr>
          <w:p w14:paraId="20BF9E8B" w14:textId="77777777" w:rsidR="00C56AAA" w:rsidRPr="00C345C4" w:rsidRDefault="00C56AAA" w:rsidP="00EE69F4">
            <w:pPr>
              <w:spacing w:after="0"/>
              <w:contextualSpacing/>
              <w:rPr>
                <w:rFonts w:ascii="Avenir Next LT Pro" w:hAnsi="Avenir Next LT Pro"/>
                <w:sz w:val="20"/>
                <w:szCs w:val="20"/>
              </w:rPr>
            </w:pPr>
          </w:p>
          <w:p w14:paraId="033DBBB5" w14:textId="77777777" w:rsidR="000A2661" w:rsidRPr="00C345C4" w:rsidRDefault="000A2661" w:rsidP="00EE69F4">
            <w:pPr>
              <w:spacing w:after="0"/>
              <w:contextualSpacing/>
              <w:rPr>
                <w:rFonts w:ascii="Avenir Next LT Pro" w:hAnsi="Avenir Next LT Pro"/>
                <w:sz w:val="20"/>
                <w:szCs w:val="20"/>
              </w:rPr>
            </w:pPr>
          </w:p>
          <w:p w14:paraId="09095F5E" w14:textId="7232002D" w:rsidR="000A2661" w:rsidRPr="00C345C4" w:rsidRDefault="000A2661" w:rsidP="00EE69F4">
            <w:pPr>
              <w:spacing w:after="0"/>
              <w:contextualSpacing/>
              <w:rPr>
                <w:rFonts w:ascii="Avenir Next LT Pro" w:hAnsi="Avenir Next LT Pro"/>
                <w:sz w:val="20"/>
                <w:szCs w:val="20"/>
              </w:rPr>
            </w:pPr>
          </w:p>
        </w:tc>
      </w:tr>
    </w:tbl>
    <w:p w14:paraId="53651A16" w14:textId="77777777" w:rsidR="00C56AAA" w:rsidRPr="00C345C4" w:rsidRDefault="00C56AAA" w:rsidP="00EE69F4">
      <w:pPr>
        <w:spacing w:after="0"/>
        <w:contextualSpacing/>
        <w:rPr>
          <w:rFonts w:ascii="Avenir Next LT Pro" w:eastAsiaTheme="minorHAnsi" w:hAnsi="Avenir Next LT Pro"/>
          <w:sz w:val="20"/>
          <w:szCs w:val="20"/>
          <w:highlight w:val="yellow"/>
        </w:rPr>
      </w:pPr>
    </w:p>
    <w:p w14:paraId="68A6AEE8" w14:textId="77777777" w:rsidR="00C56AAA" w:rsidRPr="00C345C4" w:rsidRDefault="00C56AAA" w:rsidP="0085123F">
      <w:pPr>
        <w:keepNext/>
        <w:keepLines/>
        <w:spacing w:after="0"/>
        <w:ind w:right="113"/>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Signatures des Organisations Participantes et du Président du Comité de Pilotage</w:t>
      </w:r>
    </w:p>
    <w:tbl>
      <w:tblPr>
        <w:tblW w:w="52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
        <w:gridCol w:w="4131"/>
        <w:gridCol w:w="4720"/>
      </w:tblGrid>
      <w:tr w:rsidR="00DC7AEA" w:rsidRPr="00C345C4" w14:paraId="6E10143E" w14:textId="77777777" w:rsidTr="0085123F">
        <w:trPr>
          <w:trHeight w:val="395"/>
        </w:trPr>
        <w:tc>
          <w:tcPr>
            <w:tcW w:w="340" w:type="pct"/>
            <w:tcBorders>
              <w:top w:val="single" w:sz="4" w:space="0" w:color="auto"/>
              <w:left w:val="single" w:sz="4" w:space="0" w:color="auto"/>
              <w:bottom w:val="nil"/>
              <w:right w:val="single" w:sz="4" w:space="0" w:color="auto"/>
            </w:tcBorders>
            <w:shd w:val="clear" w:color="auto" w:fill="DAEFD3" w:themeFill="accent1" w:themeFillTint="33"/>
          </w:tcPr>
          <w:p w14:paraId="5D90F038" w14:textId="7A7538C9" w:rsidR="00C56AAA" w:rsidRPr="00C345C4" w:rsidRDefault="00C56AAA" w:rsidP="00EE69F4">
            <w:pPr>
              <w:spacing w:after="0"/>
              <w:contextualSpacing/>
              <w:jc w:val="center"/>
              <w:rPr>
                <w:rFonts w:ascii="Avenir Next LT Pro" w:eastAsiaTheme="minorHAnsi" w:hAnsi="Avenir Next LT Pro"/>
                <w:b/>
                <w:sz w:val="20"/>
                <w:szCs w:val="20"/>
              </w:rPr>
            </w:pPr>
            <w:r w:rsidRPr="00C345C4">
              <w:rPr>
                <w:rFonts w:ascii="Avenir Next LT Pro" w:eastAsiaTheme="minorHAnsi" w:hAnsi="Avenir Next LT Pro"/>
                <w:b/>
                <w:sz w:val="20"/>
                <w:szCs w:val="20"/>
              </w:rPr>
              <w:t>I</w:t>
            </w:r>
            <w:r w:rsidR="000A2661" w:rsidRPr="00C345C4">
              <w:rPr>
                <w:rFonts w:ascii="Avenir Next LT Pro" w:eastAsiaTheme="minorHAnsi" w:hAnsi="Avenir Next LT Pro"/>
                <w:b/>
                <w:sz w:val="20"/>
                <w:szCs w:val="20"/>
              </w:rPr>
              <w:t>I</w:t>
            </w:r>
            <w:r w:rsidRPr="00C345C4">
              <w:rPr>
                <w:rFonts w:ascii="Avenir Next LT Pro" w:eastAsiaTheme="minorHAnsi" w:hAnsi="Avenir Next LT Pro"/>
                <w:b/>
                <w:sz w:val="20"/>
                <w:szCs w:val="20"/>
              </w:rPr>
              <w:t>.</w:t>
            </w: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1C5C6A70"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du représentant                    </w:t>
            </w:r>
          </w:p>
        </w:tc>
        <w:tc>
          <w:tcPr>
            <w:tcW w:w="2485" w:type="pct"/>
            <w:tcBorders>
              <w:top w:val="single" w:sz="4" w:space="0" w:color="auto"/>
              <w:left w:val="single" w:sz="4" w:space="0" w:color="auto"/>
              <w:bottom w:val="single" w:sz="4" w:space="0" w:color="auto"/>
              <w:right w:val="single" w:sz="4" w:space="0" w:color="auto"/>
            </w:tcBorders>
          </w:tcPr>
          <w:p w14:paraId="206C1937" w14:textId="77777777" w:rsidR="00C56AAA" w:rsidRPr="00C345C4" w:rsidRDefault="00C56AAA" w:rsidP="00EE69F4">
            <w:pPr>
              <w:spacing w:after="0"/>
              <w:contextualSpacing/>
              <w:rPr>
                <w:rFonts w:ascii="Avenir Next LT Pro" w:eastAsiaTheme="minorHAnsi" w:hAnsi="Avenir Next LT Pro"/>
                <w:sz w:val="20"/>
                <w:szCs w:val="20"/>
              </w:rPr>
            </w:pPr>
          </w:p>
        </w:tc>
      </w:tr>
      <w:tr w:rsidR="00BE1565" w:rsidRPr="00C345C4" w14:paraId="0F4D26D8" w14:textId="77777777" w:rsidTr="0085123F">
        <w:trPr>
          <w:trHeight w:val="350"/>
        </w:trPr>
        <w:tc>
          <w:tcPr>
            <w:tcW w:w="340" w:type="pct"/>
            <w:tcBorders>
              <w:top w:val="nil"/>
              <w:left w:val="single" w:sz="4" w:space="0" w:color="auto"/>
              <w:bottom w:val="nil"/>
              <w:right w:val="single" w:sz="4" w:space="0" w:color="auto"/>
            </w:tcBorders>
            <w:shd w:val="clear" w:color="auto" w:fill="DAEFD3" w:themeFill="accent1" w:themeFillTint="33"/>
          </w:tcPr>
          <w:p w14:paraId="79E57060"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72151BC4"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Signature</w:t>
            </w:r>
          </w:p>
        </w:tc>
        <w:tc>
          <w:tcPr>
            <w:tcW w:w="2485" w:type="pct"/>
            <w:tcBorders>
              <w:top w:val="single" w:sz="4" w:space="0" w:color="auto"/>
              <w:left w:val="single" w:sz="4" w:space="0" w:color="auto"/>
              <w:bottom w:val="single" w:sz="4" w:space="0" w:color="auto"/>
              <w:right w:val="single" w:sz="4" w:space="0" w:color="auto"/>
            </w:tcBorders>
          </w:tcPr>
          <w:p w14:paraId="04BF6A9D" w14:textId="77777777" w:rsidR="00C56AAA" w:rsidRPr="00C345C4" w:rsidRDefault="00C56AAA" w:rsidP="00EE69F4">
            <w:pPr>
              <w:spacing w:after="0"/>
              <w:contextualSpacing/>
              <w:rPr>
                <w:rFonts w:ascii="Avenir Next LT Pro" w:eastAsiaTheme="minorHAnsi" w:hAnsi="Avenir Next LT Pro"/>
                <w:sz w:val="20"/>
                <w:szCs w:val="20"/>
              </w:rPr>
            </w:pPr>
          </w:p>
          <w:p w14:paraId="78694B28" w14:textId="77777777" w:rsidR="000A2661" w:rsidRPr="00C345C4" w:rsidRDefault="000A2661" w:rsidP="00EE69F4">
            <w:pPr>
              <w:spacing w:after="0"/>
              <w:contextualSpacing/>
              <w:rPr>
                <w:rFonts w:ascii="Avenir Next LT Pro" w:eastAsiaTheme="minorHAnsi" w:hAnsi="Avenir Next LT Pro"/>
                <w:sz w:val="20"/>
                <w:szCs w:val="20"/>
              </w:rPr>
            </w:pPr>
          </w:p>
          <w:p w14:paraId="2ED72903" w14:textId="3E69B59E" w:rsidR="000A2661" w:rsidRPr="00C345C4" w:rsidRDefault="000A2661" w:rsidP="00EE69F4">
            <w:pPr>
              <w:spacing w:after="0"/>
              <w:contextualSpacing/>
              <w:rPr>
                <w:rFonts w:ascii="Avenir Next LT Pro" w:eastAsiaTheme="minorHAnsi" w:hAnsi="Avenir Next LT Pro"/>
                <w:sz w:val="20"/>
                <w:szCs w:val="20"/>
              </w:rPr>
            </w:pPr>
          </w:p>
        </w:tc>
      </w:tr>
      <w:tr w:rsidR="00BE1565" w:rsidRPr="00C345C4" w14:paraId="5D345164" w14:textId="77777777" w:rsidTr="0085123F">
        <w:trPr>
          <w:trHeight w:val="287"/>
        </w:trPr>
        <w:tc>
          <w:tcPr>
            <w:tcW w:w="340" w:type="pct"/>
            <w:tcBorders>
              <w:top w:val="nil"/>
              <w:left w:val="single" w:sz="4" w:space="0" w:color="auto"/>
              <w:bottom w:val="nil"/>
              <w:right w:val="single" w:sz="4" w:space="0" w:color="auto"/>
            </w:tcBorders>
            <w:shd w:val="clear" w:color="auto" w:fill="DAEFD3" w:themeFill="accent1" w:themeFillTint="33"/>
          </w:tcPr>
          <w:p w14:paraId="1DD7DC47"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7D2A3EEB"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de l’Organisation Participante     </w:t>
            </w:r>
          </w:p>
        </w:tc>
        <w:tc>
          <w:tcPr>
            <w:tcW w:w="2485" w:type="pct"/>
            <w:tcBorders>
              <w:top w:val="single" w:sz="4" w:space="0" w:color="auto"/>
              <w:left w:val="single" w:sz="4" w:space="0" w:color="auto"/>
              <w:bottom w:val="single" w:sz="4" w:space="0" w:color="auto"/>
              <w:right w:val="single" w:sz="4" w:space="0" w:color="auto"/>
            </w:tcBorders>
          </w:tcPr>
          <w:p w14:paraId="58BCC73D" w14:textId="77777777" w:rsidR="00C56AAA" w:rsidRPr="00C345C4" w:rsidRDefault="00C56AAA" w:rsidP="00EE69F4">
            <w:pPr>
              <w:spacing w:after="0"/>
              <w:contextualSpacing/>
              <w:rPr>
                <w:rFonts w:ascii="Avenir Next LT Pro" w:eastAsiaTheme="minorHAnsi" w:hAnsi="Avenir Next LT Pro"/>
                <w:sz w:val="20"/>
                <w:szCs w:val="20"/>
              </w:rPr>
            </w:pPr>
          </w:p>
        </w:tc>
      </w:tr>
      <w:tr w:rsidR="00DC7AEA" w:rsidRPr="00C345C4" w14:paraId="47C12106" w14:textId="77777777" w:rsidTr="0085123F">
        <w:trPr>
          <w:trHeight w:val="143"/>
        </w:trPr>
        <w:tc>
          <w:tcPr>
            <w:tcW w:w="340" w:type="pct"/>
            <w:tcBorders>
              <w:top w:val="nil"/>
              <w:left w:val="single" w:sz="4" w:space="0" w:color="auto"/>
              <w:bottom w:val="single" w:sz="4" w:space="0" w:color="auto"/>
              <w:right w:val="single" w:sz="4" w:space="0" w:color="auto"/>
            </w:tcBorders>
            <w:shd w:val="clear" w:color="auto" w:fill="DAEFD3" w:themeFill="accent1" w:themeFillTint="33"/>
          </w:tcPr>
          <w:p w14:paraId="3B234830"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539531A1"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Date</w:t>
            </w:r>
          </w:p>
        </w:tc>
        <w:tc>
          <w:tcPr>
            <w:tcW w:w="2485" w:type="pct"/>
            <w:tcBorders>
              <w:top w:val="single" w:sz="4" w:space="0" w:color="auto"/>
              <w:left w:val="single" w:sz="4" w:space="0" w:color="auto"/>
              <w:bottom w:val="single" w:sz="4" w:space="0" w:color="auto"/>
              <w:right w:val="single" w:sz="4" w:space="0" w:color="auto"/>
            </w:tcBorders>
          </w:tcPr>
          <w:p w14:paraId="1D9DBF50" w14:textId="77777777" w:rsidR="00C56AAA" w:rsidRPr="00C345C4" w:rsidRDefault="00C56AAA" w:rsidP="00EE69F4">
            <w:pPr>
              <w:spacing w:after="0"/>
              <w:contextualSpacing/>
              <w:rPr>
                <w:rFonts w:ascii="Avenir Next LT Pro" w:eastAsiaTheme="minorHAnsi" w:hAnsi="Avenir Next LT Pro"/>
                <w:sz w:val="20"/>
                <w:szCs w:val="20"/>
              </w:rPr>
            </w:pPr>
          </w:p>
        </w:tc>
      </w:tr>
      <w:tr w:rsidR="00DC7AEA" w:rsidRPr="00C345C4" w14:paraId="332936C8" w14:textId="77777777" w:rsidTr="00B24D0D">
        <w:trPr>
          <w:trHeight w:val="143"/>
        </w:trPr>
        <w:tc>
          <w:tcPr>
            <w:tcW w:w="340" w:type="pct"/>
            <w:tcBorders>
              <w:top w:val="single" w:sz="4" w:space="0" w:color="auto"/>
              <w:left w:val="nil"/>
              <w:bottom w:val="single" w:sz="4" w:space="0" w:color="auto"/>
              <w:right w:val="nil"/>
            </w:tcBorders>
            <w:shd w:val="clear" w:color="auto" w:fill="auto"/>
          </w:tcPr>
          <w:p w14:paraId="571CCF86"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nil"/>
              <w:bottom w:val="single" w:sz="4" w:space="0" w:color="auto"/>
              <w:right w:val="nil"/>
            </w:tcBorders>
            <w:shd w:val="clear" w:color="auto" w:fill="auto"/>
          </w:tcPr>
          <w:p w14:paraId="07523A8C" w14:textId="77777777" w:rsidR="00C56AAA" w:rsidRPr="00C345C4" w:rsidRDefault="00C56AAA" w:rsidP="00EE69F4">
            <w:pPr>
              <w:spacing w:after="0"/>
              <w:contextualSpacing/>
              <w:rPr>
                <w:rFonts w:ascii="Avenir Next LT Pro" w:eastAsiaTheme="minorHAnsi" w:hAnsi="Avenir Next LT Pro"/>
                <w:b/>
                <w:sz w:val="20"/>
                <w:szCs w:val="20"/>
              </w:rPr>
            </w:pPr>
          </w:p>
        </w:tc>
        <w:tc>
          <w:tcPr>
            <w:tcW w:w="2485" w:type="pct"/>
            <w:tcBorders>
              <w:top w:val="single" w:sz="4" w:space="0" w:color="auto"/>
              <w:left w:val="nil"/>
              <w:bottom w:val="single" w:sz="4" w:space="0" w:color="auto"/>
              <w:right w:val="nil"/>
            </w:tcBorders>
            <w:shd w:val="clear" w:color="auto" w:fill="auto"/>
          </w:tcPr>
          <w:p w14:paraId="789CD1CA" w14:textId="77777777" w:rsidR="00C56AAA" w:rsidRPr="00C345C4" w:rsidRDefault="00C56AAA" w:rsidP="00EE69F4">
            <w:pPr>
              <w:spacing w:after="0"/>
              <w:contextualSpacing/>
              <w:rPr>
                <w:rFonts w:ascii="Avenir Next LT Pro" w:eastAsiaTheme="minorHAnsi" w:hAnsi="Avenir Next LT Pro"/>
                <w:sz w:val="20"/>
                <w:szCs w:val="20"/>
              </w:rPr>
            </w:pPr>
          </w:p>
        </w:tc>
      </w:tr>
      <w:tr w:rsidR="00DC7AEA" w:rsidRPr="00C345C4" w14:paraId="1C8C6207" w14:textId="77777777" w:rsidTr="0085123F">
        <w:trPr>
          <w:trHeight w:val="350"/>
        </w:trPr>
        <w:tc>
          <w:tcPr>
            <w:tcW w:w="340" w:type="pct"/>
            <w:tcBorders>
              <w:top w:val="single" w:sz="4" w:space="0" w:color="auto"/>
              <w:left w:val="single" w:sz="4" w:space="0" w:color="auto"/>
              <w:bottom w:val="nil"/>
              <w:right w:val="single" w:sz="4" w:space="0" w:color="auto"/>
            </w:tcBorders>
            <w:shd w:val="clear" w:color="auto" w:fill="DAEFD3" w:themeFill="accent1" w:themeFillTint="33"/>
          </w:tcPr>
          <w:p w14:paraId="4F276EFF" w14:textId="7E106F93" w:rsidR="00C56AAA" w:rsidRPr="00C345C4" w:rsidRDefault="00C56AAA" w:rsidP="00EE69F4">
            <w:pPr>
              <w:spacing w:after="0"/>
              <w:contextualSpacing/>
              <w:jc w:val="center"/>
              <w:rPr>
                <w:rFonts w:ascii="Avenir Next LT Pro" w:eastAsiaTheme="minorHAnsi" w:hAnsi="Avenir Next LT Pro"/>
                <w:b/>
                <w:sz w:val="20"/>
                <w:szCs w:val="20"/>
              </w:rPr>
            </w:pPr>
            <w:r w:rsidRPr="00C345C4">
              <w:rPr>
                <w:rFonts w:ascii="Avenir Next LT Pro" w:eastAsiaTheme="minorHAnsi" w:hAnsi="Avenir Next LT Pro"/>
                <w:b/>
                <w:sz w:val="20"/>
                <w:szCs w:val="20"/>
              </w:rPr>
              <w:lastRenderedPageBreak/>
              <w:t>II</w:t>
            </w:r>
            <w:r w:rsidR="000A2661" w:rsidRPr="00C345C4">
              <w:rPr>
                <w:rFonts w:ascii="Avenir Next LT Pro" w:eastAsiaTheme="minorHAnsi" w:hAnsi="Avenir Next LT Pro"/>
                <w:b/>
                <w:sz w:val="20"/>
                <w:szCs w:val="20"/>
              </w:rPr>
              <w:t>I</w:t>
            </w:r>
            <w:r w:rsidRPr="00C345C4">
              <w:rPr>
                <w:rFonts w:ascii="Avenir Next LT Pro" w:eastAsiaTheme="minorHAnsi" w:hAnsi="Avenir Next LT Pro"/>
                <w:b/>
                <w:sz w:val="20"/>
                <w:szCs w:val="20"/>
              </w:rPr>
              <w:t>.</w:t>
            </w: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36DA0C65"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du représentant                    </w:t>
            </w:r>
          </w:p>
        </w:tc>
        <w:tc>
          <w:tcPr>
            <w:tcW w:w="2485" w:type="pct"/>
            <w:tcBorders>
              <w:top w:val="single" w:sz="4" w:space="0" w:color="auto"/>
              <w:left w:val="single" w:sz="4" w:space="0" w:color="auto"/>
              <w:bottom w:val="single" w:sz="4" w:space="0" w:color="auto"/>
              <w:right w:val="single" w:sz="4" w:space="0" w:color="auto"/>
            </w:tcBorders>
          </w:tcPr>
          <w:p w14:paraId="661A5DC6" w14:textId="77777777" w:rsidR="00C56AAA" w:rsidRPr="00C345C4" w:rsidRDefault="00C56AAA" w:rsidP="00EE69F4">
            <w:pPr>
              <w:spacing w:after="0"/>
              <w:contextualSpacing/>
              <w:rPr>
                <w:rFonts w:ascii="Avenir Next LT Pro" w:eastAsiaTheme="minorHAnsi" w:hAnsi="Avenir Next LT Pro"/>
                <w:sz w:val="20"/>
                <w:szCs w:val="20"/>
              </w:rPr>
            </w:pPr>
          </w:p>
        </w:tc>
      </w:tr>
      <w:tr w:rsidR="00BE1565" w:rsidRPr="00C345C4" w14:paraId="3D2A165D" w14:textId="77777777" w:rsidTr="0085123F">
        <w:trPr>
          <w:trHeight w:val="323"/>
        </w:trPr>
        <w:tc>
          <w:tcPr>
            <w:tcW w:w="340" w:type="pct"/>
            <w:tcBorders>
              <w:top w:val="nil"/>
              <w:left w:val="single" w:sz="4" w:space="0" w:color="auto"/>
              <w:bottom w:val="nil"/>
              <w:right w:val="single" w:sz="4" w:space="0" w:color="auto"/>
            </w:tcBorders>
            <w:shd w:val="clear" w:color="auto" w:fill="DAEFD3" w:themeFill="accent1" w:themeFillTint="33"/>
          </w:tcPr>
          <w:p w14:paraId="50996C00"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8D12474"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Signature</w:t>
            </w:r>
          </w:p>
        </w:tc>
        <w:tc>
          <w:tcPr>
            <w:tcW w:w="2485" w:type="pct"/>
            <w:tcBorders>
              <w:top w:val="single" w:sz="4" w:space="0" w:color="auto"/>
              <w:left w:val="single" w:sz="4" w:space="0" w:color="auto"/>
              <w:bottom w:val="single" w:sz="4" w:space="0" w:color="auto"/>
              <w:right w:val="single" w:sz="4" w:space="0" w:color="auto"/>
            </w:tcBorders>
          </w:tcPr>
          <w:p w14:paraId="7DD53C33" w14:textId="77777777" w:rsidR="00C56AAA" w:rsidRPr="00C345C4" w:rsidRDefault="00C56AAA" w:rsidP="00EE69F4">
            <w:pPr>
              <w:spacing w:after="0"/>
              <w:contextualSpacing/>
              <w:rPr>
                <w:rFonts w:ascii="Avenir Next LT Pro" w:eastAsiaTheme="minorHAnsi" w:hAnsi="Avenir Next LT Pro"/>
                <w:sz w:val="20"/>
                <w:szCs w:val="20"/>
              </w:rPr>
            </w:pPr>
          </w:p>
          <w:p w14:paraId="7D6B4244" w14:textId="77777777" w:rsidR="005114D8" w:rsidRPr="00C345C4" w:rsidRDefault="005114D8" w:rsidP="00EE69F4">
            <w:pPr>
              <w:spacing w:after="0"/>
              <w:contextualSpacing/>
              <w:rPr>
                <w:rFonts w:ascii="Avenir Next LT Pro" w:eastAsiaTheme="minorHAnsi" w:hAnsi="Avenir Next LT Pro"/>
                <w:sz w:val="20"/>
                <w:szCs w:val="20"/>
              </w:rPr>
            </w:pPr>
          </w:p>
          <w:p w14:paraId="7A70318E" w14:textId="7873615E" w:rsidR="005114D8" w:rsidRPr="00C345C4" w:rsidRDefault="005114D8" w:rsidP="00EE69F4">
            <w:pPr>
              <w:spacing w:after="0"/>
              <w:contextualSpacing/>
              <w:rPr>
                <w:rFonts w:ascii="Avenir Next LT Pro" w:eastAsiaTheme="minorHAnsi" w:hAnsi="Avenir Next LT Pro"/>
                <w:sz w:val="20"/>
                <w:szCs w:val="20"/>
              </w:rPr>
            </w:pPr>
          </w:p>
        </w:tc>
      </w:tr>
      <w:tr w:rsidR="00BE1565" w:rsidRPr="00C345C4" w14:paraId="777E386F" w14:textId="77777777" w:rsidTr="0085123F">
        <w:trPr>
          <w:trHeight w:val="305"/>
        </w:trPr>
        <w:tc>
          <w:tcPr>
            <w:tcW w:w="340" w:type="pct"/>
            <w:tcBorders>
              <w:top w:val="nil"/>
              <w:left w:val="single" w:sz="4" w:space="0" w:color="auto"/>
              <w:bottom w:val="nil"/>
              <w:right w:val="single" w:sz="4" w:space="0" w:color="auto"/>
            </w:tcBorders>
            <w:shd w:val="clear" w:color="auto" w:fill="DAEFD3" w:themeFill="accent1" w:themeFillTint="33"/>
          </w:tcPr>
          <w:p w14:paraId="12A8B858"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6DB4B12D"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 xml:space="preserve">Nom de l’Organisation Participante     </w:t>
            </w:r>
          </w:p>
        </w:tc>
        <w:tc>
          <w:tcPr>
            <w:tcW w:w="2485" w:type="pct"/>
            <w:tcBorders>
              <w:top w:val="single" w:sz="4" w:space="0" w:color="auto"/>
              <w:left w:val="single" w:sz="4" w:space="0" w:color="auto"/>
              <w:bottom w:val="single" w:sz="4" w:space="0" w:color="auto"/>
              <w:right w:val="single" w:sz="4" w:space="0" w:color="auto"/>
            </w:tcBorders>
          </w:tcPr>
          <w:p w14:paraId="47FE07CE" w14:textId="77777777" w:rsidR="00C56AAA" w:rsidRPr="00C345C4" w:rsidRDefault="00C56AAA" w:rsidP="00EE69F4">
            <w:pPr>
              <w:spacing w:after="0"/>
              <w:contextualSpacing/>
              <w:rPr>
                <w:rFonts w:ascii="Avenir Next LT Pro" w:eastAsiaTheme="minorHAnsi" w:hAnsi="Avenir Next LT Pro"/>
                <w:sz w:val="20"/>
                <w:szCs w:val="20"/>
              </w:rPr>
            </w:pPr>
          </w:p>
        </w:tc>
      </w:tr>
      <w:tr w:rsidR="00DC7AEA" w:rsidRPr="00C345C4" w14:paraId="1D85F897" w14:textId="77777777" w:rsidTr="0085123F">
        <w:trPr>
          <w:trHeight w:val="278"/>
        </w:trPr>
        <w:tc>
          <w:tcPr>
            <w:tcW w:w="340" w:type="pct"/>
            <w:tcBorders>
              <w:top w:val="nil"/>
              <w:left w:val="single" w:sz="4" w:space="0" w:color="auto"/>
              <w:bottom w:val="single" w:sz="4" w:space="0" w:color="auto"/>
              <w:right w:val="single" w:sz="4" w:space="0" w:color="auto"/>
            </w:tcBorders>
            <w:shd w:val="clear" w:color="auto" w:fill="DAEFD3" w:themeFill="accent1" w:themeFillTint="33"/>
          </w:tcPr>
          <w:p w14:paraId="4047E8EB" w14:textId="77777777" w:rsidR="00C56AAA" w:rsidRPr="00C345C4" w:rsidRDefault="00C56AAA" w:rsidP="00EE69F4">
            <w:pPr>
              <w:spacing w:after="0"/>
              <w:contextualSpacing/>
              <w:jc w:val="center"/>
              <w:rPr>
                <w:rFonts w:ascii="Avenir Next LT Pro" w:eastAsiaTheme="minorHAnsi" w:hAnsi="Avenir Next LT Pro"/>
                <w:b/>
                <w:sz w:val="20"/>
                <w:szCs w:val="20"/>
              </w:rPr>
            </w:pPr>
          </w:p>
        </w:tc>
        <w:tc>
          <w:tcPr>
            <w:tcW w:w="2175" w:type="pct"/>
            <w:tcBorders>
              <w:top w:val="single" w:sz="4" w:space="0" w:color="auto"/>
              <w:left w:val="single" w:sz="4" w:space="0" w:color="auto"/>
              <w:bottom w:val="single" w:sz="4" w:space="0" w:color="auto"/>
              <w:right w:val="single" w:sz="4" w:space="0" w:color="auto"/>
            </w:tcBorders>
            <w:shd w:val="clear" w:color="auto" w:fill="DAEFD3" w:themeFill="accent1" w:themeFillTint="33"/>
          </w:tcPr>
          <w:p w14:paraId="21BF5D1C" w14:textId="77777777" w:rsidR="00C56AAA" w:rsidRPr="00C345C4" w:rsidRDefault="00C56AAA" w:rsidP="00EE69F4">
            <w:pPr>
              <w:spacing w:after="0"/>
              <w:contextualSpacing/>
              <w:rPr>
                <w:rFonts w:ascii="Avenir Next LT Pro" w:eastAsiaTheme="minorHAnsi" w:hAnsi="Avenir Next LT Pro"/>
                <w:b/>
                <w:sz w:val="20"/>
                <w:szCs w:val="20"/>
              </w:rPr>
            </w:pPr>
            <w:r w:rsidRPr="00C345C4">
              <w:rPr>
                <w:rFonts w:ascii="Avenir Next LT Pro" w:eastAsiaTheme="minorHAnsi" w:hAnsi="Avenir Next LT Pro"/>
                <w:b/>
                <w:sz w:val="20"/>
                <w:szCs w:val="20"/>
              </w:rPr>
              <w:t>Date</w:t>
            </w:r>
          </w:p>
        </w:tc>
        <w:tc>
          <w:tcPr>
            <w:tcW w:w="2485" w:type="pct"/>
            <w:tcBorders>
              <w:top w:val="single" w:sz="4" w:space="0" w:color="auto"/>
              <w:left w:val="single" w:sz="4" w:space="0" w:color="auto"/>
              <w:bottom w:val="single" w:sz="4" w:space="0" w:color="auto"/>
              <w:right w:val="single" w:sz="4" w:space="0" w:color="auto"/>
            </w:tcBorders>
          </w:tcPr>
          <w:p w14:paraId="4563B790" w14:textId="77777777" w:rsidR="00C56AAA" w:rsidRPr="00C345C4" w:rsidRDefault="00C56AAA" w:rsidP="00EE69F4">
            <w:pPr>
              <w:spacing w:after="0"/>
              <w:contextualSpacing/>
              <w:rPr>
                <w:rFonts w:ascii="Avenir Next LT Pro" w:eastAsiaTheme="minorHAnsi" w:hAnsi="Avenir Next LT Pro"/>
                <w:sz w:val="20"/>
                <w:szCs w:val="20"/>
              </w:rPr>
            </w:pPr>
          </w:p>
        </w:tc>
      </w:tr>
    </w:tbl>
    <w:p w14:paraId="2BA6CFE1" w14:textId="6D2E4F48" w:rsidR="008E0467" w:rsidRPr="00C345C4" w:rsidRDefault="008E0467" w:rsidP="00173CB9">
      <w:pPr>
        <w:spacing w:after="0"/>
        <w:contextualSpacing/>
        <w:rPr>
          <w:rFonts w:ascii="Avenir Next LT Pro" w:eastAsiaTheme="minorHAnsi" w:hAnsi="Avenir Next LT Pro"/>
          <w:b/>
          <w:sz w:val="20"/>
          <w:szCs w:val="20"/>
          <w:highlight w:val="yellow"/>
        </w:rPr>
      </w:pPr>
    </w:p>
    <w:p w14:paraId="02228462" w14:textId="77777777" w:rsidR="00CB1409" w:rsidRDefault="00CB1409">
      <w:pPr>
        <w:spacing w:after="160" w:line="259" w:lineRule="auto"/>
        <w:rPr>
          <w:rFonts w:ascii="Avenir Next LT Pro" w:eastAsiaTheme="minorHAnsi" w:hAnsi="Avenir Next LT Pro"/>
          <w:b/>
          <w:sz w:val="20"/>
          <w:szCs w:val="20"/>
          <w:highlight w:val="yellow"/>
        </w:rPr>
      </w:pPr>
      <w:r>
        <w:rPr>
          <w:rFonts w:ascii="Avenir Next LT Pro" w:eastAsiaTheme="minorHAnsi" w:hAnsi="Avenir Next LT Pro"/>
          <w:b/>
          <w:sz w:val="20"/>
          <w:szCs w:val="20"/>
          <w:highlight w:val="yellow"/>
        </w:rPr>
        <w:br w:type="page"/>
      </w:r>
    </w:p>
    <w:p w14:paraId="24A47E42" w14:textId="13895EA0" w:rsidR="008E0467" w:rsidRPr="00CB1409" w:rsidRDefault="00CB1409" w:rsidP="00CB1409">
      <w:pPr>
        <w:pStyle w:val="Titre1"/>
        <w:numPr>
          <w:ilvl w:val="0"/>
          <w:numId w:val="0"/>
        </w:numPr>
        <w:ind w:left="357" w:hanging="357"/>
        <w:rPr>
          <w:rFonts w:ascii="Avenir Next LT Pro" w:hAnsi="Avenir Next LT Pro"/>
          <w:szCs w:val="24"/>
        </w:rPr>
      </w:pPr>
      <w:bookmarkStart w:id="1" w:name="_Effets_CAFI"/>
      <w:bookmarkStart w:id="2" w:name="_Toc163230354"/>
      <w:bookmarkEnd w:id="1"/>
      <w:r>
        <w:rPr>
          <w:rFonts w:ascii="Avenir Next LT Pro" w:hAnsi="Avenir Next LT Pro"/>
          <w:szCs w:val="24"/>
        </w:rPr>
        <w:lastRenderedPageBreak/>
        <w:t>Effets CAFI</w:t>
      </w:r>
      <w:bookmarkEnd w:id="2"/>
    </w:p>
    <w:tbl>
      <w:tblPr>
        <w:tblpPr w:leftFromText="180" w:rightFromText="180" w:vertAnchor="text" w:horzAnchor="margin"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63"/>
        <w:gridCol w:w="1871"/>
      </w:tblGrid>
      <w:tr w:rsidR="00F45A7E" w:rsidRPr="00C345C4" w14:paraId="35320301" w14:textId="77777777" w:rsidTr="003C159B">
        <w:trPr>
          <w:cantSplit/>
          <w:trHeight w:val="20"/>
        </w:trPr>
        <w:tc>
          <w:tcPr>
            <w:tcW w:w="7763" w:type="dxa"/>
            <w:tcBorders>
              <w:top w:val="single" w:sz="4" w:space="0" w:color="auto"/>
              <w:left w:val="single" w:sz="4" w:space="0" w:color="auto"/>
              <w:bottom w:val="single" w:sz="4" w:space="0" w:color="auto"/>
              <w:right w:val="single" w:sz="4" w:space="0" w:color="auto"/>
            </w:tcBorders>
            <w:shd w:val="clear" w:color="auto" w:fill="3E762A" w:themeFill="accent1" w:themeFillShade="BF"/>
          </w:tcPr>
          <w:p w14:paraId="2BED1F62" w14:textId="2A5BA7DF" w:rsidR="00F45A7E" w:rsidRPr="0085123F" w:rsidRDefault="00F45A7E" w:rsidP="003C159B">
            <w:pPr>
              <w:widowControl w:val="0"/>
              <w:spacing w:before="120" w:after="120"/>
              <w:jc w:val="both"/>
              <w:rPr>
                <w:rFonts w:ascii="Avenir Next LT Pro" w:eastAsia="Times New Roman" w:hAnsi="Avenir Next LT Pro" w:cstheme="minorBidi"/>
                <w:snapToGrid w:val="0"/>
                <w:color w:val="FFFFFF" w:themeColor="background1"/>
              </w:rPr>
            </w:pPr>
            <w:r w:rsidRPr="0E592894">
              <w:rPr>
                <w:rFonts w:ascii="Avenir Next LT Pro" w:eastAsia="Times New Roman" w:hAnsi="Avenir Next LT Pro" w:cstheme="minorBidi"/>
                <w:b/>
                <w:bCs/>
                <w:snapToGrid w:val="0"/>
                <w:color w:val="FFFFFF" w:themeColor="background1"/>
              </w:rPr>
              <w:t xml:space="preserve">EFFETS CAFI </w:t>
            </w:r>
            <w:r w:rsidRPr="0E592894">
              <w:rPr>
                <w:rFonts w:ascii="Avenir Next LT Pro" w:eastAsia="Times New Roman" w:hAnsi="Avenir Next LT Pro" w:cstheme="minorBidi"/>
                <w:snapToGrid w:val="0"/>
                <w:color w:val="FFFFFF" w:themeColor="background1"/>
              </w:rPr>
              <w:t>au</w:t>
            </w:r>
            <w:r w:rsidR="5218FA07" w:rsidRPr="0E592894">
              <w:rPr>
                <w:rFonts w:ascii="Avenir Next LT Pro" w:eastAsia="Times New Roman" w:hAnsi="Avenir Next LT Pro" w:cstheme="minorBidi"/>
                <w:snapToGrid w:val="0"/>
                <w:color w:val="FFFFFF" w:themeColor="background1"/>
              </w:rPr>
              <w:t>x</w:t>
            </w:r>
            <w:r w:rsidRPr="0E592894">
              <w:rPr>
                <w:rFonts w:ascii="Avenir Next LT Pro" w:eastAsia="Times New Roman" w:hAnsi="Avenir Next LT Pro" w:cstheme="minorBidi"/>
                <w:snapToGrid w:val="0"/>
                <w:color w:val="FFFFFF" w:themeColor="background1"/>
              </w:rPr>
              <w:t>quel</w:t>
            </w:r>
            <w:r w:rsidR="7D893958" w:rsidRPr="0E592894">
              <w:rPr>
                <w:rFonts w:ascii="Avenir Next LT Pro" w:eastAsia="Times New Roman" w:hAnsi="Avenir Next LT Pro" w:cstheme="minorBidi"/>
                <w:snapToGrid w:val="0"/>
                <w:color w:val="FFFFFF" w:themeColor="background1"/>
              </w:rPr>
              <w:t>s</w:t>
            </w:r>
            <w:r w:rsidRPr="0E592894">
              <w:rPr>
                <w:rFonts w:ascii="Avenir Next LT Pro" w:eastAsia="Times New Roman" w:hAnsi="Avenir Next LT Pro" w:cstheme="minorBidi"/>
                <w:snapToGrid w:val="0"/>
                <w:color w:val="FFFFFF" w:themeColor="background1"/>
              </w:rPr>
              <w:t xml:space="preserve"> le projet contribue</w:t>
            </w:r>
          </w:p>
        </w:tc>
        <w:tc>
          <w:tcPr>
            <w:tcW w:w="1871" w:type="dxa"/>
            <w:tcBorders>
              <w:top w:val="single" w:sz="4" w:space="0" w:color="auto"/>
              <w:left w:val="single" w:sz="4" w:space="0" w:color="auto"/>
              <w:bottom w:val="single" w:sz="4" w:space="0" w:color="auto"/>
              <w:right w:val="single" w:sz="4" w:space="0" w:color="auto"/>
            </w:tcBorders>
            <w:shd w:val="clear" w:color="auto" w:fill="3E762A" w:themeFill="accent1" w:themeFillShade="BF"/>
          </w:tcPr>
          <w:p w14:paraId="42D9B643" w14:textId="3C5212FE" w:rsidR="00F45A7E" w:rsidRPr="0085123F" w:rsidRDefault="00F45A7E" w:rsidP="003C159B">
            <w:pPr>
              <w:spacing w:before="120" w:after="120"/>
              <w:rPr>
                <w:rFonts w:ascii="Avenir Next LT Pro" w:eastAsia="Times New Roman" w:hAnsi="Avenir Next LT Pro" w:cstheme="minorHAnsi"/>
                <w:b/>
                <w:bCs/>
                <w:color w:val="FFFFFF" w:themeColor="background1"/>
              </w:rPr>
            </w:pPr>
            <w:r w:rsidRPr="0085123F">
              <w:rPr>
                <w:rFonts w:ascii="Avenir Next LT Pro" w:eastAsia="Times New Roman" w:hAnsi="Avenir Next LT Pro" w:cstheme="minorHAnsi"/>
                <w:b/>
                <w:bCs/>
                <w:color w:val="FFFFFF" w:themeColor="background1"/>
              </w:rPr>
              <w:t>Montant en USD</w:t>
            </w:r>
            <w:r w:rsidR="00387A7C">
              <w:rPr>
                <w:rStyle w:val="Appelnotedebasdep"/>
                <w:rFonts w:ascii="Avenir Next LT Pro" w:eastAsia="Times New Roman" w:hAnsi="Avenir Next LT Pro" w:cstheme="minorHAnsi"/>
                <w:b/>
                <w:bCs/>
                <w:color w:val="FFFFFF" w:themeColor="background1"/>
              </w:rPr>
              <w:footnoteReference w:id="3"/>
            </w:r>
          </w:p>
        </w:tc>
      </w:tr>
      <w:tr w:rsidR="0068302F" w:rsidRPr="00C345C4" w14:paraId="69E1F35E" w14:textId="77777777" w:rsidTr="003C159B">
        <w:trPr>
          <w:cantSplit/>
          <w:trHeight w:val="20"/>
        </w:trPr>
        <w:tc>
          <w:tcPr>
            <w:tcW w:w="7763" w:type="dxa"/>
            <w:tcBorders>
              <w:top w:val="single" w:sz="4" w:space="0" w:color="auto"/>
              <w:right w:val="single" w:sz="4" w:space="0" w:color="auto"/>
            </w:tcBorders>
          </w:tcPr>
          <w:p w14:paraId="538D54C6" w14:textId="2EF8024E" w:rsidR="00477FD7" w:rsidRPr="00C345C4" w:rsidRDefault="0068302F" w:rsidP="00487A95">
            <w:pPr>
              <w:pStyle w:val="Paragraphedeliste"/>
              <w:widowControl w:val="0"/>
              <w:numPr>
                <w:ilvl w:val="0"/>
                <w:numId w:val="12"/>
              </w:numPr>
              <w:spacing w:before="120" w:after="120"/>
              <w:ind w:left="313"/>
              <w:jc w:val="both"/>
              <w:rPr>
                <w:rFonts w:ascii="Avenir Next LT Pro" w:eastAsia="Times New Roman" w:hAnsi="Avenir Next LT Pro" w:cstheme="minorHAnsi"/>
                <w:b/>
                <w:bCs/>
              </w:rPr>
            </w:pPr>
            <w:r w:rsidRPr="00C345C4">
              <w:rPr>
                <w:rFonts w:ascii="Avenir Next LT Pro" w:eastAsia="Times New Roman" w:hAnsi="Avenir Next LT Pro" w:cstheme="minorHAnsi"/>
                <w:bCs/>
                <w:snapToGrid w:val="0"/>
              </w:rPr>
              <w:t>Les</w:t>
            </w:r>
            <w:r w:rsidRPr="00C345C4">
              <w:rPr>
                <w:rFonts w:ascii="Avenir Next LT Pro" w:eastAsia="Times New Roman" w:hAnsi="Avenir Next LT Pro" w:cstheme="minorHAnsi"/>
                <w:b/>
                <w:snapToGrid w:val="0"/>
              </w:rPr>
              <w:t xml:space="preserve"> pratiques agricoles durables </w:t>
            </w:r>
            <w:r w:rsidRPr="00C345C4">
              <w:rPr>
                <w:rFonts w:ascii="Avenir Next LT Pro" w:eastAsia="Times New Roman" w:hAnsi="Avenir Next LT Pro" w:cstheme="minorHAnsi"/>
                <w:bCs/>
                <w:snapToGrid w:val="0"/>
              </w:rPr>
              <w:t>entraînent une moindre conversion des terres et une sécurité alimentaire accrue</w:t>
            </w:r>
            <w:r w:rsidR="008B0FE0">
              <w:rPr>
                <w:rFonts w:ascii="Avenir Next LT Pro" w:eastAsia="Times New Roman" w:hAnsi="Avenir Next LT Pro" w:cstheme="minorHAnsi"/>
                <w:bCs/>
                <w:snapToGrid w:val="0"/>
              </w:rPr>
              <w:t>.</w:t>
            </w:r>
          </w:p>
        </w:tc>
        <w:tc>
          <w:tcPr>
            <w:tcW w:w="1871" w:type="dxa"/>
            <w:tcBorders>
              <w:top w:val="single" w:sz="4" w:space="0" w:color="auto"/>
              <w:right w:val="single" w:sz="4" w:space="0" w:color="auto"/>
            </w:tcBorders>
          </w:tcPr>
          <w:p w14:paraId="6FFA2172" w14:textId="243C1B6B" w:rsidR="0068302F" w:rsidRPr="00C345C4" w:rsidRDefault="0068302F" w:rsidP="003C159B">
            <w:pPr>
              <w:spacing w:before="120" w:after="120"/>
              <w:rPr>
                <w:rFonts w:ascii="Avenir Next LT Pro" w:eastAsia="Times New Roman" w:hAnsi="Avenir Next LT Pro" w:cstheme="minorHAnsi"/>
                <w:b/>
                <w:bCs/>
              </w:rPr>
            </w:pPr>
          </w:p>
        </w:tc>
      </w:tr>
      <w:tr w:rsidR="0068302F" w:rsidRPr="00C345C4" w14:paraId="34BCE33A" w14:textId="77777777" w:rsidTr="003C159B">
        <w:trPr>
          <w:cantSplit/>
          <w:trHeight w:val="20"/>
        </w:trPr>
        <w:tc>
          <w:tcPr>
            <w:tcW w:w="7763" w:type="dxa"/>
            <w:tcBorders>
              <w:right w:val="single" w:sz="4" w:space="0" w:color="auto"/>
            </w:tcBorders>
          </w:tcPr>
          <w:p w14:paraId="39491444" w14:textId="7B7D3FE7" w:rsidR="0068302F" w:rsidRPr="00C345C4" w:rsidRDefault="0068302F" w:rsidP="00487A95">
            <w:pPr>
              <w:pStyle w:val="Paragraphedeliste"/>
              <w:widowControl w:val="0"/>
              <w:numPr>
                <w:ilvl w:val="0"/>
                <w:numId w:val="12"/>
              </w:numPr>
              <w:spacing w:before="120" w:after="120"/>
              <w:ind w:left="313"/>
              <w:jc w:val="both"/>
              <w:rPr>
                <w:rFonts w:ascii="Avenir Next LT Pro" w:eastAsia="Times New Roman" w:hAnsi="Avenir Next LT Pro" w:cstheme="minorHAnsi"/>
                <w:b/>
                <w:snapToGrid w:val="0"/>
              </w:rPr>
            </w:pPr>
            <w:r w:rsidRPr="00C345C4">
              <w:rPr>
                <w:rFonts w:ascii="Avenir Next LT Pro" w:eastAsia="Times New Roman" w:hAnsi="Avenir Next LT Pro" w:cstheme="minorHAnsi"/>
                <w:bCs/>
                <w:snapToGrid w:val="0"/>
              </w:rPr>
              <w:t>Des</w:t>
            </w:r>
            <w:r w:rsidRPr="00C345C4">
              <w:rPr>
                <w:rFonts w:ascii="Avenir Next LT Pro" w:eastAsia="Times New Roman" w:hAnsi="Avenir Next LT Pro" w:cstheme="minorHAnsi"/>
                <w:b/>
                <w:snapToGrid w:val="0"/>
              </w:rPr>
              <w:t xml:space="preserve"> </w:t>
            </w:r>
            <w:r w:rsidRPr="00C345C4">
              <w:rPr>
                <w:rFonts w:ascii="Avenir Next LT Pro" w:eastAsia="Times New Roman" w:hAnsi="Avenir Next LT Pro" w:cstheme="minorHAnsi"/>
                <w:bCs/>
                <w:snapToGrid w:val="0"/>
              </w:rPr>
              <w:t xml:space="preserve">solutions </w:t>
            </w:r>
            <w:r w:rsidR="00B551BC" w:rsidRPr="00C345C4">
              <w:rPr>
                <w:rFonts w:ascii="Avenir Next LT Pro" w:eastAsia="Times New Roman" w:hAnsi="Avenir Next LT Pro" w:cstheme="minorHAnsi"/>
                <w:bCs/>
                <w:snapToGrid w:val="0"/>
              </w:rPr>
              <w:t>alternatives</w:t>
            </w:r>
            <w:r w:rsidRPr="00C345C4">
              <w:rPr>
                <w:rFonts w:ascii="Avenir Next LT Pro" w:eastAsia="Times New Roman" w:hAnsi="Avenir Next LT Pro" w:cstheme="minorHAnsi"/>
                <w:bCs/>
                <w:snapToGrid w:val="0"/>
              </w:rPr>
              <w:t xml:space="preserve"> durables aux pratiques actuelles en matière de</w:t>
            </w:r>
            <w:r w:rsidRPr="00C345C4">
              <w:rPr>
                <w:rFonts w:ascii="Avenir Next LT Pro" w:eastAsia="Times New Roman" w:hAnsi="Avenir Next LT Pro" w:cstheme="minorHAnsi"/>
                <w:b/>
                <w:snapToGrid w:val="0"/>
              </w:rPr>
              <w:t xml:space="preserve"> bois-énergie </w:t>
            </w:r>
            <w:r w:rsidRPr="00C345C4">
              <w:rPr>
                <w:rFonts w:ascii="Avenir Next LT Pro" w:eastAsia="Times New Roman" w:hAnsi="Avenir Next LT Pro" w:cstheme="minorHAnsi"/>
                <w:bCs/>
                <w:snapToGrid w:val="0"/>
              </w:rPr>
              <w:t>sont adoptées</w:t>
            </w:r>
            <w:r w:rsidR="00E47101">
              <w:rPr>
                <w:rFonts w:ascii="Avenir Next LT Pro" w:eastAsia="Times New Roman" w:hAnsi="Avenir Next LT Pro" w:cstheme="minorHAnsi"/>
                <w:bCs/>
                <w:snapToGrid w:val="0"/>
              </w:rPr>
              <w:t>.</w:t>
            </w:r>
          </w:p>
        </w:tc>
        <w:tc>
          <w:tcPr>
            <w:tcW w:w="1871" w:type="dxa"/>
            <w:tcBorders>
              <w:right w:val="single" w:sz="4" w:space="0" w:color="auto"/>
            </w:tcBorders>
          </w:tcPr>
          <w:p w14:paraId="439B37EA" w14:textId="77777777" w:rsidR="0068302F" w:rsidRPr="00C345C4" w:rsidRDefault="0068302F" w:rsidP="003C159B">
            <w:pPr>
              <w:spacing w:before="120" w:after="120"/>
              <w:rPr>
                <w:rFonts w:ascii="Avenir Next LT Pro" w:eastAsia="Times New Roman" w:hAnsi="Avenir Next LT Pro" w:cstheme="minorHAnsi"/>
              </w:rPr>
            </w:pPr>
          </w:p>
        </w:tc>
      </w:tr>
      <w:tr w:rsidR="0068302F" w:rsidRPr="00C345C4" w14:paraId="46A8D1F1" w14:textId="77777777" w:rsidTr="003C159B">
        <w:trPr>
          <w:cantSplit/>
          <w:trHeight w:val="20"/>
        </w:trPr>
        <w:tc>
          <w:tcPr>
            <w:tcW w:w="7763" w:type="dxa"/>
            <w:tcBorders>
              <w:right w:val="single" w:sz="4" w:space="0" w:color="auto"/>
            </w:tcBorders>
          </w:tcPr>
          <w:p w14:paraId="5A1CBF14" w14:textId="3E917C7A" w:rsidR="0068302F" w:rsidRPr="00C345C4" w:rsidRDefault="0068302F" w:rsidP="00487A95">
            <w:pPr>
              <w:pStyle w:val="Paragraphedeliste"/>
              <w:widowControl w:val="0"/>
              <w:numPr>
                <w:ilvl w:val="0"/>
                <w:numId w:val="12"/>
              </w:numPr>
              <w:spacing w:before="120" w:after="120"/>
              <w:ind w:left="313"/>
              <w:jc w:val="both"/>
              <w:rPr>
                <w:rFonts w:ascii="Avenir Next LT Pro" w:eastAsia="Times New Roman" w:hAnsi="Avenir Next LT Pro" w:cstheme="minorHAnsi"/>
                <w:b/>
                <w:snapToGrid w:val="0"/>
              </w:rPr>
            </w:pPr>
            <w:r w:rsidRPr="00C345C4">
              <w:rPr>
                <w:rFonts w:ascii="Avenir Next LT Pro" w:eastAsia="Times New Roman" w:hAnsi="Avenir Next LT Pro" w:cstheme="minorHAnsi"/>
                <w:bCs/>
                <w:snapToGrid w:val="0"/>
              </w:rPr>
              <w:t>Les institutions et les parties prenantes du</w:t>
            </w:r>
            <w:r w:rsidRPr="00C345C4">
              <w:rPr>
                <w:rFonts w:ascii="Avenir Next LT Pro" w:eastAsia="Times New Roman" w:hAnsi="Avenir Next LT Pro" w:cstheme="minorHAnsi"/>
                <w:b/>
                <w:snapToGrid w:val="0"/>
              </w:rPr>
              <w:t xml:space="preserve"> secteur forestier et des aires protégées </w:t>
            </w:r>
            <w:r w:rsidRPr="00C345C4">
              <w:rPr>
                <w:rFonts w:ascii="Avenir Next LT Pro" w:eastAsia="Times New Roman" w:hAnsi="Avenir Next LT Pro" w:cstheme="minorHAnsi"/>
                <w:bCs/>
                <w:snapToGrid w:val="0"/>
              </w:rPr>
              <w:t>ont la capacité et le cadre juridique nécessaires pour promouvoir, surveiller et faire respecter la gestion durable des forêts</w:t>
            </w:r>
            <w:r w:rsidR="00807DB0">
              <w:rPr>
                <w:rFonts w:ascii="Avenir Next LT Pro" w:eastAsia="Times New Roman" w:hAnsi="Avenir Next LT Pro" w:cstheme="minorHAnsi"/>
                <w:bCs/>
                <w:snapToGrid w:val="0"/>
              </w:rPr>
              <w:t>.</w:t>
            </w:r>
          </w:p>
        </w:tc>
        <w:tc>
          <w:tcPr>
            <w:tcW w:w="1871" w:type="dxa"/>
            <w:tcBorders>
              <w:right w:val="single" w:sz="4" w:space="0" w:color="auto"/>
            </w:tcBorders>
          </w:tcPr>
          <w:p w14:paraId="1BDB49BE" w14:textId="21B8574C" w:rsidR="0068302F" w:rsidRPr="004363C5" w:rsidRDefault="004363C5" w:rsidP="003C159B">
            <w:pPr>
              <w:spacing w:before="120" w:after="120"/>
              <w:rPr>
                <w:rFonts w:ascii="Avenir Next LT Pro" w:eastAsia="Times New Roman" w:hAnsi="Avenir Next LT Pro" w:cstheme="minorHAnsi"/>
                <w:b/>
                <w:bCs/>
              </w:rPr>
            </w:pPr>
            <w:r w:rsidRPr="004363C5">
              <w:rPr>
                <w:rFonts w:ascii="Avenir Next LT Pro" w:eastAsia="Times New Roman" w:hAnsi="Avenir Next LT Pro" w:cstheme="minorHAnsi"/>
                <w:b/>
                <w:bCs/>
              </w:rPr>
              <w:t>3.100.000</w:t>
            </w:r>
          </w:p>
        </w:tc>
      </w:tr>
      <w:tr w:rsidR="0068302F" w:rsidRPr="00C345C4" w14:paraId="5583FEF9" w14:textId="77777777" w:rsidTr="003C159B">
        <w:trPr>
          <w:cantSplit/>
          <w:trHeight w:val="20"/>
        </w:trPr>
        <w:tc>
          <w:tcPr>
            <w:tcW w:w="7763" w:type="dxa"/>
            <w:tcBorders>
              <w:right w:val="single" w:sz="4" w:space="0" w:color="auto"/>
            </w:tcBorders>
          </w:tcPr>
          <w:p w14:paraId="4EEC8508" w14:textId="1EE86EF0" w:rsidR="0068302F" w:rsidRPr="00C345C4" w:rsidRDefault="0068302F" w:rsidP="00487A95">
            <w:pPr>
              <w:widowControl w:val="0"/>
              <w:numPr>
                <w:ilvl w:val="0"/>
                <w:numId w:val="12"/>
              </w:numPr>
              <w:spacing w:before="120" w:after="120"/>
              <w:ind w:left="313" w:hanging="357"/>
              <w:jc w:val="both"/>
              <w:rPr>
                <w:rFonts w:ascii="Avenir Next LT Pro" w:eastAsia="Times New Roman" w:hAnsi="Avenir Next LT Pro" w:cstheme="minorHAnsi"/>
                <w:b/>
                <w:snapToGrid w:val="0"/>
              </w:rPr>
            </w:pPr>
            <w:r w:rsidRPr="00C345C4">
              <w:rPr>
                <w:rFonts w:ascii="Avenir Next LT Pro" w:eastAsia="Times New Roman" w:hAnsi="Avenir Next LT Pro" w:cstheme="minorHAnsi"/>
                <w:bCs/>
                <w:snapToGrid w:val="0"/>
              </w:rPr>
              <w:t>Les futurs</w:t>
            </w:r>
            <w:r w:rsidRPr="00C345C4">
              <w:rPr>
                <w:rFonts w:ascii="Avenir Next LT Pro" w:eastAsia="Times New Roman" w:hAnsi="Avenir Next LT Pro" w:cstheme="minorHAnsi"/>
                <w:b/>
                <w:snapToGrid w:val="0"/>
              </w:rPr>
              <w:t xml:space="preserve"> projets d’infrastructure et d’exploitation minière et d’hydrocarbures </w:t>
            </w:r>
            <w:r w:rsidRPr="00C345C4">
              <w:rPr>
                <w:rFonts w:ascii="Avenir Next LT Pro" w:eastAsia="Times New Roman" w:hAnsi="Avenir Next LT Pro" w:cstheme="minorHAnsi"/>
                <w:bCs/>
                <w:snapToGrid w:val="0"/>
              </w:rPr>
              <w:t>minimisent leur empreinte globale</w:t>
            </w:r>
            <w:r w:rsidR="00BA7721" w:rsidRPr="00BA7721">
              <w:rPr>
                <w:rFonts w:ascii="Avenir Next LT Pro" w:eastAsia="Times New Roman" w:hAnsi="Avenir Next LT Pro" w:cstheme="minorHAnsi"/>
                <w:bCs/>
                <w:snapToGrid w:val="0"/>
              </w:rPr>
              <w:t>.</w:t>
            </w:r>
          </w:p>
        </w:tc>
        <w:tc>
          <w:tcPr>
            <w:tcW w:w="1871" w:type="dxa"/>
            <w:tcBorders>
              <w:right w:val="single" w:sz="4" w:space="0" w:color="auto"/>
            </w:tcBorders>
          </w:tcPr>
          <w:p w14:paraId="62B85AE5" w14:textId="77777777" w:rsidR="0068302F" w:rsidRPr="00C345C4" w:rsidRDefault="0068302F" w:rsidP="003C159B">
            <w:pPr>
              <w:spacing w:before="120" w:after="120"/>
              <w:rPr>
                <w:rFonts w:ascii="Avenir Next LT Pro" w:eastAsia="Times New Roman" w:hAnsi="Avenir Next LT Pro" w:cstheme="minorHAnsi"/>
              </w:rPr>
            </w:pPr>
          </w:p>
        </w:tc>
      </w:tr>
      <w:tr w:rsidR="0068302F" w:rsidRPr="00C345C4" w14:paraId="1E871463" w14:textId="77777777" w:rsidTr="003C159B">
        <w:trPr>
          <w:cantSplit/>
          <w:trHeight w:val="20"/>
        </w:trPr>
        <w:tc>
          <w:tcPr>
            <w:tcW w:w="7763" w:type="dxa"/>
            <w:tcBorders>
              <w:right w:val="single" w:sz="4" w:space="0" w:color="auto"/>
            </w:tcBorders>
          </w:tcPr>
          <w:p w14:paraId="081D60A1" w14:textId="078FC78E" w:rsidR="0068302F" w:rsidRPr="00C345C4" w:rsidRDefault="0068302F" w:rsidP="00487A95">
            <w:pPr>
              <w:widowControl w:val="0"/>
              <w:numPr>
                <w:ilvl w:val="0"/>
                <w:numId w:val="12"/>
              </w:numPr>
              <w:spacing w:before="120" w:after="120"/>
              <w:ind w:left="313" w:hanging="357"/>
              <w:jc w:val="both"/>
              <w:rPr>
                <w:rFonts w:ascii="Avenir Next LT Pro" w:eastAsia="Times New Roman" w:hAnsi="Avenir Next LT Pro" w:cstheme="minorHAnsi"/>
                <w:bCs/>
                <w:snapToGrid w:val="0"/>
              </w:rPr>
            </w:pPr>
            <w:r w:rsidRPr="00C345C4">
              <w:rPr>
                <w:rFonts w:ascii="Avenir Next LT Pro" w:eastAsia="Times New Roman" w:hAnsi="Avenir Next LT Pro" w:cstheme="minorHAnsi"/>
                <w:bCs/>
                <w:snapToGrid w:val="0"/>
              </w:rPr>
              <w:t>Les décisions en matière</w:t>
            </w:r>
            <w:r w:rsidRPr="00C345C4">
              <w:rPr>
                <w:rFonts w:ascii="Avenir Next LT Pro" w:eastAsia="Times New Roman" w:hAnsi="Avenir Next LT Pro" w:cstheme="minorHAnsi"/>
                <w:b/>
                <w:snapToGrid w:val="0"/>
              </w:rPr>
              <w:t xml:space="preserve"> </w:t>
            </w:r>
            <w:r w:rsidRPr="00C345C4">
              <w:rPr>
                <w:rFonts w:ascii="Avenir Next LT Pro" w:eastAsia="Times New Roman" w:hAnsi="Avenir Next LT Pro" w:cstheme="minorHAnsi"/>
                <w:bCs/>
                <w:snapToGrid w:val="0"/>
              </w:rPr>
              <w:t>d’</w:t>
            </w:r>
            <w:r w:rsidRPr="00C345C4">
              <w:rPr>
                <w:rFonts w:ascii="Avenir Next LT Pro" w:eastAsia="Times New Roman" w:hAnsi="Avenir Next LT Pro" w:cstheme="minorHAnsi"/>
                <w:b/>
                <w:snapToGrid w:val="0"/>
              </w:rPr>
              <w:t xml:space="preserve">aménagement du territoire </w:t>
            </w:r>
            <w:r w:rsidRPr="00C345C4">
              <w:rPr>
                <w:rFonts w:ascii="Avenir Next LT Pro" w:eastAsia="Times New Roman" w:hAnsi="Avenir Next LT Pro" w:cstheme="minorHAnsi"/>
                <w:bCs/>
                <w:snapToGrid w:val="0"/>
              </w:rPr>
              <w:t>assurent une représentation équilibrée des intérêts sectoriels et maintiennent les forêts debout, et une</w:t>
            </w:r>
            <w:r w:rsidRPr="00C345C4">
              <w:rPr>
                <w:rFonts w:ascii="Avenir Next LT Pro" w:eastAsia="Times New Roman" w:hAnsi="Avenir Next LT Pro" w:cstheme="minorHAnsi"/>
                <w:b/>
                <w:snapToGrid w:val="0"/>
              </w:rPr>
              <w:t xml:space="preserve"> </w:t>
            </w:r>
            <w:r w:rsidRPr="00C345C4">
              <w:rPr>
                <w:rFonts w:ascii="Avenir Next LT Pro" w:eastAsia="Times New Roman" w:hAnsi="Avenir Next LT Pro" w:cstheme="minorHAnsi"/>
                <w:bCs/>
                <w:snapToGrid w:val="0"/>
              </w:rPr>
              <w:t>meilleure</w:t>
            </w:r>
            <w:r w:rsidRPr="00C345C4">
              <w:rPr>
                <w:rFonts w:ascii="Avenir Next LT Pro" w:eastAsia="Times New Roman" w:hAnsi="Avenir Next LT Pro" w:cstheme="minorHAnsi"/>
                <w:b/>
                <w:snapToGrid w:val="0"/>
              </w:rPr>
              <w:t xml:space="preserve"> sécurité foncière </w:t>
            </w:r>
            <w:r w:rsidRPr="00C345C4">
              <w:rPr>
                <w:rFonts w:ascii="Avenir Next LT Pro" w:eastAsia="Times New Roman" w:hAnsi="Avenir Next LT Pro" w:cstheme="minorHAnsi"/>
                <w:bCs/>
                <w:snapToGrid w:val="0"/>
              </w:rPr>
              <w:t>n’encourage pas la conversion par les individus ou les communautés</w:t>
            </w:r>
            <w:r w:rsidR="00CB54FB">
              <w:rPr>
                <w:rFonts w:ascii="Avenir Next LT Pro" w:eastAsia="Times New Roman" w:hAnsi="Avenir Next LT Pro" w:cstheme="minorHAnsi"/>
                <w:bCs/>
                <w:snapToGrid w:val="0"/>
              </w:rPr>
              <w:t>.</w:t>
            </w:r>
          </w:p>
        </w:tc>
        <w:tc>
          <w:tcPr>
            <w:tcW w:w="1871" w:type="dxa"/>
            <w:tcBorders>
              <w:right w:val="single" w:sz="4" w:space="0" w:color="auto"/>
            </w:tcBorders>
          </w:tcPr>
          <w:p w14:paraId="6A10B89B" w14:textId="77777777" w:rsidR="0068302F" w:rsidRPr="00C345C4" w:rsidRDefault="0068302F" w:rsidP="003C159B">
            <w:pPr>
              <w:spacing w:before="120" w:after="120"/>
              <w:rPr>
                <w:rFonts w:ascii="Avenir Next LT Pro" w:eastAsia="Times New Roman" w:hAnsi="Avenir Next LT Pro" w:cstheme="minorHAnsi"/>
              </w:rPr>
            </w:pPr>
          </w:p>
        </w:tc>
      </w:tr>
      <w:tr w:rsidR="0068302F" w:rsidRPr="00C345C4" w14:paraId="64A228DF" w14:textId="77777777" w:rsidTr="003C159B">
        <w:trPr>
          <w:cantSplit/>
          <w:trHeight w:val="20"/>
        </w:trPr>
        <w:tc>
          <w:tcPr>
            <w:tcW w:w="7763" w:type="dxa"/>
            <w:tcBorders>
              <w:right w:val="single" w:sz="4" w:space="0" w:color="auto"/>
            </w:tcBorders>
          </w:tcPr>
          <w:p w14:paraId="2A2A23FF" w14:textId="3237E47F" w:rsidR="0068302F" w:rsidRPr="00C345C4" w:rsidRDefault="0068302F" w:rsidP="00487A95">
            <w:pPr>
              <w:widowControl w:val="0"/>
              <w:numPr>
                <w:ilvl w:val="0"/>
                <w:numId w:val="12"/>
              </w:numPr>
              <w:spacing w:before="120" w:after="120"/>
              <w:ind w:left="313" w:hanging="357"/>
              <w:jc w:val="both"/>
              <w:rPr>
                <w:rFonts w:ascii="Avenir Next LT Pro" w:eastAsia="Times New Roman" w:hAnsi="Avenir Next LT Pro" w:cstheme="minorHAnsi"/>
                <w:b/>
                <w:snapToGrid w:val="0"/>
              </w:rPr>
            </w:pPr>
            <w:r w:rsidRPr="00C345C4">
              <w:rPr>
                <w:rFonts w:ascii="Avenir Next LT Pro" w:eastAsia="Times New Roman" w:hAnsi="Avenir Next LT Pro" w:cstheme="minorHAnsi"/>
                <w:b/>
                <w:snapToGrid w:val="0"/>
              </w:rPr>
              <w:t xml:space="preserve">La croissance démographique et la migration </w:t>
            </w:r>
            <w:r w:rsidRPr="00C345C4">
              <w:rPr>
                <w:rFonts w:ascii="Avenir Next LT Pro" w:eastAsia="Times New Roman" w:hAnsi="Avenir Next LT Pro" w:cstheme="minorHAnsi"/>
                <w:bCs/>
                <w:snapToGrid w:val="0"/>
              </w:rPr>
              <w:t>vers les forêts et les fronts forestiers sont ralenties</w:t>
            </w:r>
            <w:r w:rsidR="001E4216" w:rsidRPr="001E4216">
              <w:rPr>
                <w:rFonts w:ascii="Avenir Next LT Pro" w:eastAsia="Times New Roman" w:hAnsi="Avenir Next LT Pro" w:cstheme="minorHAnsi"/>
                <w:bCs/>
                <w:snapToGrid w:val="0"/>
              </w:rPr>
              <w:t>.</w:t>
            </w:r>
          </w:p>
        </w:tc>
        <w:tc>
          <w:tcPr>
            <w:tcW w:w="1871" w:type="dxa"/>
            <w:tcBorders>
              <w:right w:val="single" w:sz="4" w:space="0" w:color="auto"/>
            </w:tcBorders>
          </w:tcPr>
          <w:p w14:paraId="2DB3C53B" w14:textId="77777777" w:rsidR="0068302F" w:rsidRPr="00C345C4" w:rsidRDefault="0068302F" w:rsidP="003C159B">
            <w:pPr>
              <w:spacing w:before="120" w:after="120"/>
              <w:rPr>
                <w:rFonts w:ascii="Avenir Next LT Pro" w:eastAsia="Times New Roman" w:hAnsi="Avenir Next LT Pro" w:cstheme="minorHAnsi"/>
              </w:rPr>
            </w:pPr>
          </w:p>
        </w:tc>
      </w:tr>
      <w:tr w:rsidR="0068302F" w:rsidRPr="00C345C4" w14:paraId="1AC3023B" w14:textId="77777777" w:rsidTr="003C159B">
        <w:trPr>
          <w:cantSplit/>
          <w:trHeight w:val="20"/>
        </w:trPr>
        <w:tc>
          <w:tcPr>
            <w:tcW w:w="7763" w:type="dxa"/>
            <w:tcBorders>
              <w:right w:val="single" w:sz="4" w:space="0" w:color="auto"/>
            </w:tcBorders>
          </w:tcPr>
          <w:p w14:paraId="3C06D4F2" w14:textId="77777777" w:rsidR="0068302F" w:rsidRPr="00C345C4" w:rsidRDefault="0068302F" w:rsidP="00487A95">
            <w:pPr>
              <w:widowControl w:val="0"/>
              <w:numPr>
                <w:ilvl w:val="0"/>
                <w:numId w:val="12"/>
              </w:numPr>
              <w:spacing w:before="120" w:after="120"/>
              <w:ind w:left="313" w:hanging="357"/>
              <w:jc w:val="both"/>
              <w:rPr>
                <w:rFonts w:ascii="Avenir Next LT Pro" w:eastAsia="Times New Roman" w:hAnsi="Avenir Next LT Pro" w:cstheme="minorHAnsi"/>
                <w:bCs/>
                <w:snapToGrid w:val="0"/>
              </w:rPr>
            </w:pPr>
            <w:r w:rsidRPr="00C345C4">
              <w:rPr>
                <w:rFonts w:ascii="Avenir Next LT Pro" w:eastAsia="Times New Roman" w:hAnsi="Avenir Next LT Pro" w:cstheme="minorHAnsi"/>
                <w:bCs/>
                <w:snapToGrid w:val="0"/>
              </w:rPr>
              <w:t>Une meilleure</w:t>
            </w:r>
            <w:r w:rsidRPr="00C345C4">
              <w:rPr>
                <w:rFonts w:ascii="Avenir Next LT Pro" w:eastAsia="Times New Roman" w:hAnsi="Avenir Next LT Pro" w:cstheme="minorHAnsi"/>
                <w:b/>
                <w:snapToGrid w:val="0"/>
              </w:rPr>
              <w:t xml:space="preserve"> coordination et gouvernance </w:t>
            </w:r>
            <w:r w:rsidRPr="00C345C4">
              <w:rPr>
                <w:rFonts w:ascii="Avenir Next LT Pro" w:eastAsia="Times New Roman" w:hAnsi="Avenir Next LT Pro" w:cstheme="minorHAnsi"/>
                <w:bCs/>
                <w:snapToGrid w:val="0"/>
              </w:rPr>
              <w:t>interministérielle aboutissant à des permis et à un régime fiscal des activités économiques qui ne poussent pas les acteurs économiques à la conversion forestière et aux activités illégales et un</w:t>
            </w:r>
            <w:r w:rsidRPr="00C345C4">
              <w:rPr>
                <w:rFonts w:ascii="Avenir Next LT Pro" w:eastAsia="Times New Roman" w:hAnsi="Avenir Next LT Pro" w:cstheme="minorHAnsi"/>
                <w:b/>
                <w:snapToGrid w:val="0"/>
              </w:rPr>
              <w:t xml:space="preserve"> climat des affaires </w:t>
            </w:r>
            <w:r w:rsidRPr="00C345C4">
              <w:rPr>
                <w:rFonts w:ascii="Avenir Next LT Pro" w:eastAsia="Times New Roman" w:hAnsi="Avenir Next LT Pro" w:cstheme="minorHAnsi"/>
                <w:bCs/>
                <w:snapToGrid w:val="0"/>
              </w:rPr>
              <w:t>favorable aux investissements respectueux des forêts.</w:t>
            </w:r>
          </w:p>
        </w:tc>
        <w:tc>
          <w:tcPr>
            <w:tcW w:w="1871" w:type="dxa"/>
            <w:tcBorders>
              <w:bottom w:val="single" w:sz="4" w:space="0" w:color="auto"/>
              <w:right w:val="single" w:sz="4" w:space="0" w:color="auto"/>
            </w:tcBorders>
          </w:tcPr>
          <w:p w14:paraId="6D240AE6" w14:textId="104292F6" w:rsidR="0068302F" w:rsidRPr="00C345C4" w:rsidRDefault="0068302F" w:rsidP="003C159B">
            <w:pPr>
              <w:spacing w:before="120" w:after="120"/>
              <w:rPr>
                <w:rFonts w:ascii="Avenir Next LT Pro" w:eastAsia="Times New Roman" w:hAnsi="Avenir Next LT Pro" w:cstheme="minorHAnsi"/>
              </w:rPr>
            </w:pPr>
          </w:p>
        </w:tc>
      </w:tr>
    </w:tbl>
    <w:p w14:paraId="4A6DB10E" w14:textId="77777777" w:rsidR="00B70E05" w:rsidRPr="00C345C4" w:rsidRDefault="00B70E05" w:rsidP="009340BA">
      <w:pPr>
        <w:spacing w:after="120"/>
        <w:rPr>
          <w:rFonts w:ascii="Avenir Next LT Pro" w:eastAsiaTheme="minorHAnsi" w:hAnsi="Avenir Next LT Pro"/>
          <w:bCs/>
          <w:sz w:val="20"/>
          <w:szCs w:val="20"/>
          <w:highlight w:val="yellow"/>
        </w:rPr>
      </w:pPr>
    </w:p>
    <w:p w14:paraId="6DEC801E" w14:textId="1969D5BC" w:rsidR="00B70E05" w:rsidRPr="00C345C4" w:rsidRDefault="00B70E05" w:rsidP="009340BA">
      <w:pPr>
        <w:spacing w:after="120"/>
        <w:rPr>
          <w:rFonts w:ascii="Avenir Next LT Pro" w:eastAsiaTheme="minorHAnsi" w:hAnsi="Avenir Next LT Pro"/>
          <w:bCs/>
          <w:sz w:val="20"/>
          <w:szCs w:val="20"/>
          <w:highlight w:val="yellow"/>
        </w:rPr>
      </w:pPr>
    </w:p>
    <w:p w14:paraId="564C7E6E" w14:textId="0445A0A5" w:rsidR="0068302F" w:rsidRPr="00F90064" w:rsidRDefault="0068302F" w:rsidP="00F90064">
      <w:pPr>
        <w:spacing w:after="160" w:line="259" w:lineRule="auto"/>
        <w:jc w:val="both"/>
        <w:rPr>
          <w:rFonts w:ascii="Avenir Next LT Pro" w:hAnsi="Avenir Next LT Pro"/>
          <w:b/>
          <w:bCs/>
          <w:i/>
          <w:iCs/>
          <w:color w:val="3E762A" w:themeColor="accent1" w:themeShade="BF"/>
        </w:rPr>
      </w:pPr>
      <w:r w:rsidRPr="00F90064">
        <w:rPr>
          <w:rFonts w:ascii="Avenir Next LT Pro" w:hAnsi="Avenir Next LT Pro"/>
          <w:b/>
          <w:bCs/>
          <w:i/>
          <w:iCs/>
          <w:color w:val="3E762A" w:themeColor="accent1" w:themeShade="BF"/>
        </w:rPr>
        <w:br w:type="page"/>
      </w:r>
    </w:p>
    <w:p w14:paraId="4E555968" w14:textId="6F75E2D8" w:rsidR="00B82575" w:rsidRPr="00C345C4" w:rsidRDefault="009E28D6" w:rsidP="00C1381A">
      <w:pPr>
        <w:pStyle w:val="Titre1"/>
        <w:numPr>
          <w:ilvl w:val="0"/>
          <w:numId w:val="0"/>
        </w:numPr>
        <w:ind w:left="357" w:hanging="357"/>
        <w:rPr>
          <w:rFonts w:ascii="Avenir Next LT Pro" w:hAnsi="Avenir Next LT Pro"/>
          <w:szCs w:val="24"/>
        </w:rPr>
      </w:pPr>
      <w:bookmarkStart w:id="3" w:name="_Toc163230355"/>
      <w:r w:rsidRPr="00C345C4">
        <w:rPr>
          <w:rFonts w:ascii="Avenir Next LT Pro" w:hAnsi="Avenir Next LT Pro"/>
          <w:szCs w:val="24"/>
        </w:rPr>
        <w:lastRenderedPageBreak/>
        <w:t>Résumé exécutif</w:t>
      </w:r>
      <w:bookmarkEnd w:id="3"/>
      <w:r w:rsidRPr="00C345C4">
        <w:rPr>
          <w:rFonts w:ascii="Avenir Next LT Pro" w:hAnsi="Avenir Next LT Pro"/>
          <w:szCs w:val="24"/>
        </w:rPr>
        <w:t xml:space="preserve"> </w:t>
      </w:r>
    </w:p>
    <w:p w14:paraId="4BEA0213" w14:textId="77777777" w:rsidR="00690583" w:rsidRPr="005D0B51" w:rsidRDefault="00690583" w:rsidP="00690583">
      <w:pPr>
        <w:spacing w:after="0"/>
        <w:jc w:val="both"/>
        <w:rPr>
          <w:rFonts w:asciiTheme="minorHAnsi" w:hAnsiTheme="minorHAnsi" w:cstheme="minorHAnsi"/>
        </w:rPr>
      </w:pPr>
      <w:r w:rsidRPr="005D0B51">
        <w:rPr>
          <w:rFonts w:asciiTheme="minorHAnsi" w:hAnsiTheme="minorHAnsi" w:cstheme="minorHAnsi"/>
        </w:rPr>
        <w:t>Le Gouvernement de la RDC est résolument déterminé à tirer profit de ses richesses naturelles pour accélérer la croissance inclusive et le développement durable du pays. Le pays possède en effet un énorme massif forestier de plus de 152 millions d’hectares des forêts humides, la 2</w:t>
      </w:r>
      <w:r w:rsidRPr="005D0B51">
        <w:rPr>
          <w:rFonts w:asciiTheme="minorHAnsi" w:hAnsiTheme="minorHAnsi" w:cstheme="minorHAnsi"/>
          <w:vertAlign w:val="superscript"/>
        </w:rPr>
        <w:t>ème</w:t>
      </w:r>
      <w:r w:rsidRPr="005D0B51">
        <w:rPr>
          <w:rFonts w:asciiTheme="minorHAnsi" w:hAnsiTheme="minorHAnsi" w:cstheme="minorHAnsi"/>
        </w:rPr>
        <w:t xml:space="preserve"> plus vaste forêt tropicale de la planète et 60% des forêts du Bassin du Congo avec une riche biodiversité. A cela s’ajoutent des étendues de tourbières couvrant plus de 100 milles km² du territoire national</w:t>
      </w:r>
      <w:r w:rsidRPr="00865B33">
        <w:rPr>
          <w:rFonts w:asciiTheme="minorHAnsi" w:hAnsiTheme="minorHAnsi" w:cstheme="minorHAnsi"/>
        </w:rPr>
        <w:t xml:space="preserve"> </w:t>
      </w:r>
      <w:r>
        <w:rPr>
          <w:rFonts w:asciiTheme="minorHAnsi" w:hAnsiTheme="minorHAnsi" w:cstheme="minorHAnsi"/>
        </w:rPr>
        <w:t xml:space="preserve">et </w:t>
      </w:r>
      <w:r w:rsidRPr="005D0B51">
        <w:rPr>
          <w:rFonts w:asciiTheme="minorHAnsi" w:hAnsiTheme="minorHAnsi" w:cstheme="minorHAnsi"/>
        </w:rPr>
        <w:t>un grand potentiel énergétique naturel. Ces ressources naturelles sont présentées comme une « réponse naturelle » aux problèmes du climat : « pays solution »</w:t>
      </w:r>
      <w:r>
        <w:rPr>
          <w:rFonts w:asciiTheme="minorHAnsi" w:hAnsiTheme="minorHAnsi" w:cstheme="minorHAnsi"/>
        </w:rPr>
        <w:t xml:space="preserve">, avec pour objectifs entre autres de </w:t>
      </w:r>
      <w:r w:rsidRPr="00E927F4">
        <w:rPr>
          <w:rFonts w:asciiTheme="minorHAnsi" w:hAnsiTheme="minorHAnsi" w:cstheme="minorHAnsi"/>
        </w:rPr>
        <w:t>promouvoir des pratiques durables</w:t>
      </w:r>
      <w:r>
        <w:rPr>
          <w:rFonts w:asciiTheme="minorHAnsi" w:hAnsiTheme="minorHAnsi" w:cstheme="minorHAnsi"/>
        </w:rPr>
        <w:t xml:space="preserve"> et </w:t>
      </w:r>
      <w:r w:rsidRPr="00E927F4">
        <w:rPr>
          <w:rFonts w:asciiTheme="minorHAnsi" w:hAnsiTheme="minorHAnsi" w:cstheme="minorHAnsi"/>
        </w:rPr>
        <w:t xml:space="preserve">de générer des bénéfices économiques pour le </w:t>
      </w:r>
      <w:r>
        <w:rPr>
          <w:rFonts w:asciiTheme="minorHAnsi" w:hAnsiTheme="minorHAnsi" w:cstheme="minorHAnsi"/>
        </w:rPr>
        <w:t xml:space="preserve">développement durable du </w:t>
      </w:r>
      <w:r w:rsidRPr="00E927F4">
        <w:rPr>
          <w:rFonts w:asciiTheme="minorHAnsi" w:hAnsiTheme="minorHAnsi" w:cstheme="minorHAnsi"/>
        </w:rPr>
        <w:t>pays</w:t>
      </w:r>
      <w:r w:rsidRPr="005D0B51">
        <w:rPr>
          <w:rFonts w:asciiTheme="minorHAnsi" w:hAnsiTheme="minorHAnsi" w:cstheme="minorHAnsi"/>
        </w:rPr>
        <w:t>.</w:t>
      </w:r>
    </w:p>
    <w:p w14:paraId="6B5E622D" w14:textId="77777777" w:rsidR="00690583" w:rsidRPr="005D0B51" w:rsidRDefault="00690583" w:rsidP="00690583">
      <w:pPr>
        <w:spacing w:after="0"/>
        <w:jc w:val="both"/>
        <w:rPr>
          <w:rFonts w:asciiTheme="minorHAnsi" w:hAnsiTheme="minorHAnsi" w:cstheme="minorHAnsi"/>
        </w:rPr>
      </w:pPr>
    </w:p>
    <w:p w14:paraId="1EE938EF" w14:textId="15B02771" w:rsidR="00690583" w:rsidRDefault="00690583" w:rsidP="00690583">
      <w:pPr>
        <w:pStyle w:val="Commentaire"/>
        <w:spacing w:after="0"/>
        <w:jc w:val="both"/>
        <w:rPr>
          <w:rFonts w:asciiTheme="minorHAnsi" w:hAnsiTheme="minorHAnsi" w:cstheme="minorHAnsi"/>
          <w:sz w:val="22"/>
          <w:szCs w:val="22"/>
        </w:rPr>
      </w:pPr>
      <w:r w:rsidRPr="005D0B51">
        <w:rPr>
          <w:rFonts w:asciiTheme="minorHAnsi" w:hAnsiTheme="minorHAnsi" w:cstheme="minorHAnsi"/>
          <w:sz w:val="22"/>
          <w:szCs w:val="22"/>
        </w:rPr>
        <w:t xml:space="preserve">A la faveur de la COP26, le pays a rendu public sa CDN révisée avec des ambitions d’atténuation </w:t>
      </w:r>
      <w:r>
        <w:rPr>
          <w:rFonts w:asciiTheme="minorHAnsi" w:hAnsiTheme="minorHAnsi" w:cstheme="minorHAnsi"/>
          <w:sz w:val="22"/>
          <w:szCs w:val="22"/>
        </w:rPr>
        <w:t>de 21%.</w:t>
      </w:r>
      <w:r w:rsidRPr="005D0B51">
        <w:rPr>
          <w:rFonts w:asciiTheme="minorHAnsi" w:hAnsiTheme="minorHAnsi" w:cstheme="minorHAnsi"/>
          <w:sz w:val="22"/>
          <w:szCs w:val="22"/>
        </w:rPr>
        <w:t xml:space="preserve"> La foresterie, l’agriculture et l’énergie figurent parmi les secteurs où des efforts doivent être faits pour réduire les émissions de Gaz à effet de serre (GES), sauvegarder l’environnement et préserver l’équilibre de la biodiversité.</w:t>
      </w:r>
      <w:r>
        <w:rPr>
          <w:rFonts w:asciiTheme="minorHAnsi" w:hAnsiTheme="minorHAnsi" w:cstheme="minorHAnsi"/>
          <w:sz w:val="22"/>
          <w:szCs w:val="22"/>
        </w:rPr>
        <w:t xml:space="preserve"> </w:t>
      </w:r>
      <w:r w:rsidRPr="005D0B51">
        <w:rPr>
          <w:rFonts w:asciiTheme="minorHAnsi" w:hAnsiTheme="minorHAnsi" w:cstheme="minorHAnsi"/>
          <w:sz w:val="22"/>
          <w:szCs w:val="22"/>
        </w:rPr>
        <w:t>Certes la mise en œuvre de la CDN (48,6</w:t>
      </w:r>
      <w:r w:rsidR="00C6315B">
        <w:rPr>
          <w:rFonts w:asciiTheme="minorHAnsi" w:hAnsiTheme="minorHAnsi" w:cstheme="minorHAnsi"/>
          <w:sz w:val="22"/>
          <w:szCs w:val="22"/>
        </w:rPr>
        <w:t>8</w:t>
      </w:r>
      <w:r w:rsidRPr="005D0B51">
        <w:rPr>
          <w:rFonts w:asciiTheme="minorHAnsi" w:hAnsiTheme="minorHAnsi" w:cstheme="minorHAnsi"/>
          <w:sz w:val="22"/>
          <w:szCs w:val="22"/>
        </w:rPr>
        <w:t xml:space="preserve"> </w:t>
      </w:r>
      <w:r w:rsidR="00BC6AAD">
        <w:rPr>
          <w:rFonts w:asciiTheme="minorHAnsi" w:hAnsiTheme="minorHAnsi" w:cstheme="minorHAnsi"/>
          <w:sz w:val="22"/>
          <w:szCs w:val="22"/>
        </w:rPr>
        <w:t xml:space="preserve">milliards </w:t>
      </w:r>
      <w:r w:rsidR="008C7EAC">
        <w:rPr>
          <w:rFonts w:asciiTheme="minorHAnsi" w:hAnsiTheme="minorHAnsi" w:cstheme="minorHAnsi"/>
          <w:sz w:val="22"/>
          <w:szCs w:val="22"/>
        </w:rPr>
        <w:t>USD</w:t>
      </w:r>
      <w:r w:rsidRPr="005D0B51">
        <w:rPr>
          <w:rFonts w:asciiTheme="minorHAnsi" w:hAnsiTheme="minorHAnsi" w:cstheme="minorHAnsi"/>
          <w:sz w:val="22"/>
          <w:szCs w:val="22"/>
        </w:rPr>
        <w:t>) bénéficie de l’appui de partenaires au développement à travers entre autres l'Initiative pour les Forêts d'Afrique centrale (CAFI) pour le financement du plan d'investissement REDD+</w:t>
      </w:r>
      <w:r>
        <w:rPr>
          <w:rFonts w:asciiTheme="minorHAnsi" w:hAnsiTheme="minorHAnsi" w:cstheme="minorHAnsi"/>
          <w:sz w:val="22"/>
          <w:szCs w:val="22"/>
        </w:rPr>
        <w:t>. Toutefois</w:t>
      </w:r>
      <w:r w:rsidRPr="005D0B51">
        <w:rPr>
          <w:rFonts w:asciiTheme="minorHAnsi" w:hAnsiTheme="minorHAnsi" w:cstheme="minorHAnsi"/>
          <w:sz w:val="22"/>
          <w:szCs w:val="22"/>
        </w:rPr>
        <w:t xml:space="preserve">, elle reste contrainte par de faibles capacités de gouvernance et de mobilisation des ressources. </w:t>
      </w:r>
    </w:p>
    <w:p w14:paraId="7439E18B" w14:textId="77777777" w:rsidR="00690583" w:rsidRDefault="00690583" w:rsidP="00690583">
      <w:pPr>
        <w:pStyle w:val="Commentaire"/>
        <w:spacing w:after="0"/>
        <w:jc w:val="both"/>
        <w:rPr>
          <w:rFonts w:asciiTheme="minorHAnsi" w:hAnsiTheme="minorHAnsi" w:cstheme="minorHAnsi"/>
          <w:sz w:val="22"/>
          <w:szCs w:val="22"/>
        </w:rPr>
      </w:pPr>
    </w:p>
    <w:p w14:paraId="6B8E7E97" w14:textId="77777777" w:rsidR="00690583" w:rsidRDefault="00690583" w:rsidP="00690583">
      <w:pPr>
        <w:pStyle w:val="Commentaire"/>
        <w:spacing w:after="0"/>
        <w:jc w:val="both"/>
        <w:rPr>
          <w:rFonts w:asciiTheme="minorHAnsi" w:hAnsiTheme="minorHAnsi" w:cstheme="minorHAnsi"/>
          <w:sz w:val="22"/>
          <w:szCs w:val="22"/>
        </w:rPr>
      </w:pPr>
      <w:r>
        <w:rPr>
          <w:rFonts w:asciiTheme="minorHAnsi" w:hAnsiTheme="minorHAnsi" w:cstheme="minorHAnsi"/>
          <w:sz w:val="22"/>
          <w:szCs w:val="22"/>
        </w:rPr>
        <w:t xml:space="preserve">Certes des </w:t>
      </w:r>
      <w:r w:rsidRPr="00214E2D">
        <w:rPr>
          <w:rFonts w:asciiTheme="minorHAnsi" w:hAnsiTheme="minorHAnsi" w:cstheme="minorHAnsi"/>
          <w:sz w:val="22"/>
          <w:szCs w:val="22"/>
        </w:rPr>
        <w:t xml:space="preserve">processus de dialogue inclusif et de coordination </w:t>
      </w:r>
      <w:r>
        <w:rPr>
          <w:rFonts w:asciiTheme="minorHAnsi" w:hAnsiTheme="minorHAnsi" w:cstheme="minorHAnsi"/>
          <w:sz w:val="22"/>
          <w:szCs w:val="22"/>
        </w:rPr>
        <w:t xml:space="preserve">intersectorielle ont été conduits pour élaborer </w:t>
      </w:r>
      <w:r w:rsidRPr="00214E2D">
        <w:rPr>
          <w:rFonts w:asciiTheme="minorHAnsi" w:hAnsiTheme="minorHAnsi" w:cstheme="minorHAnsi"/>
          <w:sz w:val="22"/>
          <w:szCs w:val="22"/>
        </w:rPr>
        <w:t xml:space="preserve">la </w:t>
      </w:r>
      <w:r>
        <w:rPr>
          <w:rFonts w:asciiTheme="minorHAnsi" w:hAnsiTheme="minorHAnsi" w:cstheme="minorHAnsi"/>
          <w:sz w:val="22"/>
          <w:szCs w:val="22"/>
        </w:rPr>
        <w:t xml:space="preserve">CDN et des </w:t>
      </w:r>
      <w:r w:rsidRPr="00214E2D">
        <w:rPr>
          <w:rFonts w:asciiTheme="minorHAnsi" w:hAnsiTheme="minorHAnsi" w:cstheme="minorHAnsi"/>
          <w:sz w:val="22"/>
          <w:szCs w:val="22"/>
        </w:rPr>
        <w:t>politique</w:t>
      </w:r>
      <w:r>
        <w:rPr>
          <w:rFonts w:asciiTheme="minorHAnsi" w:hAnsiTheme="minorHAnsi" w:cstheme="minorHAnsi"/>
          <w:sz w:val="22"/>
          <w:szCs w:val="22"/>
        </w:rPr>
        <w:t>s sectorielles</w:t>
      </w:r>
      <w:r w:rsidRPr="00214E2D">
        <w:rPr>
          <w:rFonts w:asciiTheme="minorHAnsi" w:hAnsiTheme="minorHAnsi" w:cstheme="minorHAnsi"/>
          <w:sz w:val="22"/>
          <w:szCs w:val="22"/>
        </w:rPr>
        <w:t xml:space="preserve">, </w:t>
      </w:r>
      <w:r>
        <w:rPr>
          <w:rFonts w:asciiTheme="minorHAnsi" w:hAnsiTheme="minorHAnsi" w:cstheme="minorHAnsi"/>
          <w:sz w:val="22"/>
          <w:szCs w:val="22"/>
        </w:rPr>
        <w:t xml:space="preserve">mais ils n’ont pu déboucher à un cadre de </w:t>
      </w:r>
      <w:r w:rsidRPr="00214E2D">
        <w:rPr>
          <w:rFonts w:asciiTheme="minorHAnsi" w:hAnsiTheme="minorHAnsi" w:cstheme="minorHAnsi"/>
          <w:sz w:val="22"/>
          <w:szCs w:val="22"/>
        </w:rPr>
        <w:t xml:space="preserve">concertation </w:t>
      </w:r>
      <w:r>
        <w:rPr>
          <w:rFonts w:asciiTheme="minorHAnsi" w:hAnsiTheme="minorHAnsi" w:cstheme="minorHAnsi"/>
          <w:sz w:val="22"/>
          <w:szCs w:val="22"/>
        </w:rPr>
        <w:t>et de coordination robuste pour</w:t>
      </w:r>
      <w:r w:rsidRPr="00214E2D">
        <w:rPr>
          <w:rFonts w:asciiTheme="minorHAnsi" w:hAnsiTheme="minorHAnsi" w:cstheme="minorHAnsi"/>
          <w:sz w:val="22"/>
          <w:szCs w:val="22"/>
        </w:rPr>
        <w:t xml:space="preserve"> </w:t>
      </w:r>
      <w:r>
        <w:rPr>
          <w:rFonts w:asciiTheme="minorHAnsi" w:hAnsiTheme="minorHAnsi" w:cstheme="minorHAnsi"/>
          <w:sz w:val="22"/>
          <w:szCs w:val="22"/>
        </w:rPr>
        <w:t xml:space="preserve">garantir </w:t>
      </w:r>
      <w:r w:rsidRPr="00214E2D">
        <w:rPr>
          <w:rFonts w:asciiTheme="minorHAnsi" w:hAnsiTheme="minorHAnsi" w:cstheme="minorHAnsi"/>
          <w:sz w:val="22"/>
          <w:szCs w:val="22"/>
        </w:rPr>
        <w:t>l</w:t>
      </w:r>
      <w:r>
        <w:rPr>
          <w:rFonts w:asciiTheme="minorHAnsi" w:hAnsiTheme="minorHAnsi" w:cstheme="minorHAnsi"/>
          <w:sz w:val="22"/>
          <w:szCs w:val="22"/>
        </w:rPr>
        <w:t>a m</w:t>
      </w:r>
      <w:r w:rsidRPr="00214E2D">
        <w:rPr>
          <w:rFonts w:asciiTheme="minorHAnsi" w:hAnsiTheme="minorHAnsi" w:cstheme="minorHAnsi"/>
          <w:sz w:val="22"/>
          <w:szCs w:val="22"/>
        </w:rPr>
        <w:t xml:space="preserve">ise en œuvre </w:t>
      </w:r>
      <w:r>
        <w:rPr>
          <w:rFonts w:asciiTheme="minorHAnsi" w:hAnsiTheme="minorHAnsi" w:cstheme="minorHAnsi"/>
          <w:sz w:val="22"/>
          <w:szCs w:val="22"/>
        </w:rPr>
        <w:t xml:space="preserve">et un suivi </w:t>
      </w:r>
      <w:r w:rsidRPr="00214E2D">
        <w:rPr>
          <w:rFonts w:asciiTheme="minorHAnsi" w:hAnsiTheme="minorHAnsi" w:cstheme="minorHAnsi"/>
          <w:sz w:val="22"/>
          <w:szCs w:val="22"/>
        </w:rPr>
        <w:t>efficient</w:t>
      </w:r>
      <w:r>
        <w:rPr>
          <w:rFonts w:asciiTheme="minorHAnsi" w:hAnsiTheme="minorHAnsi" w:cstheme="minorHAnsi"/>
          <w:sz w:val="22"/>
          <w:szCs w:val="22"/>
        </w:rPr>
        <w:t xml:space="preserve"> des stratégies de développement bas carbone</w:t>
      </w:r>
      <w:r w:rsidRPr="00214E2D">
        <w:rPr>
          <w:rFonts w:asciiTheme="minorHAnsi" w:hAnsiTheme="minorHAnsi" w:cstheme="minorHAnsi"/>
          <w:sz w:val="22"/>
          <w:szCs w:val="22"/>
        </w:rPr>
        <w:t xml:space="preserve">. </w:t>
      </w:r>
      <w:r>
        <w:rPr>
          <w:rFonts w:asciiTheme="minorHAnsi" w:hAnsiTheme="minorHAnsi" w:cstheme="minorHAnsi"/>
          <w:sz w:val="22"/>
          <w:szCs w:val="22"/>
        </w:rPr>
        <w:t xml:space="preserve">Par ailleurs, les capacités des structures du MEDD, notamment la </w:t>
      </w:r>
      <w:r w:rsidRPr="005B148B">
        <w:rPr>
          <w:rFonts w:asciiTheme="minorHAnsi" w:hAnsiTheme="minorHAnsi" w:cstheme="minorHAnsi"/>
          <w:sz w:val="22"/>
          <w:szCs w:val="22"/>
        </w:rPr>
        <w:t>Direction du Développement Durable-DDD</w:t>
      </w:r>
      <w:r>
        <w:rPr>
          <w:rFonts w:asciiTheme="minorHAnsi" w:hAnsiTheme="minorHAnsi" w:cstheme="minorHAnsi"/>
          <w:sz w:val="22"/>
          <w:szCs w:val="22"/>
        </w:rPr>
        <w:t xml:space="preserve"> et</w:t>
      </w:r>
      <w:r w:rsidRPr="005B148B">
        <w:rPr>
          <w:rFonts w:asciiTheme="minorHAnsi" w:hAnsiTheme="minorHAnsi" w:cstheme="minorHAnsi"/>
          <w:sz w:val="22"/>
          <w:szCs w:val="22"/>
        </w:rPr>
        <w:t xml:space="preserve"> </w:t>
      </w:r>
      <w:r>
        <w:rPr>
          <w:rFonts w:asciiTheme="minorHAnsi" w:hAnsiTheme="minorHAnsi" w:cstheme="minorHAnsi"/>
          <w:sz w:val="22"/>
          <w:szCs w:val="22"/>
        </w:rPr>
        <w:t xml:space="preserve">la </w:t>
      </w:r>
      <w:r w:rsidRPr="005B148B">
        <w:rPr>
          <w:rFonts w:asciiTheme="minorHAnsi" w:hAnsiTheme="minorHAnsi" w:cstheme="minorHAnsi"/>
          <w:sz w:val="22"/>
          <w:szCs w:val="22"/>
        </w:rPr>
        <w:t>Cellule Technique d’appui</w:t>
      </w:r>
      <w:r w:rsidRPr="00F023CD">
        <w:rPr>
          <w:rFonts w:asciiTheme="minorHAnsi" w:hAnsiTheme="minorHAnsi" w:cstheme="minorHAnsi"/>
          <w:sz w:val="22"/>
          <w:szCs w:val="22"/>
        </w:rPr>
        <w:t xml:space="preserve"> </w:t>
      </w:r>
      <w:r>
        <w:rPr>
          <w:rFonts w:asciiTheme="minorHAnsi" w:hAnsiTheme="minorHAnsi" w:cstheme="minorHAnsi"/>
          <w:sz w:val="22"/>
          <w:szCs w:val="22"/>
        </w:rPr>
        <w:t xml:space="preserve">à </w:t>
      </w:r>
      <w:r w:rsidRPr="002C085F">
        <w:rPr>
          <w:rFonts w:asciiTheme="minorHAnsi" w:hAnsiTheme="minorHAnsi" w:cstheme="minorHAnsi"/>
          <w:sz w:val="22"/>
          <w:szCs w:val="22"/>
        </w:rPr>
        <w:t xml:space="preserve">la mise en œuvre de la CDN </w:t>
      </w:r>
      <w:r>
        <w:rPr>
          <w:rFonts w:asciiTheme="minorHAnsi" w:hAnsiTheme="minorHAnsi" w:cstheme="minorHAnsi"/>
          <w:sz w:val="22"/>
          <w:szCs w:val="22"/>
        </w:rPr>
        <w:t xml:space="preserve">mises en place </w:t>
      </w:r>
      <w:r w:rsidRPr="00280FFE">
        <w:rPr>
          <w:rFonts w:asciiTheme="minorHAnsi" w:hAnsiTheme="minorHAnsi" w:cstheme="minorHAnsi"/>
          <w:sz w:val="22"/>
          <w:szCs w:val="22"/>
        </w:rPr>
        <w:t>demeurent insuffisantes pour leur permettre d’exercer pleinement leur fonction</w:t>
      </w:r>
      <w:r w:rsidRPr="00351951">
        <w:rPr>
          <w:rFonts w:asciiTheme="minorHAnsi" w:hAnsiTheme="minorHAnsi" w:cstheme="minorHAnsi"/>
          <w:sz w:val="22"/>
          <w:szCs w:val="22"/>
        </w:rPr>
        <w:t xml:space="preserve"> </w:t>
      </w:r>
      <w:r>
        <w:rPr>
          <w:rFonts w:asciiTheme="minorHAnsi" w:hAnsiTheme="minorHAnsi" w:cstheme="minorHAnsi"/>
          <w:sz w:val="22"/>
          <w:szCs w:val="22"/>
        </w:rPr>
        <w:t xml:space="preserve">de coordination. </w:t>
      </w:r>
      <w:r w:rsidRPr="00214E2D">
        <w:rPr>
          <w:rFonts w:asciiTheme="minorHAnsi" w:hAnsiTheme="minorHAnsi" w:cstheme="minorHAnsi"/>
          <w:sz w:val="22"/>
          <w:szCs w:val="22"/>
        </w:rPr>
        <w:t>L</w:t>
      </w:r>
      <w:r>
        <w:rPr>
          <w:rFonts w:asciiTheme="minorHAnsi" w:hAnsiTheme="minorHAnsi" w:cstheme="minorHAnsi"/>
          <w:sz w:val="22"/>
          <w:szCs w:val="22"/>
        </w:rPr>
        <w:t xml:space="preserve">’implication des acteurs du secteur privé et de la société, ainsi que l’engagement des </w:t>
      </w:r>
      <w:r w:rsidRPr="00214E2D">
        <w:rPr>
          <w:rFonts w:asciiTheme="minorHAnsi" w:hAnsiTheme="minorHAnsi" w:cstheme="minorHAnsi"/>
          <w:sz w:val="22"/>
          <w:szCs w:val="22"/>
        </w:rPr>
        <w:t>communautés y compris les jeunes et les femmes</w:t>
      </w:r>
      <w:r>
        <w:rPr>
          <w:rFonts w:asciiTheme="minorHAnsi" w:hAnsiTheme="minorHAnsi" w:cstheme="minorHAnsi"/>
          <w:sz w:val="22"/>
          <w:szCs w:val="22"/>
        </w:rPr>
        <w:t xml:space="preserve"> sont</w:t>
      </w:r>
      <w:r w:rsidRPr="00214E2D">
        <w:rPr>
          <w:rFonts w:asciiTheme="minorHAnsi" w:hAnsiTheme="minorHAnsi" w:cstheme="minorHAnsi"/>
          <w:sz w:val="22"/>
          <w:szCs w:val="22"/>
        </w:rPr>
        <w:t xml:space="preserve"> </w:t>
      </w:r>
      <w:r w:rsidRPr="00706F1D">
        <w:rPr>
          <w:rFonts w:asciiTheme="minorHAnsi" w:hAnsiTheme="minorHAnsi" w:cstheme="minorHAnsi"/>
          <w:sz w:val="22"/>
          <w:szCs w:val="22"/>
        </w:rPr>
        <w:t>insuffisamment promus</w:t>
      </w:r>
      <w:r w:rsidRPr="00214E2D">
        <w:rPr>
          <w:rFonts w:asciiTheme="minorHAnsi" w:hAnsiTheme="minorHAnsi" w:cstheme="minorHAnsi"/>
          <w:sz w:val="22"/>
          <w:szCs w:val="22"/>
        </w:rPr>
        <w:t>.</w:t>
      </w:r>
      <w:r>
        <w:rPr>
          <w:rFonts w:asciiTheme="minorHAnsi" w:hAnsiTheme="minorHAnsi" w:cstheme="minorHAnsi"/>
          <w:sz w:val="22"/>
          <w:szCs w:val="22"/>
        </w:rPr>
        <w:t xml:space="preserve"> </w:t>
      </w:r>
    </w:p>
    <w:p w14:paraId="549B52AD" w14:textId="77777777" w:rsidR="00690583" w:rsidRDefault="00690583" w:rsidP="00690583">
      <w:pPr>
        <w:pStyle w:val="Commentaire"/>
        <w:spacing w:after="0"/>
        <w:jc w:val="both"/>
        <w:rPr>
          <w:rFonts w:asciiTheme="minorHAnsi" w:hAnsiTheme="minorHAnsi" w:cstheme="minorHAnsi"/>
          <w:sz w:val="22"/>
          <w:szCs w:val="22"/>
        </w:rPr>
      </w:pPr>
    </w:p>
    <w:p w14:paraId="65BF9F5F" w14:textId="0B0A0330" w:rsidR="00690583" w:rsidRPr="005D0B51" w:rsidRDefault="00690583" w:rsidP="00690583">
      <w:pPr>
        <w:pStyle w:val="Commentaire"/>
        <w:spacing w:after="0"/>
        <w:jc w:val="both"/>
        <w:rPr>
          <w:rFonts w:asciiTheme="minorHAnsi" w:hAnsiTheme="minorHAnsi" w:cstheme="minorHAnsi"/>
          <w:sz w:val="22"/>
          <w:szCs w:val="22"/>
        </w:rPr>
      </w:pPr>
      <w:r>
        <w:rPr>
          <w:rFonts w:asciiTheme="minorHAnsi" w:hAnsiTheme="minorHAnsi" w:cstheme="minorHAnsi"/>
          <w:sz w:val="22"/>
          <w:szCs w:val="22"/>
        </w:rPr>
        <w:t xml:space="preserve">En matière de mobilisation de ressources, le pays </w:t>
      </w:r>
      <w:r w:rsidRPr="004764F9">
        <w:rPr>
          <w:rFonts w:asciiTheme="minorHAnsi" w:hAnsiTheme="minorHAnsi" w:cstheme="minorHAnsi"/>
          <w:sz w:val="22"/>
          <w:szCs w:val="22"/>
        </w:rPr>
        <w:t xml:space="preserve">bénéficie d’un important potentiel pour </w:t>
      </w:r>
      <w:r>
        <w:rPr>
          <w:rFonts w:asciiTheme="minorHAnsi" w:hAnsiTheme="minorHAnsi" w:cstheme="minorHAnsi"/>
          <w:sz w:val="22"/>
          <w:szCs w:val="22"/>
        </w:rPr>
        <w:t xml:space="preserve">générer </w:t>
      </w:r>
      <w:r w:rsidRPr="004764F9">
        <w:rPr>
          <w:rFonts w:asciiTheme="minorHAnsi" w:hAnsiTheme="minorHAnsi" w:cstheme="minorHAnsi"/>
          <w:sz w:val="22"/>
          <w:szCs w:val="22"/>
        </w:rPr>
        <w:t>de</w:t>
      </w:r>
      <w:r>
        <w:rPr>
          <w:rFonts w:asciiTheme="minorHAnsi" w:hAnsiTheme="minorHAnsi" w:cstheme="minorHAnsi"/>
          <w:sz w:val="22"/>
          <w:szCs w:val="22"/>
        </w:rPr>
        <w:t>s</w:t>
      </w:r>
      <w:r w:rsidRPr="004764F9">
        <w:rPr>
          <w:rFonts w:asciiTheme="minorHAnsi" w:hAnsiTheme="minorHAnsi" w:cstheme="minorHAnsi"/>
          <w:sz w:val="22"/>
          <w:szCs w:val="22"/>
        </w:rPr>
        <w:t xml:space="preserve"> crédits </w:t>
      </w:r>
      <w:r>
        <w:rPr>
          <w:rFonts w:asciiTheme="minorHAnsi" w:hAnsiTheme="minorHAnsi" w:cstheme="minorHAnsi"/>
          <w:sz w:val="22"/>
          <w:szCs w:val="22"/>
        </w:rPr>
        <w:t>« </w:t>
      </w:r>
      <w:r w:rsidRPr="004764F9">
        <w:rPr>
          <w:rFonts w:asciiTheme="minorHAnsi" w:hAnsiTheme="minorHAnsi" w:cstheme="minorHAnsi"/>
          <w:sz w:val="22"/>
          <w:szCs w:val="22"/>
        </w:rPr>
        <w:t>carbone</w:t>
      </w:r>
      <w:r>
        <w:rPr>
          <w:rFonts w:asciiTheme="minorHAnsi" w:hAnsiTheme="minorHAnsi" w:cstheme="minorHAnsi"/>
          <w:sz w:val="22"/>
          <w:szCs w:val="22"/>
        </w:rPr>
        <w:t xml:space="preserve"> » et financer la CDN. Cependant, l’évolution des marchés notamment </w:t>
      </w:r>
      <w:r w:rsidRPr="008205FE">
        <w:rPr>
          <w:rFonts w:asciiTheme="minorHAnsi" w:hAnsiTheme="minorHAnsi" w:cstheme="minorHAnsi"/>
          <w:sz w:val="22"/>
          <w:szCs w:val="22"/>
        </w:rPr>
        <w:t>dans le secteur forestier</w:t>
      </w:r>
      <w:r>
        <w:rPr>
          <w:rFonts w:asciiTheme="minorHAnsi" w:hAnsiTheme="minorHAnsi" w:cstheme="minorHAnsi"/>
          <w:sz w:val="22"/>
          <w:szCs w:val="22"/>
        </w:rPr>
        <w:t>,</w:t>
      </w:r>
      <w:r w:rsidRPr="008205FE">
        <w:rPr>
          <w:rFonts w:asciiTheme="minorHAnsi" w:hAnsiTheme="minorHAnsi" w:cstheme="minorHAnsi"/>
          <w:sz w:val="22"/>
          <w:szCs w:val="22"/>
        </w:rPr>
        <w:t xml:space="preserve"> </w:t>
      </w:r>
      <w:r>
        <w:rPr>
          <w:rFonts w:asciiTheme="minorHAnsi" w:hAnsiTheme="minorHAnsi" w:cstheme="minorHAnsi"/>
          <w:sz w:val="22"/>
          <w:szCs w:val="22"/>
        </w:rPr>
        <w:t xml:space="preserve">fait face actuellement </w:t>
      </w:r>
      <w:r w:rsidRPr="008205FE">
        <w:rPr>
          <w:rFonts w:asciiTheme="minorHAnsi" w:hAnsiTheme="minorHAnsi" w:cstheme="minorHAnsi"/>
          <w:sz w:val="22"/>
          <w:szCs w:val="22"/>
        </w:rPr>
        <w:t>à des défis</w:t>
      </w:r>
      <w:r w:rsidRPr="002B7D6F">
        <w:rPr>
          <w:rFonts w:asciiTheme="minorHAnsi" w:hAnsiTheme="minorHAnsi" w:cstheme="minorHAnsi"/>
          <w:sz w:val="22"/>
          <w:szCs w:val="22"/>
        </w:rPr>
        <w:t xml:space="preserve"> </w:t>
      </w:r>
      <w:r>
        <w:rPr>
          <w:rFonts w:asciiTheme="minorHAnsi" w:hAnsiTheme="minorHAnsi" w:cstheme="minorHAnsi"/>
          <w:sz w:val="22"/>
          <w:szCs w:val="22"/>
        </w:rPr>
        <w:t xml:space="preserve">de </w:t>
      </w:r>
      <w:r w:rsidRPr="002B7D6F">
        <w:rPr>
          <w:rFonts w:asciiTheme="minorHAnsi" w:hAnsiTheme="minorHAnsi" w:cstheme="minorHAnsi"/>
          <w:sz w:val="22"/>
          <w:szCs w:val="22"/>
        </w:rPr>
        <w:t xml:space="preserve">transparence, </w:t>
      </w:r>
      <w:r>
        <w:rPr>
          <w:rFonts w:asciiTheme="minorHAnsi" w:hAnsiTheme="minorHAnsi" w:cstheme="minorHAnsi"/>
          <w:sz w:val="22"/>
          <w:szCs w:val="22"/>
        </w:rPr>
        <w:t>d’</w:t>
      </w:r>
      <w:r w:rsidRPr="002B7D6F">
        <w:rPr>
          <w:rFonts w:asciiTheme="minorHAnsi" w:hAnsiTheme="minorHAnsi" w:cstheme="minorHAnsi"/>
          <w:sz w:val="22"/>
          <w:szCs w:val="22"/>
        </w:rPr>
        <w:t xml:space="preserve">équité et </w:t>
      </w:r>
      <w:r>
        <w:rPr>
          <w:rFonts w:asciiTheme="minorHAnsi" w:hAnsiTheme="minorHAnsi" w:cstheme="minorHAnsi"/>
          <w:sz w:val="22"/>
          <w:szCs w:val="22"/>
        </w:rPr>
        <w:t>d’</w:t>
      </w:r>
      <w:r w:rsidRPr="002B7D6F">
        <w:rPr>
          <w:rFonts w:asciiTheme="minorHAnsi" w:hAnsiTheme="minorHAnsi" w:cstheme="minorHAnsi"/>
          <w:sz w:val="22"/>
          <w:szCs w:val="22"/>
        </w:rPr>
        <w:t>engagement de</w:t>
      </w:r>
      <w:r>
        <w:rPr>
          <w:rFonts w:asciiTheme="minorHAnsi" w:hAnsiTheme="minorHAnsi" w:cstheme="minorHAnsi"/>
          <w:sz w:val="22"/>
          <w:szCs w:val="22"/>
        </w:rPr>
        <w:t xml:space="preserve"> l’ensemble des</w:t>
      </w:r>
      <w:r w:rsidRPr="002B7D6F">
        <w:rPr>
          <w:rFonts w:asciiTheme="minorHAnsi" w:hAnsiTheme="minorHAnsi" w:cstheme="minorHAnsi"/>
          <w:sz w:val="22"/>
          <w:szCs w:val="22"/>
        </w:rPr>
        <w:t xml:space="preserve"> parties prenantes.</w:t>
      </w:r>
      <w:r w:rsidRPr="00355EF3">
        <w:rPr>
          <w:rFonts w:asciiTheme="minorHAnsi" w:hAnsiTheme="minorHAnsi" w:cstheme="minorHAnsi"/>
          <w:sz w:val="22"/>
          <w:szCs w:val="22"/>
        </w:rPr>
        <w:t xml:space="preserve"> </w:t>
      </w:r>
      <w:r w:rsidRPr="00232880">
        <w:rPr>
          <w:rFonts w:asciiTheme="minorHAnsi" w:hAnsiTheme="minorHAnsi" w:cstheme="minorHAnsi"/>
          <w:sz w:val="22"/>
          <w:szCs w:val="22"/>
        </w:rPr>
        <w:t>L</w:t>
      </w:r>
      <w:r>
        <w:rPr>
          <w:rFonts w:asciiTheme="minorHAnsi" w:hAnsiTheme="minorHAnsi" w:cstheme="minorHAnsi"/>
          <w:sz w:val="22"/>
          <w:szCs w:val="22"/>
        </w:rPr>
        <w:t xml:space="preserve">a réglementation sur les marchés du carbone a été renforcée avec de nouvelles mesures (Ordonnance-Loi </w:t>
      </w:r>
      <w:r w:rsidRPr="00E70C25">
        <w:rPr>
          <w:rFonts w:asciiTheme="minorHAnsi" w:hAnsiTheme="minorHAnsi" w:cstheme="minorHAnsi"/>
          <w:sz w:val="22"/>
          <w:szCs w:val="22"/>
        </w:rPr>
        <w:t xml:space="preserve">modifiant et complétant la Loi No. 11/009 </w:t>
      </w:r>
      <w:r>
        <w:rPr>
          <w:rFonts w:asciiTheme="minorHAnsi" w:hAnsiTheme="minorHAnsi" w:cstheme="minorHAnsi"/>
          <w:sz w:val="22"/>
          <w:szCs w:val="22"/>
        </w:rPr>
        <w:t xml:space="preserve">de 2011, Décret de création de l’ARMCA, Arrêté interministériel </w:t>
      </w:r>
      <w:r w:rsidRPr="00757326">
        <w:rPr>
          <w:rFonts w:asciiTheme="minorHAnsi" w:hAnsiTheme="minorHAnsi" w:cstheme="minorHAnsi"/>
          <w:sz w:val="22"/>
          <w:szCs w:val="22"/>
        </w:rPr>
        <w:t>sur le partage de la quotité du bénéfice des crédits carbones revenant à l’Etat</w:t>
      </w:r>
      <w:r>
        <w:rPr>
          <w:rFonts w:asciiTheme="minorHAnsi" w:hAnsiTheme="minorHAnsi" w:cstheme="minorHAnsi"/>
          <w:sz w:val="22"/>
          <w:szCs w:val="22"/>
        </w:rPr>
        <w:t xml:space="preserve">), toutefois le cadre juridique, peu </w:t>
      </w:r>
      <w:r w:rsidRPr="00734179">
        <w:rPr>
          <w:rFonts w:asciiTheme="minorHAnsi" w:hAnsiTheme="minorHAnsi" w:cstheme="minorHAnsi"/>
          <w:sz w:val="22"/>
          <w:szCs w:val="22"/>
        </w:rPr>
        <w:t>incitatif pour l’investissement</w:t>
      </w:r>
      <w:r>
        <w:rPr>
          <w:rFonts w:asciiTheme="minorHAnsi" w:hAnsiTheme="minorHAnsi" w:cstheme="minorHAnsi"/>
          <w:sz w:val="22"/>
          <w:szCs w:val="22"/>
        </w:rPr>
        <w:t xml:space="preserve">, reste à consolider. Par ailleurs, l’ARMCA n’est pas encore opérationnelle pour encadrer les </w:t>
      </w:r>
      <w:r w:rsidRPr="00E97625">
        <w:rPr>
          <w:rFonts w:asciiTheme="minorHAnsi" w:hAnsiTheme="minorHAnsi" w:cstheme="minorHAnsi"/>
          <w:sz w:val="22"/>
          <w:szCs w:val="22"/>
        </w:rPr>
        <w:t xml:space="preserve">activités </w:t>
      </w:r>
      <w:r>
        <w:rPr>
          <w:rFonts w:asciiTheme="minorHAnsi" w:hAnsiTheme="minorHAnsi" w:cstheme="minorHAnsi"/>
          <w:sz w:val="22"/>
          <w:szCs w:val="22"/>
        </w:rPr>
        <w:t xml:space="preserve">encore </w:t>
      </w:r>
      <w:r w:rsidRPr="00E97625">
        <w:rPr>
          <w:rFonts w:asciiTheme="minorHAnsi" w:hAnsiTheme="minorHAnsi" w:cstheme="minorHAnsi"/>
          <w:sz w:val="22"/>
          <w:szCs w:val="22"/>
        </w:rPr>
        <w:t>disparates dans divers domaines de</w:t>
      </w:r>
      <w:r>
        <w:rPr>
          <w:rFonts w:asciiTheme="minorHAnsi" w:hAnsiTheme="minorHAnsi" w:cstheme="minorHAnsi"/>
          <w:sz w:val="22"/>
          <w:szCs w:val="22"/>
        </w:rPr>
        <w:t xml:space="preserve">s </w:t>
      </w:r>
      <w:r w:rsidRPr="00E97625">
        <w:rPr>
          <w:rFonts w:asciiTheme="minorHAnsi" w:hAnsiTheme="minorHAnsi" w:cstheme="minorHAnsi"/>
          <w:sz w:val="22"/>
          <w:szCs w:val="22"/>
        </w:rPr>
        <w:t>marchés de carbone</w:t>
      </w:r>
      <w:r>
        <w:rPr>
          <w:rFonts w:asciiTheme="minorHAnsi" w:hAnsiTheme="minorHAnsi" w:cstheme="minorHAnsi"/>
          <w:sz w:val="22"/>
          <w:szCs w:val="22"/>
        </w:rPr>
        <w:t xml:space="preserve">, </w:t>
      </w:r>
      <w:r w:rsidR="002E41BF">
        <w:rPr>
          <w:rFonts w:asciiTheme="minorHAnsi" w:hAnsiTheme="minorHAnsi" w:cstheme="minorHAnsi"/>
          <w:sz w:val="22"/>
          <w:szCs w:val="22"/>
        </w:rPr>
        <w:t xml:space="preserve">auquel s’ajoute </w:t>
      </w:r>
      <w:r>
        <w:rPr>
          <w:rFonts w:asciiTheme="minorHAnsi" w:hAnsiTheme="minorHAnsi" w:cstheme="minorHAnsi"/>
          <w:sz w:val="22"/>
          <w:szCs w:val="22"/>
        </w:rPr>
        <w:t>l’absence d’</w:t>
      </w:r>
      <w:r w:rsidRPr="008606D6">
        <w:rPr>
          <w:rFonts w:asciiTheme="minorHAnsi" w:hAnsiTheme="minorHAnsi" w:cstheme="minorHAnsi"/>
          <w:sz w:val="22"/>
          <w:szCs w:val="22"/>
        </w:rPr>
        <w:t>infrastructure</w:t>
      </w:r>
      <w:r>
        <w:rPr>
          <w:rFonts w:asciiTheme="minorHAnsi" w:hAnsiTheme="minorHAnsi" w:cstheme="minorHAnsi"/>
          <w:sz w:val="22"/>
          <w:szCs w:val="22"/>
        </w:rPr>
        <w:t>s</w:t>
      </w:r>
      <w:r w:rsidRPr="008606D6">
        <w:rPr>
          <w:rFonts w:asciiTheme="minorHAnsi" w:hAnsiTheme="minorHAnsi" w:cstheme="minorHAnsi"/>
          <w:sz w:val="22"/>
          <w:szCs w:val="22"/>
        </w:rPr>
        <w:t xml:space="preserve"> adéquat</w:t>
      </w:r>
      <w:r>
        <w:rPr>
          <w:rFonts w:asciiTheme="minorHAnsi" w:hAnsiTheme="minorHAnsi" w:cstheme="minorHAnsi"/>
          <w:sz w:val="22"/>
          <w:szCs w:val="22"/>
        </w:rPr>
        <w:t>e</w:t>
      </w:r>
      <w:r w:rsidRPr="008606D6">
        <w:rPr>
          <w:rFonts w:asciiTheme="minorHAnsi" w:hAnsiTheme="minorHAnsi" w:cstheme="minorHAnsi"/>
          <w:sz w:val="22"/>
          <w:szCs w:val="22"/>
        </w:rPr>
        <w:t>s</w:t>
      </w:r>
      <w:r>
        <w:rPr>
          <w:rFonts w:asciiTheme="minorHAnsi" w:hAnsiTheme="minorHAnsi" w:cstheme="minorHAnsi"/>
          <w:sz w:val="22"/>
          <w:szCs w:val="22"/>
        </w:rPr>
        <w:t xml:space="preserve"> p</w:t>
      </w:r>
      <w:r w:rsidRPr="00232880">
        <w:rPr>
          <w:rFonts w:asciiTheme="minorHAnsi" w:hAnsiTheme="minorHAnsi" w:cstheme="minorHAnsi"/>
          <w:sz w:val="22"/>
          <w:szCs w:val="22"/>
        </w:rPr>
        <w:t xml:space="preserve">our </w:t>
      </w:r>
      <w:r w:rsidRPr="00E36E3C">
        <w:rPr>
          <w:rFonts w:asciiTheme="minorHAnsi" w:hAnsiTheme="minorHAnsi" w:cstheme="minorHAnsi"/>
          <w:sz w:val="22"/>
          <w:szCs w:val="22"/>
        </w:rPr>
        <w:t xml:space="preserve">garantir </w:t>
      </w:r>
      <w:r>
        <w:rPr>
          <w:rFonts w:asciiTheme="minorHAnsi" w:hAnsiTheme="minorHAnsi" w:cstheme="minorHAnsi"/>
          <w:sz w:val="22"/>
          <w:szCs w:val="22"/>
        </w:rPr>
        <w:t xml:space="preserve">leur </w:t>
      </w:r>
      <w:r w:rsidRPr="00E36E3C">
        <w:rPr>
          <w:rFonts w:asciiTheme="minorHAnsi" w:hAnsiTheme="minorHAnsi" w:cstheme="minorHAnsi"/>
          <w:sz w:val="22"/>
          <w:szCs w:val="22"/>
        </w:rPr>
        <w:t>intégrité, efficacité et équité</w:t>
      </w:r>
      <w:r>
        <w:rPr>
          <w:rFonts w:asciiTheme="minorHAnsi" w:hAnsiTheme="minorHAnsi" w:cstheme="minorHAnsi"/>
          <w:sz w:val="22"/>
          <w:szCs w:val="22"/>
        </w:rPr>
        <w:t xml:space="preserve">. </w:t>
      </w:r>
      <w:r w:rsidRPr="000623AF">
        <w:rPr>
          <w:rFonts w:asciiTheme="minorHAnsi" w:hAnsiTheme="minorHAnsi" w:cstheme="minorHAnsi"/>
          <w:sz w:val="22"/>
          <w:szCs w:val="22"/>
        </w:rPr>
        <w:t xml:space="preserve">De plus, la qualité et l’accès </w:t>
      </w:r>
      <w:r>
        <w:rPr>
          <w:rFonts w:asciiTheme="minorHAnsi" w:hAnsiTheme="minorHAnsi" w:cstheme="minorHAnsi"/>
          <w:sz w:val="22"/>
          <w:szCs w:val="22"/>
        </w:rPr>
        <w:t xml:space="preserve">à l’information </w:t>
      </w:r>
      <w:r w:rsidRPr="000623AF">
        <w:rPr>
          <w:rFonts w:asciiTheme="minorHAnsi" w:hAnsiTheme="minorHAnsi" w:cstheme="minorHAnsi"/>
          <w:sz w:val="22"/>
          <w:szCs w:val="22"/>
        </w:rPr>
        <w:t xml:space="preserve">ne répondent pas toujours aux attentes des </w:t>
      </w:r>
      <w:r>
        <w:rPr>
          <w:rFonts w:asciiTheme="minorHAnsi" w:hAnsiTheme="minorHAnsi" w:cstheme="minorHAnsi"/>
          <w:sz w:val="22"/>
          <w:szCs w:val="22"/>
        </w:rPr>
        <w:t>acteurs dont les capacités sont souvent limitées.</w:t>
      </w:r>
    </w:p>
    <w:p w14:paraId="0351E844" w14:textId="77777777" w:rsidR="00690583" w:rsidRPr="005D0B51" w:rsidRDefault="00690583" w:rsidP="00690583">
      <w:pPr>
        <w:pStyle w:val="Commentaire"/>
        <w:spacing w:after="0"/>
        <w:jc w:val="both"/>
        <w:rPr>
          <w:rFonts w:asciiTheme="minorHAnsi" w:hAnsiTheme="minorHAnsi" w:cstheme="minorHAnsi"/>
          <w:sz w:val="22"/>
          <w:szCs w:val="22"/>
        </w:rPr>
      </w:pPr>
    </w:p>
    <w:p w14:paraId="784829A1" w14:textId="77777777" w:rsidR="00690583" w:rsidRPr="005D0B51" w:rsidRDefault="00690583" w:rsidP="00690583">
      <w:pPr>
        <w:pStyle w:val="Commentaire"/>
        <w:spacing w:after="0"/>
        <w:jc w:val="both"/>
        <w:rPr>
          <w:rFonts w:asciiTheme="minorHAnsi" w:hAnsiTheme="minorHAnsi" w:cstheme="minorHAnsi"/>
          <w:sz w:val="22"/>
          <w:szCs w:val="22"/>
        </w:rPr>
      </w:pPr>
      <w:r w:rsidRPr="00537591">
        <w:rPr>
          <w:rFonts w:asciiTheme="minorHAnsi" w:hAnsiTheme="minorHAnsi" w:cstheme="minorHAnsi"/>
          <w:sz w:val="22"/>
          <w:szCs w:val="22"/>
        </w:rPr>
        <w:t>Pour contribuer à relever ces défis, le présent projet vise à atteindre</w:t>
      </w:r>
      <w:r w:rsidRPr="00537591" w:rsidDel="00537591">
        <w:rPr>
          <w:rFonts w:asciiTheme="minorHAnsi" w:hAnsiTheme="minorHAnsi" w:cstheme="minorHAnsi"/>
          <w:sz w:val="22"/>
          <w:szCs w:val="22"/>
        </w:rPr>
        <w:t xml:space="preserve"> </w:t>
      </w:r>
      <w:r>
        <w:rPr>
          <w:rFonts w:asciiTheme="minorHAnsi" w:hAnsiTheme="minorHAnsi" w:cstheme="minorHAnsi"/>
          <w:sz w:val="22"/>
          <w:szCs w:val="22"/>
        </w:rPr>
        <w:t xml:space="preserve">les trois résultats ci-après déclinés : </w:t>
      </w:r>
    </w:p>
    <w:p w14:paraId="0371F6C9" w14:textId="77777777" w:rsidR="00690583" w:rsidRPr="005D0B51" w:rsidRDefault="00690583" w:rsidP="00690583">
      <w:pPr>
        <w:pStyle w:val="Commentaire"/>
        <w:spacing w:after="0"/>
        <w:jc w:val="both"/>
        <w:rPr>
          <w:rFonts w:asciiTheme="minorHAnsi" w:hAnsiTheme="minorHAnsi" w:cstheme="minorHAnsi"/>
          <w:sz w:val="22"/>
          <w:szCs w:val="22"/>
        </w:rPr>
      </w:pPr>
    </w:p>
    <w:p w14:paraId="461539C9" w14:textId="33185D60" w:rsidR="00690583" w:rsidRPr="00073281" w:rsidRDefault="00690583" w:rsidP="00690583">
      <w:pPr>
        <w:pStyle w:val="Commentaire"/>
        <w:spacing w:after="0"/>
        <w:jc w:val="both"/>
        <w:rPr>
          <w:rFonts w:asciiTheme="minorHAnsi" w:hAnsiTheme="minorHAnsi" w:cstheme="minorHAnsi"/>
          <w:sz w:val="22"/>
          <w:szCs w:val="22"/>
        </w:rPr>
      </w:pPr>
      <w:r w:rsidRPr="00981B22">
        <w:rPr>
          <w:rFonts w:asciiTheme="minorHAnsi" w:hAnsiTheme="minorHAnsi" w:cstheme="minorHAnsi"/>
          <w:b/>
          <w:bCs/>
          <w:sz w:val="22"/>
          <w:szCs w:val="22"/>
        </w:rPr>
        <w:t>PRODUIT 1</w:t>
      </w:r>
      <w:r w:rsidRPr="00981B22">
        <w:rPr>
          <w:rFonts w:asciiTheme="minorHAnsi" w:hAnsiTheme="minorHAnsi" w:cstheme="minorHAnsi"/>
          <w:sz w:val="22"/>
          <w:szCs w:val="22"/>
        </w:rPr>
        <w:t>. Le cadre de gouvernance pour la mise en œuvre de la CDN est établi</w:t>
      </w:r>
      <w:r>
        <w:rPr>
          <w:rFonts w:asciiTheme="minorHAnsi" w:hAnsiTheme="minorHAnsi" w:cstheme="minorHAnsi"/>
          <w:sz w:val="22"/>
          <w:szCs w:val="22"/>
        </w:rPr>
        <w:t>. Il s’agit ici pour le projet d’investir dans le r</w:t>
      </w:r>
      <w:r w:rsidRPr="000D728E">
        <w:rPr>
          <w:rFonts w:asciiTheme="minorHAnsi" w:hAnsiTheme="minorHAnsi" w:cstheme="minorHAnsi"/>
          <w:sz w:val="22"/>
          <w:szCs w:val="22"/>
        </w:rPr>
        <w:t>enforcement du cadre de gouvernance pour la mise en œuvre effective de la CDN</w:t>
      </w:r>
      <w:r>
        <w:rPr>
          <w:rFonts w:asciiTheme="minorHAnsi" w:hAnsiTheme="minorHAnsi" w:cstheme="minorHAnsi"/>
          <w:sz w:val="22"/>
          <w:szCs w:val="22"/>
        </w:rPr>
        <w:t>, à travers un appui institutionnel ciblant les organes de coordination et de suivi de la CDN (</w:t>
      </w:r>
      <w:r w:rsidRPr="0087188C">
        <w:rPr>
          <w:rFonts w:asciiTheme="minorHAnsi" w:hAnsiTheme="minorHAnsi" w:cstheme="minorHAnsi"/>
          <w:sz w:val="22"/>
          <w:szCs w:val="22"/>
        </w:rPr>
        <w:t>Conseil National de l’Environnement et du Développement Durable</w:t>
      </w:r>
      <w:r>
        <w:rPr>
          <w:rFonts w:asciiTheme="minorHAnsi" w:hAnsiTheme="minorHAnsi" w:cstheme="minorHAnsi"/>
          <w:sz w:val="22"/>
          <w:szCs w:val="22"/>
        </w:rPr>
        <w:t xml:space="preserve">, </w:t>
      </w:r>
      <w:r w:rsidRPr="008112A9">
        <w:rPr>
          <w:rFonts w:asciiTheme="minorHAnsi" w:hAnsiTheme="minorHAnsi" w:cstheme="minorHAnsi"/>
          <w:sz w:val="22"/>
          <w:szCs w:val="22"/>
        </w:rPr>
        <w:t>Direction du Développement Durable</w:t>
      </w:r>
      <w:r>
        <w:rPr>
          <w:rFonts w:asciiTheme="minorHAnsi" w:hAnsiTheme="minorHAnsi" w:cstheme="minorHAnsi"/>
          <w:sz w:val="22"/>
          <w:szCs w:val="22"/>
        </w:rPr>
        <w:t xml:space="preserve">-DDD, </w:t>
      </w:r>
      <w:r w:rsidRPr="00B73B48">
        <w:rPr>
          <w:rFonts w:asciiTheme="minorHAnsi" w:hAnsiTheme="minorHAnsi" w:cstheme="minorHAnsi"/>
          <w:sz w:val="22"/>
          <w:szCs w:val="22"/>
        </w:rPr>
        <w:t>Cellule Technique d’appui</w:t>
      </w:r>
      <w:r>
        <w:rPr>
          <w:rFonts w:asciiTheme="minorHAnsi" w:hAnsiTheme="minorHAnsi" w:cstheme="minorHAnsi"/>
          <w:sz w:val="22"/>
          <w:szCs w:val="22"/>
        </w:rPr>
        <w:t xml:space="preserve"> à la mise en œuvre de la CDN…) et soutien au dialogue et à la </w:t>
      </w:r>
      <w:r w:rsidRPr="00077803">
        <w:rPr>
          <w:rFonts w:asciiTheme="minorHAnsi" w:hAnsiTheme="minorHAnsi" w:cstheme="minorHAnsi"/>
          <w:sz w:val="22"/>
          <w:szCs w:val="22"/>
        </w:rPr>
        <w:t xml:space="preserve">participation de l’ensemble </w:t>
      </w:r>
      <w:r w:rsidRPr="00073281">
        <w:rPr>
          <w:rFonts w:asciiTheme="minorHAnsi" w:hAnsiTheme="minorHAnsi" w:cstheme="minorHAnsi"/>
          <w:sz w:val="22"/>
          <w:szCs w:val="22"/>
        </w:rPr>
        <w:t xml:space="preserve">des parties prenantes aux processus de prise de décisions et de suivi de la mise en œuvre de la CDN. Le montant prévisionnel pour ce volet est de </w:t>
      </w:r>
      <w:r w:rsidRPr="00527A46">
        <w:rPr>
          <w:rFonts w:asciiTheme="minorHAnsi" w:hAnsiTheme="minorHAnsi" w:cstheme="minorHAnsi"/>
          <w:b/>
          <w:bCs/>
          <w:sz w:val="22"/>
          <w:szCs w:val="22"/>
        </w:rPr>
        <w:t>737.400$</w:t>
      </w:r>
      <w:r w:rsidRPr="000C1B50">
        <w:rPr>
          <w:rFonts w:asciiTheme="minorHAnsi" w:hAnsiTheme="minorHAnsi" w:cstheme="minorHAnsi"/>
          <w:sz w:val="22"/>
          <w:szCs w:val="22"/>
        </w:rPr>
        <w:t>.</w:t>
      </w:r>
      <w:r w:rsidRPr="00073281">
        <w:rPr>
          <w:rFonts w:asciiTheme="minorHAnsi" w:hAnsiTheme="minorHAnsi" w:cstheme="minorHAnsi"/>
          <w:sz w:val="22"/>
          <w:szCs w:val="22"/>
        </w:rPr>
        <w:t xml:space="preserve"> </w:t>
      </w:r>
    </w:p>
    <w:p w14:paraId="3756B9C6" w14:textId="77777777" w:rsidR="00690583" w:rsidRPr="00073281" w:rsidRDefault="00690583" w:rsidP="00690583">
      <w:pPr>
        <w:pStyle w:val="Commentaire"/>
        <w:spacing w:after="0"/>
        <w:jc w:val="both"/>
        <w:rPr>
          <w:rFonts w:asciiTheme="minorHAnsi" w:hAnsiTheme="minorHAnsi" w:cstheme="minorHAnsi"/>
          <w:sz w:val="22"/>
          <w:szCs w:val="22"/>
        </w:rPr>
      </w:pPr>
    </w:p>
    <w:p w14:paraId="1521AE09" w14:textId="77777777" w:rsidR="00690583" w:rsidRPr="00073281" w:rsidRDefault="00690583" w:rsidP="00690583">
      <w:pPr>
        <w:pStyle w:val="Commentaire"/>
        <w:spacing w:after="0"/>
        <w:jc w:val="both"/>
        <w:rPr>
          <w:rFonts w:asciiTheme="minorHAnsi" w:hAnsiTheme="minorHAnsi" w:cstheme="minorHAnsi"/>
          <w:sz w:val="22"/>
          <w:szCs w:val="22"/>
        </w:rPr>
      </w:pPr>
      <w:r w:rsidRPr="00073281">
        <w:rPr>
          <w:rFonts w:asciiTheme="minorHAnsi" w:hAnsiTheme="minorHAnsi" w:cstheme="minorHAnsi"/>
          <w:b/>
          <w:bCs/>
          <w:sz w:val="22"/>
          <w:szCs w:val="22"/>
        </w:rPr>
        <w:t>PRODUIT 2</w:t>
      </w:r>
      <w:r w:rsidRPr="00073281">
        <w:rPr>
          <w:rFonts w:asciiTheme="minorHAnsi" w:hAnsiTheme="minorHAnsi" w:cstheme="minorHAnsi"/>
          <w:sz w:val="22"/>
          <w:szCs w:val="22"/>
        </w:rPr>
        <w:t>. Le cadre de gouvernance pour le déploiement des marchés du carbone est développé.</w:t>
      </w:r>
      <w:r w:rsidRPr="00073281">
        <w:t xml:space="preserve"> </w:t>
      </w:r>
      <w:r w:rsidRPr="00073281">
        <w:rPr>
          <w:rFonts w:asciiTheme="minorHAnsi" w:hAnsiTheme="minorHAnsi" w:cstheme="minorHAnsi"/>
          <w:sz w:val="22"/>
          <w:szCs w:val="22"/>
        </w:rPr>
        <w:t xml:space="preserve">A ce niveau, l’accent est mis sur le renforcement des capacités techniques et infrastructurelles des administrations en charge d’opérationnaliser les marchés du carbone à travers le soutien à l’ARMCA, ainsi que des autres parties prenantes (institutions nationales, secteur privé, société civile, autorités locales et communautés) pour un montant </w:t>
      </w:r>
      <w:r w:rsidRPr="000C1B50">
        <w:rPr>
          <w:rFonts w:asciiTheme="minorHAnsi" w:hAnsiTheme="minorHAnsi" w:cstheme="minorHAnsi"/>
          <w:sz w:val="22"/>
          <w:szCs w:val="22"/>
        </w:rPr>
        <w:t xml:space="preserve">de </w:t>
      </w:r>
      <w:r w:rsidRPr="00527A46">
        <w:rPr>
          <w:rFonts w:asciiTheme="minorHAnsi" w:hAnsiTheme="minorHAnsi" w:cstheme="minorHAnsi"/>
          <w:b/>
          <w:bCs/>
          <w:sz w:val="22"/>
          <w:szCs w:val="22"/>
        </w:rPr>
        <w:t>1,01M$</w:t>
      </w:r>
      <w:r w:rsidRPr="000C1B50">
        <w:rPr>
          <w:rFonts w:asciiTheme="minorHAnsi" w:hAnsiTheme="minorHAnsi" w:cstheme="minorHAnsi"/>
          <w:sz w:val="22"/>
          <w:szCs w:val="22"/>
        </w:rPr>
        <w:t>.</w:t>
      </w:r>
    </w:p>
    <w:p w14:paraId="481E3F39" w14:textId="77777777" w:rsidR="00690583" w:rsidRPr="00073281" w:rsidRDefault="00690583" w:rsidP="00690583">
      <w:pPr>
        <w:pStyle w:val="Commentaire"/>
        <w:spacing w:after="0"/>
        <w:jc w:val="both"/>
        <w:rPr>
          <w:rFonts w:asciiTheme="minorHAnsi" w:hAnsiTheme="minorHAnsi" w:cstheme="minorHAnsi"/>
          <w:sz w:val="22"/>
          <w:szCs w:val="22"/>
        </w:rPr>
      </w:pPr>
    </w:p>
    <w:p w14:paraId="4B6C5123" w14:textId="48C30A6F" w:rsidR="00690583" w:rsidRDefault="00690583" w:rsidP="00690583">
      <w:pPr>
        <w:pStyle w:val="Commentaire"/>
        <w:spacing w:after="0"/>
        <w:jc w:val="both"/>
        <w:rPr>
          <w:rFonts w:asciiTheme="minorHAnsi" w:hAnsiTheme="minorHAnsi" w:cstheme="minorHAnsi"/>
          <w:sz w:val="22"/>
          <w:szCs w:val="22"/>
        </w:rPr>
      </w:pPr>
      <w:r w:rsidRPr="00073281">
        <w:rPr>
          <w:rFonts w:asciiTheme="minorHAnsi" w:hAnsiTheme="minorHAnsi" w:cstheme="minorHAnsi"/>
          <w:b/>
          <w:bCs/>
          <w:sz w:val="22"/>
          <w:szCs w:val="22"/>
        </w:rPr>
        <w:t>PRODUIT 3</w:t>
      </w:r>
      <w:r w:rsidRPr="00073281">
        <w:rPr>
          <w:rFonts w:asciiTheme="minorHAnsi" w:hAnsiTheme="minorHAnsi" w:cstheme="minorHAnsi"/>
          <w:sz w:val="22"/>
          <w:szCs w:val="22"/>
        </w:rPr>
        <w:t>. Les cadres de concertation inclusifs, la diplomatie environnementale et la communication sont renforcés.</w:t>
      </w:r>
      <w:r w:rsidRPr="00073281">
        <w:t xml:space="preserve"> </w:t>
      </w:r>
      <w:r w:rsidRPr="00073281">
        <w:rPr>
          <w:rFonts w:asciiTheme="minorHAnsi" w:hAnsiTheme="minorHAnsi" w:cstheme="minorHAnsi"/>
          <w:sz w:val="22"/>
          <w:szCs w:val="22"/>
        </w:rPr>
        <w:t xml:space="preserve">Le Projet contribuera à la mise en place des cadres de concertation et de dialogue inclusifs sur les marchés du carbone. Il renforcera la gestion du savoir et la communication et la sensibilisation du public sur la finance carbone en vue de créer un environnement propice à la mobilisation des fonds. Le budget alloué pour cette action est de </w:t>
      </w:r>
      <w:r w:rsidRPr="00527A46">
        <w:rPr>
          <w:rFonts w:asciiTheme="minorHAnsi" w:hAnsiTheme="minorHAnsi" w:cstheme="minorHAnsi"/>
          <w:b/>
          <w:bCs/>
          <w:sz w:val="22"/>
          <w:szCs w:val="22"/>
        </w:rPr>
        <w:t>409.600$.</w:t>
      </w:r>
    </w:p>
    <w:p w14:paraId="157186FB" w14:textId="77777777" w:rsidR="00690583" w:rsidRDefault="00690583" w:rsidP="00690583">
      <w:pPr>
        <w:pStyle w:val="Commentaire"/>
        <w:spacing w:after="0"/>
        <w:jc w:val="both"/>
        <w:rPr>
          <w:rFonts w:asciiTheme="minorHAnsi" w:hAnsiTheme="minorHAnsi" w:cstheme="minorHAnsi"/>
          <w:sz w:val="22"/>
          <w:szCs w:val="22"/>
        </w:rPr>
      </w:pPr>
    </w:p>
    <w:p w14:paraId="3F5407CD" w14:textId="73826846" w:rsidR="00690583" w:rsidRDefault="00690583" w:rsidP="00690583">
      <w:pPr>
        <w:pStyle w:val="Commentaire"/>
        <w:spacing w:after="0"/>
        <w:jc w:val="both"/>
        <w:rPr>
          <w:rFonts w:asciiTheme="minorHAnsi" w:hAnsiTheme="minorHAnsi" w:cstheme="minorHAnsi"/>
          <w:sz w:val="22"/>
          <w:szCs w:val="22"/>
        </w:rPr>
      </w:pPr>
      <w:r w:rsidRPr="000C7423">
        <w:rPr>
          <w:rFonts w:asciiTheme="minorHAnsi" w:hAnsiTheme="minorHAnsi" w:cstheme="minorHAnsi"/>
          <w:sz w:val="22"/>
          <w:szCs w:val="22"/>
        </w:rPr>
        <w:t xml:space="preserve">Les coûts de gestion </w:t>
      </w:r>
      <w:r>
        <w:rPr>
          <w:rFonts w:asciiTheme="minorHAnsi" w:hAnsiTheme="minorHAnsi" w:cstheme="minorHAnsi"/>
          <w:sz w:val="22"/>
          <w:szCs w:val="22"/>
        </w:rPr>
        <w:t xml:space="preserve">et de structure </w:t>
      </w:r>
      <w:r w:rsidRPr="000C7423">
        <w:rPr>
          <w:rFonts w:asciiTheme="minorHAnsi" w:hAnsiTheme="minorHAnsi" w:cstheme="minorHAnsi"/>
          <w:sz w:val="22"/>
          <w:szCs w:val="22"/>
        </w:rPr>
        <w:t xml:space="preserve">du Projet </w:t>
      </w:r>
      <w:r w:rsidRPr="00073281">
        <w:rPr>
          <w:rFonts w:asciiTheme="minorHAnsi" w:hAnsiTheme="minorHAnsi" w:cstheme="minorHAnsi"/>
          <w:sz w:val="22"/>
          <w:szCs w:val="22"/>
        </w:rPr>
        <w:t>sont à 24%,</w:t>
      </w:r>
      <w:r w:rsidRPr="000C7423">
        <w:rPr>
          <w:rFonts w:asciiTheme="minorHAnsi" w:hAnsiTheme="minorHAnsi" w:cstheme="minorHAnsi"/>
          <w:sz w:val="22"/>
          <w:szCs w:val="22"/>
        </w:rPr>
        <w:t xml:space="preserve"> incluant les coûts du PNUD et ceux des structures partenaires de mise en œuvre du MEDD (</w:t>
      </w:r>
      <w:r w:rsidR="00393DD5">
        <w:rPr>
          <w:rFonts w:asciiTheme="minorHAnsi" w:hAnsiTheme="minorHAnsi" w:cstheme="minorHAnsi"/>
          <w:sz w:val="22"/>
          <w:szCs w:val="22"/>
        </w:rPr>
        <w:t>D</w:t>
      </w:r>
      <w:r w:rsidRPr="000C7423">
        <w:rPr>
          <w:rFonts w:asciiTheme="minorHAnsi" w:hAnsiTheme="minorHAnsi" w:cstheme="minorHAnsi"/>
          <w:sz w:val="22"/>
          <w:szCs w:val="22"/>
        </w:rPr>
        <w:t>DD et ARMC</w:t>
      </w:r>
      <w:r>
        <w:rPr>
          <w:rFonts w:asciiTheme="minorHAnsi" w:hAnsiTheme="minorHAnsi" w:cstheme="minorHAnsi"/>
          <w:sz w:val="22"/>
          <w:szCs w:val="22"/>
        </w:rPr>
        <w:t>A</w:t>
      </w:r>
      <w:r w:rsidRPr="000C7423">
        <w:rPr>
          <w:rFonts w:asciiTheme="minorHAnsi" w:hAnsiTheme="minorHAnsi" w:cstheme="minorHAnsi"/>
          <w:sz w:val="22"/>
          <w:szCs w:val="22"/>
        </w:rPr>
        <w:t>)</w:t>
      </w:r>
      <w:r w:rsidR="004E7AF5">
        <w:rPr>
          <w:rFonts w:asciiTheme="minorHAnsi" w:hAnsiTheme="minorHAnsi" w:cstheme="minorHAnsi"/>
          <w:sz w:val="22"/>
          <w:szCs w:val="22"/>
        </w:rPr>
        <w:t xml:space="preserve"> et enti</w:t>
      </w:r>
      <w:r w:rsidR="000672F4">
        <w:rPr>
          <w:rFonts w:asciiTheme="minorHAnsi" w:hAnsiTheme="minorHAnsi" w:cstheme="minorHAnsi"/>
          <w:sz w:val="22"/>
          <w:szCs w:val="22"/>
        </w:rPr>
        <w:t>té désignée du Ministère des Finances</w:t>
      </w:r>
      <w:r w:rsidRPr="000C7423">
        <w:rPr>
          <w:rFonts w:asciiTheme="minorHAnsi" w:hAnsiTheme="minorHAnsi" w:cstheme="minorHAnsi"/>
          <w:sz w:val="22"/>
          <w:szCs w:val="22"/>
        </w:rPr>
        <w:t>. Les frais généraux sont de 7%</w:t>
      </w:r>
      <w:r>
        <w:rPr>
          <w:rFonts w:asciiTheme="minorHAnsi" w:hAnsiTheme="minorHAnsi" w:cstheme="minorHAnsi"/>
          <w:sz w:val="22"/>
          <w:szCs w:val="22"/>
        </w:rPr>
        <w:t>, ce qui donne un total des coûts de structure de 31%</w:t>
      </w:r>
      <w:r w:rsidRPr="000C7423">
        <w:rPr>
          <w:rFonts w:asciiTheme="minorHAnsi" w:hAnsiTheme="minorHAnsi" w:cstheme="minorHAnsi"/>
          <w:sz w:val="22"/>
          <w:szCs w:val="22"/>
        </w:rPr>
        <w:t>.</w:t>
      </w:r>
    </w:p>
    <w:p w14:paraId="15BC1B4B" w14:textId="77777777" w:rsidR="00690583" w:rsidRDefault="00690583" w:rsidP="00690583">
      <w:pPr>
        <w:pStyle w:val="Commentaire"/>
        <w:spacing w:after="0"/>
        <w:jc w:val="both"/>
        <w:rPr>
          <w:rFonts w:asciiTheme="minorHAnsi" w:hAnsiTheme="minorHAnsi" w:cstheme="minorHAnsi"/>
          <w:sz w:val="22"/>
          <w:szCs w:val="22"/>
        </w:rPr>
      </w:pPr>
    </w:p>
    <w:p w14:paraId="564173A7" w14:textId="4EC21589" w:rsidR="00393DD5" w:rsidRDefault="00393DD5" w:rsidP="00393DD5">
      <w:pPr>
        <w:pStyle w:val="Commentaire"/>
        <w:spacing w:after="0"/>
        <w:jc w:val="both"/>
        <w:rPr>
          <w:rFonts w:asciiTheme="minorHAnsi" w:hAnsiTheme="minorHAnsi" w:cstheme="minorHAnsi"/>
          <w:sz w:val="22"/>
          <w:szCs w:val="22"/>
        </w:rPr>
      </w:pPr>
      <w:r w:rsidRPr="00F97108">
        <w:rPr>
          <w:rFonts w:asciiTheme="minorHAnsi" w:hAnsiTheme="minorHAnsi" w:cstheme="minorHAnsi"/>
          <w:sz w:val="22"/>
          <w:szCs w:val="22"/>
        </w:rPr>
        <w:t xml:space="preserve">La modalité </w:t>
      </w:r>
      <w:r>
        <w:rPr>
          <w:rFonts w:asciiTheme="minorHAnsi" w:hAnsiTheme="minorHAnsi" w:cstheme="minorHAnsi"/>
          <w:sz w:val="22"/>
          <w:szCs w:val="22"/>
        </w:rPr>
        <w:t xml:space="preserve">d’exécution directe sera utilisée pour la mise en œuvre de ce projet avec des parties responsables (RP) identifiées pour des activités spécifiques du Plan de Travail. A terme, l’objectif visé est </w:t>
      </w:r>
      <w:r w:rsidRPr="007F5E78">
        <w:rPr>
          <w:rFonts w:asciiTheme="minorHAnsi" w:hAnsiTheme="minorHAnsi" w:cstheme="minorHAnsi"/>
          <w:sz w:val="22"/>
          <w:szCs w:val="22"/>
        </w:rPr>
        <w:t xml:space="preserve">d’assurer le renforcement des capacités </w:t>
      </w:r>
      <w:r>
        <w:rPr>
          <w:rFonts w:asciiTheme="minorHAnsi" w:hAnsiTheme="minorHAnsi" w:cstheme="minorHAnsi"/>
          <w:sz w:val="22"/>
          <w:szCs w:val="22"/>
        </w:rPr>
        <w:t xml:space="preserve">et une </w:t>
      </w:r>
      <w:r w:rsidRPr="007F5E78">
        <w:rPr>
          <w:rFonts w:asciiTheme="minorHAnsi" w:hAnsiTheme="minorHAnsi" w:cstheme="minorHAnsi"/>
          <w:sz w:val="22"/>
          <w:szCs w:val="22"/>
        </w:rPr>
        <w:t xml:space="preserve">meilleure appropriation nationale. </w:t>
      </w:r>
      <w:r>
        <w:rPr>
          <w:rFonts w:asciiTheme="minorHAnsi" w:hAnsiTheme="minorHAnsi" w:cstheme="minorHAnsi"/>
          <w:sz w:val="22"/>
          <w:szCs w:val="22"/>
        </w:rPr>
        <w:t>L</w:t>
      </w:r>
      <w:r w:rsidRPr="007F5E78">
        <w:rPr>
          <w:rFonts w:asciiTheme="minorHAnsi" w:hAnsiTheme="minorHAnsi" w:cstheme="minorHAnsi"/>
          <w:sz w:val="22"/>
          <w:szCs w:val="22"/>
        </w:rPr>
        <w:t>es responsabilités programmatiques et financières, bien qu’étant celles de l’Agent d</w:t>
      </w:r>
      <w:r>
        <w:rPr>
          <w:rFonts w:asciiTheme="minorHAnsi" w:hAnsiTheme="minorHAnsi" w:cstheme="minorHAnsi"/>
          <w:sz w:val="22"/>
          <w:szCs w:val="22"/>
        </w:rPr>
        <w:t xml:space="preserve">’Exécution dans la mise en œuvre du Projet, </w:t>
      </w:r>
      <w:r w:rsidRPr="007F5E78">
        <w:rPr>
          <w:rFonts w:asciiTheme="minorHAnsi" w:hAnsiTheme="minorHAnsi" w:cstheme="minorHAnsi"/>
          <w:sz w:val="22"/>
          <w:szCs w:val="22"/>
        </w:rPr>
        <w:t>gestion dans le cadre des accords signés avec le MPTF, s</w:t>
      </w:r>
      <w:r>
        <w:rPr>
          <w:rFonts w:asciiTheme="minorHAnsi" w:hAnsiTheme="minorHAnsi" w:cstheme="minorHAnsi"/>
          <w:sz w:val="22"/>
          <w:szCs w:val="22"/>
        </w:rPr>
        <w:t>eront partiellement</w:t>
      </w:r>
      <w:r w:rsidRPr="007F5E78">
        <w:rPr>
          <w:rFonts w:asciiTheme="minorHAnsi" w:hAnsiTheme="minorHAnsi" w:cstheme="minorHAnsi"/>
          <w:sz w:val="22"/>
          <w:szCs w:val="22"/>
        </w:rPr>
        <w:t xml:space="preserve"> déléguées </w:t>
      </w:r>
      <w:r>
        <w:rPr>
          <w:rFonts w:asciiTheme="minorHAnsi" w:hAnsiTheme="minorHAnsi" w:cstheme="minorHAnsi"/>
          <w:sz w:val="22"/>
          <w:szCs w:val="22"/>
        </w:rPr>
        <w:t xml:space="preserve">à la </w:t>
      </w:r>
      <w:r w:rsidRPr="005434B6">
        <w:rPr>
          <w:rFonts w:asciiTheme="minorHAnsi" w:hAnsiTheme="minorHAnsi" w:cstheme="minorHAnsi"/>
          <w:sz w:val="22"/>
          <w:szCs w:val="22"/>
        </w:rPr>
        <w:t>DDD</w:t>
      </w:r>
      <w:r>
        <w:rPr>
          <w:rFonts w:asciiTheme="minorHAnsi" w:hAnsiTheme="minorHAnsi" w:cstheme="minorHAnsi"/>
          <w:sz w:val="22"/>
          <w:szCs w:val="22"/>
        </w:rPr>
        <w:t xml:space="preserve">, à </w:t>
      </w:r>
      <w:r w:rsidRPr="005434B6">
        <w:rPr>
          <w:rFonts w:asciiTheme="minorHAnsi" w:hAnsiTheme="minorHAnsi" w:cstheme="minorHAnsi"/>
          <w:sz w:val="22"/>
          <w:szCs w:val="22"/>
        </w:rPr>
        <w:t>l</w:t>
      </w:r>
      <w:r>
        <w:rPr>
          <w:rFonts w:asciiTheme="minorHAnsi" w:hAnsiTheme="minorHAnsi" w:cstheme="minorHAnsi"/>
          <w:sz w:val="22"/>
          <w:szCs w:val="22"/>
        </w:rPr>
        <w:t>’</w:t>
      </w:r>
      <w:r w:rsidRPr="005434B6">
        <w:rPr>
          <w:rFonts w:asciiTheme="minorHAnsi" w:hAnsiTheme="minorHAnsi" w:cstheme="minorHAnsi"/>
          <w:sz w:val="22"/>
          <w:szCs w:val="22"/>
        </w:rPr>
        <w:t>ARMCA</w:t>
      </w:r>
      <w:r>
        <w:rPr>
          <w:rFonts w:asciiTheme="minorHAnsi" w:hAnsiTheme="minorHAnsi" w:cstheme="minorHAnsi"/>
          <w:sz w:val="22"/>
          <w:szCs w:val="22"/>
        </w:rPr>
        <w:t xml:space="preserve"> et l’en</w:t>
      </w:r>
      <w:r w:rsidR="00575F31">
        <w:rPr>
          <w:rFonts w:asciiTheme="minorHAnsi" w:hAnsiTheme="minorHAnsi" w:cstheme="minorHAnsi"/>
          <w:sz w:val="22"/>
          <w:szCs w:val="22"/>
        </w:rPr>
        <w:t>tité désignée par le ministère des Finances</w:t>
      </w:r>
      <w:r w:rsidRPr="005434B6">
        <w:rPr>
          <w:rFonts w:asciiTheme="minorHAnsi" w:hAnsiTheme="minorHAnsi" w:cstheme="minorHAnsi"/>
          <w:sz w:val="22"/>
          <w:szCs w:val="22"/>
        </w:rPr>
        <w:t xml:space="preserve">, qui agiront comme </w:t>
      </w:r>
      <w:r w:rsidR="006D6825">
        <w:rPr>
          <w:rFonts w:asciiTheme="minorHAnsi" w:hAnsiTheme="minorHAnsi" w:cstheme="minorHAnsi"/>
          <w:sz w:val="22"/>
          <w:szCs w:val="22"/>
        </w:rPr>
        <w:t>RP</w:t>
      </w:r>
      <w:r w:rsidRPr="006A072E">
        <w:rPr>
          <w:rFonts w:asciiTheme="minorHAnsi" w:hAnsiTheme="minorHAnsi" w:cstheme="minorHAnsi"/>
          <w:sz w:val="22"/>
          <w:szCs w:val="22"/>
        </w:rPr>
        <w:t xml:space="preserve"> et qu’à ce titre, ces dernières rendront compte au PNUD</w:t>
      </w:r>
      <w:r w:rsidRPr="005434B6">
        <w:rPr>
          <w:rFonts w:asciiTheme="minorHAnsi" w:hAnsiTheme="minorHAnsi" w:cstheme="minorHAnsi"/>
          <w:sz w:val="22"/>
          <w:szCs w:val="22"/>
        </w:rPr>
        <w:t>.</w:t>
      </w:r>
      <w:r w:rsidRPr="00083013">
        <w:rPr>
          <w:rFonts w:asciiTheme="minorHAnsi" w:hAnsiTheme="minorHAnsi" w:cstheme="minorHAnsi"/>
          <w:sz w:val="22"/>
          <w:szCs w:val="22"/>
        </w:rPr>
        <w:t xml:space="preserve"> Quant au PNUD, il jouera un rôle de supervision générale des procédures, d’assurance qualité à tous les niveaux (techniques et financiers) et de rapportage</w:t>
      </w:r>
      <w:r>
        <w:rPr>
          <w:rFonts w:asciiTheme="minorHAnsi" w:hAnsiTheme="minorHAnsi" w:cstheme="minorHAnsi"/>
          <w:sz w:val="22"/>
          <w:szCs w:val="22"/>
        </w:rPr>
        <w:t>, à travers u</w:t>
      </w:r>
      <w:r w:rsidRPr="005434B6">
        <w:rPr>
          <w:rFonts w:asciiTheme="minorHAnsi" w:hAnsiTheme="minorHAnsi" w:cstheme="minorHAnsi"/>
          <w:sz w:val="22"/>
          <w:szCs w:val="22"/>
        </w:rPr>
        <w:t xml:space="preserve">ne </w:t>
      </w:r>
      <w:r>
        <w:rPr>
          <w:rFonts w:asciiTheme="minorHAnsi" w:hAnsiTheme="minorHAnsi" w:cstheme="minorHAnsi"/>
          <w:sz w:val="22"/>
          <w:szCs w:val="22"/>
        </w:rPr>
        <w:t>é</w:t>
      </w:r>
      <w:r w:rsidRPr="005434B6">
        <w:rPr>
          <w:rFonts w:asciiTheme="minorHAnsi" w:hAnsiTheme="minorHAnsi" w:cstheme="minorHAnsi"/>
          <w:sz w:val="22"/>
          <w:szCs w:val="22"/>
        </w:rPr>
        <w:t xml:space="preserve">quipe légère </w:t>
      </w:r>
      <w:r>
        <w:rPr>
          <w:rFonts w:asciiTheme="minorHAnsi" w:hAnsiTheme="minorHAnsi" w:cstheme="minorHAnsi"/>
          <w:sz w:val="22"/>
          <w:szCs w:val="22"/>
        </w:rPr>
        <w:t xml:space="preserve">qui </w:t>
      </w:r>
      <w:r w:rsidRPr="005434B6">
        <w:rPr>
          <w:rFonts w:asciiTheme="minorHAnsi" w:hAnsiTheme="minorHAnsi" w:cstheme="minorHAnsi"/>
          <w:sz w:val="22"/>
          <w:szCs w:val="22"/>
        </w:rPr>
        <w:t xml:space="preserve">sera </w:t>
      </w:r>
      <w:r>
        <w:rPr>
          <w:rFonts w:asciiTheme="minorHAnsi" w:hAnsiTheme="minorHAnsi" w:cstheme="minorHAnsi"/>
          <w:sz w:val="22"/>
          <w:szCs w:val="22"/>
        </w:rPr>
        <w:t xml:space="preserve">mobilisée pour fournir l’appui nécessaire à la </w:t>
      </w:r>
      <w:r w:rsidRPr="005434B6">
        <w:rPr>
          <w:rFonts w:asciiTheme="minorHAnsi" w:hAnsiTheme="minorHAnsi" w:cstheme="minorHAnsi"/>
          <w:sz w:val="22"/>
          <w:szCs w:val="22"/>
        </w:rPr>
        <w:t>coordination et la mise en œuvre cohérente des activités du Projet.</w:t>
      </w:r>
      <w:r>
        <w:rPr>
          <w:rFonts w:asciiTheme="minorHAnsi" w:hAnsiTheme="minorHAnsi" w:cstheme="minorHAnsi"/>
          <w:sz w:val="22"/>
          <w:szCs w:val="22"/>
        </w:rPr>
        <w:t xml:space="preserve"> </w:t>
      </w:r>
    </w:p>
    <w:p w14:paraId="156E75A4" w14:textId="77777777" w:rsidR="00690583" w:rsidRDefault="00690583" w:rsidP="00690583">
      <w:pPr>
        <w:pStyle w:val="Commentaire"/>
        <w:spacing w:after="0"/>
        <w:jc w:val="both"/>
        <w:rPr>
          <w:rFonts w:asciiTheme="minorHAnsi" w:hAnsiTheme="minorHAnsi" w:cstheme="minorHAnsi"/>
          <w:sz w:val="22"/>
          <w:szCs w:val="22"/>
        </w:rPr>
      </w:pPr>
    </w:p>
    <w:p w14:paraId="49A3D8D6" w14:textId="77777777" w:rsidR="00690583" w:rsidRDefault="00690583" w:rsidP="00690583">
      <w:pPr>
        <w:pStyle w:val="Commentaire"/>
        <w:spacing w:after="0"/>
        <w:jc w:val="both"/>
        <w:rPr>
          <w:rFonts w:asciiTheme="minorHAnsi" w:hAnsiTheme="minorHAnsi" w:cstheme="minorHAnsi"/>
          <w:sz w:val="22"/>
          <w:szCs w:val="22"/>
        </w:rPr>
      </w:pPr>
      <w:r w:rsidRPr="00D03DE3">
        <w:rPr>
          <w:rFonts w:asciiTheme="minorHAnsi" w:hAnsiTheme="minorHAnsi" w:cstheme="minorHAnsi"/>
          <w:sz w:val="22"/>
          <w:szCs w:val="22"/>
        </w:rPr>
        <w:t xml:space="preserve">Les interventions du </w:t>
      </w:r>
      <w:r>
        <w:rPr>
          <w:rFonts w:asciiTheme="minorHAnsi" w:hAnsiTheme="minorHAnsi" w:cstheme="minorHAnsi"/>
          <w:sz w:val="22"/>
          <w:szCs w:val="22"/>
        </w:rPr>
        <w:t>P</w:t>
      </w:r>
      <w:r w:rsidRPr="00D03DE3">
        <w:rPr>
          <w:rFonts w:asciiTheme="minorHAnsi" w:hAnsiTheme="minorHAnsi" w:cstheme="minorHAnsi"/>
          <w:sz w:val="22"/>
          <w:szCs w:val="22"/>
        </w:rPr>
        <w:t xml:space="preserve">rojet bénéficieront </w:t>
      </w:r>
      <w:r>
        <w:rPr>
          <w:rFonts w:asciiTheme="minorHAnsi" w:hAnsiTheme="minorHAnsi" w:cstheme="minorHAnsi"/>
          <w:sz w:val="22"/>
          <w:szCs w:val="22"/>
        </w:rPr>
        <w:t xml:space="preserve">aussi </w:t>
      </w:r>
      <w:r w:rsidRPr="00D03DE3">
        <w:rPr>
          <w:rFonts w:asciiTheme="minorHAnsi" w:hAnsiTheme="minorHAnsi" w:cstheme="minorHAnsi"/>
          <w:sz w:val="22"/>
          <w:szCs w:val="22"/>
        </w:rPr>
        <w:t>de l’appui de</w:t>
      </w:r>
      <w:r>
        <w:rPr>
          <w:rFonts w:asciiTheme="minorHAnsi" w:hAnsiTheme="minorHAnsi" w:cstheme="minorHAnsi"/>
          <w:sz w:val="22"/>
          <w:szCs w:val="22"/>
        </w:rPr>
        <w:t xml:space="preserve"> l’expertise de</w:t>
      </w:r>
      <w:r w:rsidRPr="00D03DE3">
        <w:rPr>
          <w:rFonts w:asciiTheme="minorHAnsi" w:hAnsiTheme="minorHAnsi" w:cstheme="minorHAnsi"/>
          <w:sz w:val="22"/>
          <w:szCs w:val="22"/>
        </w:rPr>
        <w:t xml:space="preserve">s ministères </w:t>
      </w:r>
      <w:r>
        <w:rPr>
          <w:rFonts w:asciiTheme="minorHAnsi" w:hAnsiTheme="minorHAnsi" w:cstheme="minorHAnsi"/>
          <w:sz w:val="22"/>
          <w:szCs w:val="22"/>
        </w:rPr>
        <w:t>et des structures étatiques impliqués dans la coordination de la mise en œuvre de la CDN et le développement des marchés du carbone</w:t>
      </w:r>
      <w:r w:rsidRPr="00D03DE3">
        <w:rPr>
          <w:rFonts w:asciiTheme="minorHAnsi" w:hAnsiTheme="minorHAnsi" w:cstheme="minorHAnsi"/>
          <w:sz w:val="22"/>
          <w:szCs w:val="22"/>
        </w:rPr>
        <w:t xml:space="preserve">. </w:t>
      </w:r>
      <w:r>
        <w:rPr>
          <w:rFonts w:asciiTheme="minorHAnsi" w:hAnsiTheme="minorHAnsi" w:cstheme="minorHAnsi"/>
          <w:sz w:val="22"/>
          <w:szCs w:val="22"/>
        </w:rPr>
        <w:t xml:space="preserve">De plus, il </w:t>
      </w:r>
      <w:r w:rsidRPr="00D03DE3">
        <w:rPr>
          <w:rFonts w:asciiTheme="minorHAnsi" w:hAnsiTheme="minorHAnsi" w:cstheme="minorHAnsi"/>
          <w:sz w:val="22"/>
          <w:szCs w:val="22"/>
        </w:rPr>
        <w:t xml:space="preserve">s’appuiera sur son dispositif d’assistance technique </w:t>
      </w:r>
      <w:r>
        <w:rPr>
          <w:rFonts w:asciiTheme="minorHAnsi" w:hAnsiTheme="minorHAnsi" w:cstheme="minorHAnsi"/>
          <w:sz w:val="22"/>
          <w:szCs w:val="22"/>
        </w:rPr>
        <w:t xml:space="preserve">du PNUD </w:t>
      </w:r>
      <w:r w:rsidRPr="00D03DE3">
        <w:rPr>
          <w:rFonts w:asciiTheme="minorHAnsi" w:hAnsiTheme="minorHAnsi" w:cstheme="minorHAnsi"/>
          <w:sz w:val="22"/>
          <w:szCs w:val="22"/>
        </w:rPr>
        <w:t xml:space="preserve">pour mobiliser </w:t>
      </w:r>
      <w:r>
        <w:rPr>
          <w:rFonts w:asciiTheme="minorHAnsi" w:hAnsiTheme="minorHAnsi" w:cstheme="minorHAnsi"/>
          <w:sz w:val="22"/>
          <w:szCs w:val="22"/>
        </w:rPr>
        <w:t>d</w:t>
      </w:r>
      <w:r w:rsidRPr="00D03DE3">
        <w:rPr>
          <w:rFonts w:asciiTheme="minorHAnsi" w:hAnsiTheme="minorHAnsi" w:cstheme="minorHAnsi"/>
          <w:sz w:val="22"/>
          <w:szCs w:val="22"/>
        </w:rPr>
        <w:t xml:space="preserve">es expertises </w:t>
      </w:r>
      <w:r>
        <w:rPr>
          <w:rFonts w:asciiTheme="minorHAnsi" w:hAnsiTheme="minorHAnsi" w:cstheme="minorHAnsi"/>
          <w:sz w:val="22"/>
          <w:szCs w:val="22"/>
        </w:rPr>
        <w:t>si besoin</w:t>
      </w:r>
      <w:r w:rsidRPr="00D03DE3">
        <w:rPr>
          <w:rFonts w:asciiTheme="minorHAnsi" w:hAnsiTheme="minorHAnsi" w:cstheme="minorHAnsi"/>
          <w:sz w:val="22"/>
          <w:szCs w:val="22"/>
        </w:rPr>
        <w:t xml:space="preserve">. </w:t>
      </w:r>
    </w:p>
    <w:p w14:paraId="2DC275CA" w14:textId="77777777" w:rsidR="00690583" w:rsidRDefault="00690583" w:rsidP="00690583">
      <w:pPr>
        <w:pStyle w:val="Commentaire"/>
        <w:spacing w:after="0"/>
        <w:jc w:val="both"/>
        <w:rPr>
          <w:rFonts w:asciiTheme="minorHAnsi" w:hAnsiTheme="minorHAnsi" w:cstheme="minorHAnsi"/>
          <w:sz w:val="22"/>
          <w:szCs w:val="22"/>
        </w:rPr>
      </w:pPr>
    </w:p>
    <w:p w14:paraId="182D9D61" w14:textId="77777777" w:rsidR="00690583" w:rsidRDefault="00690583" w:rsidP="00690583">
      <w:pPr>
        <w:pStyle w:val="Commentaire"/>
        <w:spacing w:after="0"/>
        <w:jc w:val="both"/>
        <w:rPr>
          <w:rFonts w:asciiTheme="minorHAnsi" w:hAnsiTheme="minorHAnsi" w:cstheme="minorHAnsi"/>
          <w:sz w:val="22"/>
          <w:szCs w:val="22"/>
        </w:rPr>
      </w:pPr>
      <w:r w:rsidRPr="00FC11C2">
        <w:rPr>
          <w:rFonts w:asciiTheme="minorHAnsi" w:hAnsiTheme="minorHAnsi" w:cstheme="minorHAnsi"/>
          <w:sz w:val="22"/>
          <w:szCs w:val="22"/>
        </w:rPr>
        <w:t xml:space="preserve">Au niveau stratégique, le </w:t>
      </w:r>
      <w:r>
        <w:rPr>
          <w:rFonts w:asciiTheme="minorHAnsi" w:hAnsiTheme="minorHAnsi" w:cstheme="minorHAnsi"/>
          <w:sz w:val="22"/>
          <w:szCs w:val="22"/>
        </w:rPr>
        <w:t>P</w:t>
      </w:r>
      <w:r w:rsidRPr="00FC11C2">
        <w:rPr>
          <w:rFonts w:asciiTheme="minorHAnsi" w:hAnsiTheme="minorHAnsi" w:cstheme="minorHAnsi"/>
          <w:sz w:val="22"/>
          <w:szCs w:val="22"/>
        </w:rPr>
        <w:t>rojet mettra en place des partenariats et s’appuiera sur ceux en place au niveau institutionnel pour renforcer le dialogue entre les différents acteurs</w:t>
      </w:r>
      <w:r>
        <w:rPr>
          <w:rFonts w:asciiTheme="minorHAnsi" w:hAnsiTheme="minorHAnsi" w:cstheme="minorHAnsi"/>
          <w:sz w:val="22"/>
          <w:szCs w:val="22"/>
        </w:rPr>
        <w:t>,</w:t>
      </w:r>
      <w:r w:rsidRPr="00B67376">
        <w:t xml:space="preserve"> </w:t>
      </w:r>
      <w:r w:rsidRPr="00B67376">
        <w:rPr>
          <w:rFonts w:asciiTheme="minorHAnsi" w:hAnsiTheme="minorHAnsi" w:cstheme="minorHAnsi"/>
          <w:sz w:val="22"/>
          <w:szCs w:val="22"/>
        </w:rPr>
        <w:t>dans une dynamique de complémentarité et de synergie</w:t>
      </w:r>
      <w:r>
        <w:rPr>
          <w:rFonts w:asciiTheme="minorHAnsi" w:hAnsiTheme="minorHAnsi" w:cstheme="minorHAnsi"/>
          <w:sz w:val="22"/>
          <w:szCs w:val="22"/>
        </w:rPr>
        <w:t xml:space="preserve"> d’action. </w:t>
      </w:r>
      <w:r w:rsidRPr="00FC11C2">
        <w:rPr>
          <w:rFonts w:asciiTheme="minorHAnsi" w:hAnsiTheme="minorHAnsi" w:cstheme="minorHAnsi"/>
          <w:sz w:val="22"/>
          <w:szCs w:val="22"/>
        </w:rPr>
        <w:t xml:space="preserve">Sur le plan opérationnel, </w:t>
      </w:r>
      <w:r>
        <w:rPr>
          <w:rFonts w:asciiTheme="minorHAnsi" w:hAnsiTheme="minorHAnsi" w:cstheme="minorHAnsi"/>
          <w:sz w:val="22"/>
          <w:szCs w:val="22"/>
        </w:rPr>
        <w:t xml:space="preserve">il </w:t>
      </w:r>
      <w:r w:rsidRPr="00FC11C2">
        <w:rPr>
          <w:rFonts w:asciiTheme="minorHAnsi" w:hAnsiTheme="minorHAnsi" w:cstheme="minorHAnsi"/>
          <w:sz w:val="22"/>
          <w:szCs w:val="22"/>
        </w:rPr>
        <w:t xml:space="preserve">capitalisera sur l’existent et facilitera la mise en cohérence avec les projets et programmes en cours, soutenus par </w:t>
      </w:r>
      <w:r>
        <w:rPr>
          <w:rFonts w:asciiTheme="minorHAnsi" w:hAnsiTheme="minorHAnsi" w:cstheme="minorHAnsi"/>
          <w:sz w:val="22"/>
          <w:szCs w:val="22"/>
        </w:rPr>
        <w:t xml:space="preserve">CAFI et d’autres bailleurs. </w:t>
      </w:r>
      <w:r w:rsidRPr="00FC11C2">
        <w:rPr>
          <w:rFonts w:asciiTheme="minorHAnsi" w:hAnsiTheme="minorHAnsi" w:cstheme="minorHAnsi"/>
          <w:sz w:val="22"/>
          <w:szCs w:val="22"/>
        </w:rPr>
        <w:t xml:space="preserve">Le projet soutiendra également des initiatives de coopération </w:t>
      </w:r>
      <w:r>
        <w:rPr>
          <w:rFonts w:asciiTheme="minorHAnsi" w:hAnsiTheme="minorHAnsi" w:cstheme="minorHAnsi"/>
          <w:sz w:val="22"/>
          <w:szCs w:val="22"/>
        </w:rPr>
        <w:t xml:space="preserve">régionale et Sud-Sud, notamment </w:t>
      </w:r>
      <w:r w:rsidRPr="00FC11C2">
        <w:rPr>
          <w:rFonts w:asciiTheme="minorHAnsi" w:hAnsiTheme="minorHAnsi" w:cstheme="minorHAnsi"/>
          <w:sz w:val="22"/>
          <w:szCs w:val="22"/>
        </w:rPr>
        <w:t xml:space="preserve">dans </w:t>
      </w:r>
      <w:r>
        <w:rPr>
          <w:rFonts w:asciiTheme="minorHAnsi" w:hAnsiTheme="minorHAnsi" w:cstheme="minorHAnsi"/>
          <w:sz w:val="22"/>
          <w:szCs w:val="22"/>
        </w:rPr>
        <w:t xml:space="preserve">le déploiement l’infrastructure des marchés du carbone. </w:t>
      </w:r>
      <w:r w:rsidRPr="00FC11C2">
        <w:rPr>
          <w:rFonts w:asciiTheme="minorHAnsi" w:hAnsiTheme="minorHAnsi" w:cstheme="minorHAnsi"/>
          <w:sz w:val="22"/>
          <w:szCs w:val="22"/>
        </w:rPr>
        <w:t xml:space="preserve"> </w:t>
      </w:r>
    </w:p>
    <w:p w14:paraId="28FB414C" w14:textId="77777777" w:rsidR="00690583" w:rsidRDefault="00690583" w:rsidP="00690583">
      <w:pPr>
        <w:pStyle w:val="Commentaire"/>
        <w:spacing w:after="0"/>
        <w:jc w:val="both"/>
        <w:rPr>
          <w:rFonts w:asciiTheme="minorHAnsi" w:hAnsiTheme="minorHAnsi" w:cstheme="minorHAnsi"/>
          <w:sz w:val="22"/>
          <w:szCs w:val="22"/>
        </w:rPr>
      </w:pPr>
    </w:p>
    <w:p w14:paraId="3FBAB401" w14:textId="7A208BF0" w:rsidR="009340BA" w:rsidRDefault="00690583" w:rsidP="003D7B18">
      <w:pPr>
        <w:spacing w:after="120"/>
        <w:jc w:val="both"/>
        <w:rPr>
          <w:rFonts w:asciiTheme="minorHAnsi" w:hAnsiTheme="minorHAnsi" w:cstheme="minorHAnsi"/>
        </w:rPr>
      </w:pPr>
      <w:r w:rsidRPr="005434B6">
        <w:rPr>
          <w:rFonts w:asciiTheme="minorHAnsi" w:hAnsiTheme="minorHAnsi" w:cstheme="minorHAnsi"/>
        </w:rPr>
        <w:t>Un Comité de pilotage</w:t>
      </w:r>
      <w:r w:rsidR="009A1ED5">
        <w:rPr>
          <w:rFonts w:asciiTheme="minorHAnsi" w:hAnsiTheme="minorHAnsi" w:cstheme="minorHAnsi"/>
        </w:rPr>
        <w:t xml:space="preserve">, </w:t>
      </w:r>
      <w:r w:rsidRPr="005434B6">
        <w:rPr>
          <w:rFonts w:asciiTheme="minorHAnsi" w:hAnsiTheme="minorHAnsi" w:cstheme="minorHAnsi"/>
        </w:rPr>
        <w:t>co-présidé par le MEDD et le PNUD sera mis en place pour assurer la gouvernance du Projet. Ce</w:t>
      </w:r>
      <w:r w:rsidR="009A1ED5">
        <w:rPr>
          <w:rFonts w:asciiTheme="minorHAnsi" w:hAnsiTheme="minorHAnsi" w:cstheme="minorHAnsi"/>
        </w:rPr>
        <w:t xml:space="preserve">tte instance d’orientation et de prise de décision du projet, </w:t>
      </w:r>
      <w:r w:rsidRPr="005434B6">
        <w:rPr>
          <w:rFonts w:asciiTheme="minorHAnsi" w:hAnsiTheme="minorHAnsi" w:cstheme="minorHAnsi"/>
        </w:rPr>
        <w:t>sera composé</w:t>
      </w:r>
      <w:r w:rsidR="000C1B50">
        <w:rPr>
          <w:rFonts w:asciiTheme="minorHAnsi" w:hAnsiTheme="minorHAnsi" w:cstheme="minorHAnsi"/>
        </w:rPr>
        <w:t>e</w:t>
      </w:r>
      <w:r w:rsidRPr="005434B6">
        <w:rPr>
          <w:rFonts w:asciiTheme="minorHAnsi" w:hAnsiTheme="minorHAnsi" w:cstheme="minorHAnsi"/>
        </w:rPr>
        <w:t>, en plus du MEDD et du PNUD, du S</w:t>
      </w:r>
      <w:r>
        <w:rPr>
          <w:rFonts w:asciiTheme="minorHAnsi" w:hAnsiTheme="minorHAnsi" w:cstheme="minorHAnsi"/>
        </w:rPr>
        <w:t>E FONAREDD/</w:t>
      </w:r>
      <w:r w:rsidRPr="005434B6">
        <w:rPr>
          <w:rFonts w:asciiTheme="minorHAnsi" w:hAnsiTheme="minorHAnsi" w:cstheme="minorHAnsi"/>
        </w:rPr>
        <w:t>CAFI, des représentants d</w:t>
      </w:r>
      <w:r w:rsidR="003D7B18">
        <w:rPr>
          <w:rFonts w:asciiTheme="minorHAnsi" w:hAnsiTheme="minorHAnsi" w:cstheme="minorHAnsi"/>
        </w:rPr>
        <w:t>u ministère chargé des finances et d</w:t>
      </w:r>
      <w:r w:rsidRPr="005434B6">
        <w:rPr>
          <w:rFonts w:asciiTheme="minorHAnsi" w:hAnsiTheme="minorHAnsi" w:cstheme="minorHAnsi"/>
        </w:rPr>
        <w:t xml:space="preserve">es </w:t>
      </w:r>
      <w:r w:rsidR="003D7B18">
        <w:rPr>
          <w:rFonts w:asciiTheme="minorHAnsi" w:hAnsiTheme="minorHAnsi" w:cstheme="minorHAnsi"/>
        </w:rPr>
        <w:t xml:space="preserve">autres </w:t>
      </w:r>
      <w:r w:rsidRPr="005434B6">
        <w:rPr>
          <w:rFonts w:asciiTheme="minorHAnsi" w:hAnsiTheme="minorHAnsi" w:cstheme="minorHAnsi"/>
        </w:rPr>
        <w:t xml:space="preserve">ministères sectoriels </w:t>
      </w:r>
      <w:r>
        <w:rPr>
          <w:rFonts w:asciiTheme="minorHAnsi" w:hAnsiTheme="minorHAnsi" w:cstheme="minorHAnsi"/>
        </w:rPr>
        <w:t xml:space="preserve">clés </w:t>
      </w:r>
      <w:r w:rsidRPr="005434B6">
        <w:rPr>
          <w:rFonts w:asciiTheme="minorHAnsi" w:hAnsiTheme="minorHAnsi" w:cstheme="minorHAnsi"/>
        </w:rPr>
        <w:t>impliqués dans la mise en œuvre de la CDN et le développement des marchés du carbone</w:t>
      </w:r>
      <w:r>
        <w:rPr>
          <w:rFonts w:asciiTheme="minorHAnsi" w:hAnsiTheme="minorHAnsi" w:cstheme="minorHAnsi"/>
        </w:rPr>
        <w:t xml:space="preserve">, du </w:t>
      </w:r>
      <w:r w:rsidRPr="005434B6">
        <w:rPr>
          <w:rFonts w:asciiTheme="minorHAnsi" w:hAnsiTheme="minorHAnsi" w:cstheme="minorHAnsi"/>
        </w:rPr>
        <w:t>secteur privé, des Partenaires Techniques et Financiers</w:t>
      </w:r>
      <w:r>
        <w:rPr>
          <w:rFonts w:asciiTheme="minorHAnsi" w:hAnsiTheme="minorHAnsi" w:cstheme="minorHAnsi"/>
        </w:rPr>
        <w:t xml:space="preserve">, </w:t>
      </w:r>
      <w:r w:rsidRPr="005434B6">
        <w:rPr>
          <w:rFonts w:asciiTheme="minorHAnsi" w:hAnsiTheme="minorHAnsi" w:cstheme="minorHAnsi"/>
        </w:rPr>
        <w:t xml:space="preserve">de la société civile représentant les intérêts des Communautés Locales et Peuples Autochtones, </w:t>
      </w:r>
      <w:r>
        <w:rPr>
          <w:rFonts w:asciiTheme="minorHAnsi" w:hAnsiTheme="minorHAnsi" w:cstheme="minorHAnsi"/>
        </w:rPr>
        <w:t>d</w:t>
      </w:r>
      <w:r w:rsidRPr="005434B6">
        <w:rPr>
          <w:rFonts w:asciiTheme="minorHAnsi" w:hAnsiTheme="minorHAnsi" w:cstheme="minorHAnsi"/>
        </w:rPr>
        <w:t>es institutions de recherche.</w:t>
      </w:r>
      <w:r w:rsidRPr="005434B6">
        <w:t xml:space="preserve"> </w:t>
      </w:r>
      <w:r w:rsidRPr="005434B6">
        <w:rPr>
          <w:rFonts w:asciiTheme="minorHAnsi" w:hAnsiTheme="minorHAnsi" w:cstheme="minorHAnsi"/>
        </w:rPr>
        <w:t>Par ailleurs, un comité</w:t>
      </w:r>
      <w:r w:rsidR="009A1ED5">
        <w:rPr>
          <w:rFonts w:asciiTheme="minorHAnsi" w:hAnsiTheme="minorHAnsi" w:cstheme="minorHAnsi"/>
        </w:rPr>
        <w:t xml:space="preserve"> technique à caractère consultatif </w:t>
      </w:r>
      <w:r w:rsidRPr="005434B6">
        <w:rPr>
          <w:rFonts w:asciiTheme="minorHAnsi" w:hAnsiTheme="minorHAnsi" w:cstheme="minorHAnsi"/>
        </w:rPr>
        <w:t xml:space="preserve">co-présidé par le </w:t>
      </w:r>
      <w:r>
        <w:rPr>
          <w:rFonts w:asciiTheme="minorHAnsi" w:hAnsiTheme="minorHAnsi" w:cstheme="minorHAnsi"/>
        </w:rPr>
        <w:t>M</w:t>
      </w:r>
      <w:r w:rsidRPr="005434B6">
        <w:rPr>
          <w:rFonts w:asciiTheme="minorHAnsi" w:hAnsiTheme="minorHAnsi" w:cstheme="minorHAnsi"/>
        </w:rPr>
        <w:t>inistère des Finances</w:t>
      </w:r>
      <w:r w:rsidR="000C1B50">
        <w:rPr>
          <w:rFonts w:asciiTheme="minorHAnsi" w:hAnsiTheme="minorHAnsi" w:cstheme="minorHAnsi"/>
        </w:rPr>
        <w:t xml:space="preserve"> et</w:t>
      </w:r>
      <w:r>
        <w:rPr>
          <w:rFonts w:asciiTheme="minorHAnsi" w:hAnsiTheme="minorHAnsi" w:cstheme="minorHAnsi"/>
        </w:rPr>
        <w:t xml:space="preserve"> le MEDD</w:t>
      </w:r>
      <w:r w:rsidR="000C1B50">
        <w:rPr>
          <w:rFonts w:asciiTheme="minorHAnsi" w:hAnsiTheme="minorHAnsi" w:cstheme="minorHAnsi"/>
        </w:rPr>
        <w:t xml:space="preserve"> </w:t>
      </w:r>
      <w:r>
        <w:rPr>
          <w:rFonts w:asciiTheme="minorHAnsi" w:hAnsiTheme="minorHAnsi" w:cstheme="minorHAnsi"/>
        </w:rPr>
        <w:t xml:space="preserve">sera aussi mis en place et </w:t>
      </w:r>
      <w:r w:rsidRPr="005434B6">
        <w:rPr>
          <w:rFonts w:asciiTheme="minorHAnsi" w:hAnsiTheme="minorHAnsi" w:cstheme="minorHAnsi"/>
        </w:rPr>
        <w:t xml:space="preserve">servira de plateforme pour statuer, en liaison avec l’ARMCA, sur les instruments financiers </w:t>
      </w:r>
      <w:r>
        <w:rPr>
          <w:rFonts w:asciiTheme="minorHAnsi" w:hAnsiTheme="minorHAnsi" w:cstheme="minorHAnsi"/>
        </w:rPr>
        <w:t xml:space="preserve">pérennes </w:t>
      </w:r>
      <w:r w:rsidRPr="005434B6">
        <w:rPr>
          <w:rFonts w:asciiTheme="minorHAnsi" w:hAnsiTheme="minorHAnsi" w:cstheme="minorHAnsi"/>
        </w:rPr>
        <w:t xml:space="preserve">et le mécanisme de partage des bénéfices </w:t>
      </w:r>
      <w:r>
        <w:rPr>
          <w:rFonts w:asciiTheme="minorHAnsi" w:hAnsiTheme="minorHAnsi" w:cstheme="minorHAnsi"/>
        </w:rPr>
        <w:t>à promouvoir</w:t>
      </w:r>
      <w:r w:rsidRPr="005434B6">
        <w:rPr>
          <w:rFonts w:asciiTheme="minorHAnsi" w:hAnsiTheme="minorHAnsi" w:cstheme="minorHAnsi"/>
        </w:rPr>
        <w:t xml:space="preserve"> dans le cadre du Projet</w:t>
      </w:r>
      <w:r>
        <w:rPr>
          <w:rFonts w:asciiTheme="minorHAnsi" w:hAnsiTheme="minorHAnsi" w:cstheme="minorHAnsi"/>
        </w:rPr>
        <w:t>.</w:t>
      </w:r>
    </w:p>
    <w:p w14:paraId="146B64F0" w14:textId="78C933A9" w:rsidR="00B82575" w:rsidRPr="002C77BE" w:rsidRDefault="00B82575" w:rsidP="00FB7BE6">
      <w:pPr>
        <w:spacing w:after="160" w:line="259" w:lineRule="auto"/>
        <w:jc w:val="both"/>
        <w:rPr>
          <w:rFonts w:ascii="Avenir Next LT Pro" w:hAnsi="Avenir Next LT Pro"/>
          <w:color w:val="3E762A" w:themeColor="accent1" w:themeShade="BF"/>
          <w:lang w:eastAsia="fr-FR"/>
        </w:rPr>
      </w:pPr>
      <w:r w:rsidRPr="002C77BE">
        <w:rPr>
          <w:rFonts w:ascii="Avenir Next LT Pro" w:hAnsi="Avenir Next LT Pro"/>
          <w:color w:val="3E762A" w:themeColor="accent1" w:themeShade="BF"/>
          <w:lang w:eastAsia="fr-FR"/>
        </w:rPr>
        <w:lastRenderedPageBreak/>
        <w:br w:type="page"/>
      </w:r>
    </w:p>
    <w:sdt>
      <w:sdtPr>
        <w:rPr>
          <w:rFonts w:ascii="Avenir Next LT Pro" w:eastAsia="Calibri" w:hAnsi="Avenir Next LT Pro" w:cs="Times New Roman"/>
          <w:b/>
          <w:bCs/>
          <w:color w:val="000000" w:themeColor="text1"/>
          <w:sz w:val="22"/>
          <w:szCs w:val="22"/>
          <w:lang w:val="fr-FR"/>
        </w:rPr>
        <w:id w:val="-475071453"/>
        <w:docPartObj>
          <w:docPartGallery w:val="Table of Contents"/>
          <w:docPartUnique/>
        </w:docPartObj>
      </w:sdtPr>
      <w:sdtEndPr>
        <w:rPr>
          <w:noProof/>
          <w:color w:val="auto"/>
        </w:rPr>
      </w:sdtEndPr>
      <w:sdtContent>
        <w:p w14:paraId="1C687F7F" w14:textId="45B2E2D7" w:rsidR="0068302F" w:rsidRPr="00B24D0D" w:rsidRDefault="00C1381A" w:rsidP="0068302F">
          <w:pPr>
            <w:pStyle w:val="En-ttedetabledesmatires"/>
            <w:spacing w:line="240" w:lineRule="auto"/>
            <w:rPr>
              <w:rFonts w:ascii="Avenir Next LT Pro" w:hAnsi="Avenir Next LT Pro"/>
              <w:b/>
              <w:bCs/>
              <w:color w:val="000000" w:themeColor="text1"/>
              <w:lang w:val="fr-FR"/>
            </w:rPr>
          </w:pPr>
          <w:r w:rsidRPr="00B24D0D">
            <w:rPr>
              <w:rFonts w:ascii="Avenir Next LT Pro" w:hAnsi="Avenir Next LT Pro"/>
              <w:b/>
              <w:bCs/>
              <w:color w:val="000000" w:themeColor="text1"/>
              <w:lang w:val="fr-FR"/>
            </w:rPr>
            <w:t xml:space="preserve">Sommaire </w:t>
          </w:r>
        </w:p>
        <w:p w14:paraId="4B2686F1" w14:textId="7571C4E1" w:rsidR="00451976" w:rsidRPr="00DD741A" w:rsidRDefault="00ED5DBB" w:rsidP="00451976">
          <w:pPr>
            <w:pStyle w:val="TM1"/>
            <w:rPr>
              <w:rFonts w:asciiTheme="minorHAnsi" w:eastAsiaTheme="minorEastAsia" w:hAnsiTheme="minorHAnsi" w:cstheme="minorBidi"/>
              <w:noProof/>
              <w:kern w:val="2"/>
              <w:sz w:val="24"/>
              <w:szCs w:val="24"/>
              <w:lang w:val="fr-CD" w:eastAsia="fr-CD"/>
            </w:rPr>
          </w:pPr>
          <w:r>
            <w:rPr>
              <w:rFonts w:ascii="Avenir Next LT Pro" w:hAnsi="Avenir Next LT Pro"/>
            </w:rPr>
            <w:fldChar w:fldCharType="begin"/>
          </w:r>
          <w:r>
            <w:rPr>
              <w:rFonts w:ascii="Avenir Next LT Pro" w:hAnsi="Avenir Next LT Pro"/>
            </w:rPr>
            <w:instrText xml:space="preserve"> TOC \o "1-3" \h \z \u </w:instrText>
          </w:r>
          <w:r>
            <w:rPr>
              <w:rFonts w:ascii="Avenir Next LT Pro" w:hAnsi="Avenir Next LT Pro"/>
            </w:rPr>
            <w:fldChar w:fldCharType="separate"/>
          </w:r>
          <w:hyperlink w:anchor="_Toc163230354" w:history="1">
            <w:r w:rsidR="00451976" w:rsidRPr="006A7EB5">
              <w:rPr>
                <w:rStyle w:val="Lienhypertexte"/>
                <w:rFonts w:ascii="Avenir Next LT Pro" w:hAnsi="Avenir Next LT Pro"/>
                <w:noProof/>
              </w:rPr>
              <w:t>Effets CAFI</w:t>
            </w:r>
            <w:r w:rsidR="00451976">
              <w:rPr>
                <w:noProof/>
                <w:webHidden/>
              </w:rPr>
              <w:tab/>
            </w:r>
            <w:r w:rsidR="00451976">
              <w:rPr>
                <w:noProof/>
                <w:webHidden/>
              </w:rPr>
              <w:fldChar w:fldCharType="begin"/>
            </w:r>
            <w:r w:rsidR="00451976">
              <w:rPr>
                <w:noProof/>
                <w:webHidden/>
              </w:rPr>
              <w:instrText xml:space="preserve"> PAGEREF _Toc163230354 \h </w:instrText>
            </w:r>
            <w:r w:rsidR="00451976">
              <w:rPr>
                <w:noProof/>
                <w:webHidden/>
              </w:rPr>
            </w:r>
            <w:r w:rsidR="00451976">
              <w:rPr>
                <w:noProof/>
                <w:webHidden/>
              </w:rPr>
              <w:fldChar w:fldCharType="separate"/>
            </w:r>
            <w:r w:rsidR="0059639C">
              <w:rPr>
                <w:noProof/>
                <w:webHidden/>
              </w:rPr>
              <w:t>4</w:t>
            </w:r>
            <w:r w:rsidR="00451976">
              <w:rPr>
                <w:noProof/>
                <w:webHidden/>
              </w:rPr>
              <w:fldChar w:fldCharType="end"/>
            </w:r>
          </w:hyperlink>
        </w:p>
        <w:p w14:paraId="2013A8D7" w14:textId="289AF0AA"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55" w:history="1">
            <w:r w:rsidR="00451976" w:rsidRPr="006A7EB5">
              <w:rPr>
                <w:rStyle w:val="Lienhypertexte"/>
                <w:rFonts w:ascii="Avenir Next LT Pro" w:hAnsi="Avenir Next LT Pro"/>
                <w:noProof/>
              </w:rPr>
              <w:t>Résumé exécutif</w:t>
            </w:r>
            <w:r w:rsidR="00451976">
              <w:rPr>
                <w:noProof/>
                <w:webHidden/>
              </w:rPr>
              <w:tab/>
            </w:r>
            <w:r w:rsidR="00451976">
              <w:rPr>
                <w:noProof/>
                <w:webHidden/>
              </w:rPr>
              <w:fldChar w:fldCharType="begin"/>
            </w:r>
            <w:r w:rsidR="00451976">
              <w:rPr>
                <w:noProof/>
                <w:webHidden/>
              </w:rPr>
              <w:instrText xml:space="preserve"> PAGEREF _Toc163230355 \h </w:instrText>
            </w:r>
            <w:r w:rsidR="00451976">
              <w:rPr>
                <w:noProof/>
                <w:webHidden/>
              </w:rPr>
            </w:r>
            <w:r w:rsidR="00451976">
              <w:rPr>
                <w:noProof/>
                <w:webHidden/>
              </w:rPr>
              <w:fldChar w:fldCharType="separate"/>
            </w:r>
            <w:r w:rsidR="0059639C">
              <w:rPr>
                <w:noProof/>
                <w:webHidden/>
              </w:rPr>
              <w:t>5</w:t>
            </w:r>
            <w:r w:rsidR="00451976">
              <w:rPr>
                <w:noProof/>
                <w:webHidden/>
              </w:rPr>
              <w:fldChar w:fldCharType="end"/>
            </w:r>
          </w:hyperlink>
        </w:p>
        <w:p w14:paraId="2D40F90D" w14:textId="5B0F6639"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56" w:history="1">
            <w:r w:rsidR="00451976" w:rsidRPr="006A7EB5">
              <w:rPr>
                <w:rStyle w:val="Lienhypertexte"/>
                <w:rFonts w:ascii="Avenir Next LT Pro" w:hAnsi="Avenir Next LT Pro"/>
                <w:noProof/>
              </w:rPr>
              <w:t>Acronymes</w:t>
            </w:r>
            <w:r w:rsidR="00451976">
              <w:rPr>
                <w:noProof/>
                <w:webHidden/>
              </w:rPr>
              <w:tab/>
            </w:r>
            <w:r w:rsidR="00451976">
              <w:rPr>
                <w:noProof/>
                <w:webHidden/>
              </w:rPr>
              <w:fldChar w:fldCharType="begin"/>
            </w:r>
            <w:r w:rsidR="00451976">
              <w:rPr>
                <w:noProof/>
                <w:webHidden/>
              </w:rPr>
              <w:instrText xml:space="preserve"> PAGEREF _Toc163230356 \h </w:instrText>
            </w:r>
            <w:r w:rsidR="00451976">
              <w:rPr>
                <w:noProof/>
                <w:webHidden/>
              </w:rPr>
            </w:r>
            <w:r w:rsidR="00451976">
              <w:rPr>
                <w:noProof/>
                <w:webHidden/>
              </w:rPr>
              <w:fldChar w:fldCharType="separate"/>
            </w:r>
            <w:r w:rsidR="0059639C">
              <w:rPr>
                <w:noProof/>
                <w:webHidden/>
              </w:rPr>
              <w:t>10</w:t>
            </w:r>
            <w:r w:rsidR="00451976">
              <w:rPr>
                <w:noProof/>
                <w:webHidden/>
              </w:rPr>
              <w:fldChar w:fldCharType="end"/>
            </w:r>
          </w:hyperlink>
        </w:p>
        <w:p w14:paraId="309F435C" w14:textId="78D188F2"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57" w:history="1">
            <w:r w:rsidR="00451976" w:rsidRPr="006A7EB5">
              <w:rPr>
                <w:rStyle w:val="Lienhypertexte"/>
                <w:rFonts w:ascii="Avenir Next LT Pro" w:hAnsi="Avenir Next LT Pro"/>
                <w:noProof/>
              </w:rPr>
              <w:t>Tableaux et figures</w:t>
            </w:r>
            <w:r w:rsidR="00451976">
              <w:rPr>
                <w:noProof/>
                <w:webHidden/>
              </w:rPr>
              <w:tab/>
            </w:r>
            <w:r w:rsidR="00451976">
              <w:rPr>
                <w:noProof/>
                <w:webHidden/>
              </w:rPr>
              <w:fldChar w:fldCharType="begin"/>
            </w:r>
            <w:r w:rsidR="00451976">
              <w:rPr>
                <w:noProof/>
                <w:webHidden/>
              </w:rPr>
              <w:instrText xml:space="preserve"> PAGEREF _Toc163230357 \h </w:instrText>
            </w:r>
            <w:r w:rsidR="00451976">
              <w:rPr>
                <w:noProof/>
                <w:webHidden/>
              </w:rPr>
            </w:r>
            <w:r w:rsidR="00451976">
              <w:rPr>
                <w:noProof/>
                <w:webHidden/>
              </w:rPr>
              <w:fldChar w:fldCharType="separate"/>
            </w:r>
            <w:r w:rsidR="0059639C">
              <w:rPr>
                <w:noProof/>
                <w:webHidden/>
              </w:rPr>
              <w:t>10</w:t>
            </w:r>
            <w:r w:rsidR="00451976">
              <w:rPr>
                <w:noProof/>
                <w:webHidden/>
              </w:rPr>
              <w:fldChar w:fldCharType="end"/>
            </w:r>
          </w:hyperlink>
        </w:p>
        <w:p w14:paraId="68E7FFE1" w14:textId="197FAFDE"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58" w:history="1">
            <w:r w:rsidR="00451976" w:rsidRPr="006A7EB5">
              <w:rPr>
                <w:rStyle w:val="Lienhypertexte"/>
                <w:rFonts w:ascii="Avenir Next LT Pro" w:hAnsi="Avenir Next LT Pro"/>
                <w:noProof/>
              </w:rPr>
              <w:t>1)</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Introduction</w:t>
            </w:r>
            <w:r w:rsidR="00451976">
              <w:rPr>
                <w:noProof/>
                <w:webHidden/>
              </w:rPr>
              <w:tab/>
            </w:r>
            <w:r w:rsidR="00451976">
              <w:rPr>
                <w:noProof/>
                <w:webHidden/>
              </w:rPr>
              <w:fldChar w:fldCharType="begin"/>
            </w:r>
            <w:r w:rsidR="00451976">
              <w:rPr>
                <w:noProof/>
                <w:webHidden/>
              </w:rPr>
              <w:instrText xml:space="preserve"> PAGEREF _Toc163230358 \h </w:instrText>
            </w:r>
            <w:r w:rsidR="00451976">
              <w:rPr>
                <w:noProof/>
                <w:webHidden/>
              </w:rPr>
            </w:r>
            <w:r w:rsidR="00451976">
              <w:rPr>
                <w:noProof/>
                <w:webHidden/>
              </w:rPr>
              <w:fldChar w:fldCharType="separate"/>
            </w:r>
            <w:r w:rsidR="0059639C">
              <w:rPr>
                <w:noProof/>
                <w:webHidden/>
              </w:rPr>
              <w:t>11</w:t>
            </w:r>
            <w:r w:rsidR="00451976">
              <w:rPr>
                <w:noProof/>
                <w:webHidden/>
              </w:rPr>
              <w:fldChar w:fldCharType="end"/>
            </w:r>
          </w:hyperlink>
        </w:p>
        <w:p w14:paraId="27504450" w14:textId="528A862E"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59" w:history="1">
            <w:r w:rsidR="00451976" w:rsidRPr="006A7EB5">
              <w:rPr>
                <w:rStyle w:val="Lienhypertexte"/>
                <w:rFonts w:ascii="Avenir Next LT Pro" w:hAnsi="Avenir Next LT Pro"/>
                <w:noProof/>
              </w:rPr>
              <w:t>2)</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Analyse de situation spécifique au contexte du projet</w:t>
            </w:r>
            <w:r w:rsidR="00451976">
              <w:rPr>
                <w:noProof/>
                <w:webHidden/>
              </w:rPr>
              <w:tab/>
            </w:r>
            <w:r w:rsidR="00451976">
              <w:rPr>
                <w:noProof/>
                <w:webHidden/>
              </w:rPr>
              <w:fldChar w:fldCharType="begin"/>
            </w:r>
            <w:r w:rsidR="00451976">
              <w:rPr>
                <w:noProof/>
                <w:webHidden/>
              </w:rPr>
              <w:instrText xml:space="preserve"> PAGEREF _Toc163230359 \h </w:instrText>
            </w:r>
            <w:r w:rsidR="00451976">
              <w:rPr>
                <w:noProof/>
                <w:webHidden/>
              </w:rPr>
            </w:r>
            <w:r w:rsidR="00451976">
              <w:rPr>
                <w:noProof/>
                <w:webHidden/>
              </w:rPr>
              <w:fldChar w:fldCharType="separate"/>
            </w:r>
            <w:r w:rsidR="0059639C">
              <w:rPr>
                <w:noProof/>
                <w:webHidden/>
              </w:rPr>
              <w:t>12</w:t>
            </w:r>
            <w:r w:rsidR="00451976">
              <w:rPr>
                <w:noProof/>
                <w:webHidden/>
              </w:rPr>
              <w:fldChar w:fldCharType="end"/>
            </w:r>
          </w:hyperlink>
        </w:p>
        <w:p w14:paraId="4D598847" w14:textId="274A64D6"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60" w:history="1">
            <w:r w:rsidR="00451976" w:rsidRPr="006A7EB5">
              <w:rPr>
                <w:rStyle w:val="Lienhypertexte"/>
                <w:rFonts w:ascii="Avenir Next LT Pro" w:hAnsi="Avenir Next LT Pro"/>
                <w:noProof/>
              </w:rPr>
              <w:t>a)</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Description du contexte général de la zone d’intervention</w:t>
            </w:r>
            <w:r w:rsidR="00451976">
              <w:rPr>
                <w:noProof/>
                <w:webHidden/>
              </w:rPr>
              <w:tab/>
            </w:r>
            <w:r w:rsidR="00451976">
              <w:rPr>
                <w:noProof/>
                <w:webHidden/>
              </w:rPr>
              <w:fldChar w:fldCharType="begin"/>
            </w:r>
            <w:r w:rsidR="00451976">
              <w:rPr>
                <w:noProof/>
                <w:webHidden/>
              </w:rPr>
              <w:instrText xml:space="preserve"> PAGEREF _Toc163230360 \h </w:instrText>
            </w:r>
            <w:r w:rsidR="00451976">
              <w:rPr>
                <w:noProof/>
                <w:webHidden/>
              </w:rPr>
            </w:r>
            <w:r w:rsidR="00451976">
              <w:rPr>
                <w:noProof/>
                <w:webHidden/>
              </w:rPr>
              <w:fldChar w:fldCharType="separate"/>
            </w:r>
            <w:r w:rsidR="0059639C">
              <w:rPr>
                <w:b/>
                <w:bCs/>
                <w:noProof/>
                <w:webHidden/>
              </w:rPr>
              <w:t>Erreur ! Signet non défini.</w:t>
            </w:r>
            <w:r w:rsidR="00451976">
              <w:rPr>
                <w:noProof/>
                <w:webHidden/>
              </w:rPr>
              <w:fldChar w:fldCharType="end"/>
            </w:r>
          </w:hyperlink>
        </w:p>
        <w:p w14:paraId="7ECDF61D" w14:textId="6C0B1C36"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61" w:history="1">
            <w:r w:rsidR="00451976" w:rsidRPr="006A7EB5">
              <w:rPr>
                <w:rStyle w:val="Lienhypertexte"/>
                <w:rFonts w:ascii="Avenir Next LT Pro" w:hAnsi="Avenir Next LT Pro"/>
                <w:noProof/>
              </w:rPr>
              <w:t>b)</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Evolution du couvert forestier et description des moteurs de déforestation et de dégradation directs et indirects dans la zone du projet</w:t>
            </w:r>
            <w:r w:rsidR="00451976">
              <w:rPr>
                <w:noProof/>
                <w:webHidden/>
              </w:rPr>
              <w:tab/>
            </w:r>
            <w:r w:rsidR="00451976">
              <w:rPr>
                <w:noProof/>
                <w:webHidden/>
              </w:rPr>
              <w:fldChar w:fldCharType="begin"/>
            </w:r>
            <w:r w:rsidR="00451976">
              <w:rPr>
                <w:noProof/>
                <w:webHidden/>
              </w:rPr>
              <w:instrText xml:space="preserve"> PAGEREF _Toc163230361 \h </w:instrText>
            </w:r>
            <w:r w:rsidR="00451976">
              <w:rPr>
                <w:noProof/>
                <w:webHidden/>
              </w:rPr>
            </w:r>
            <w:r w:rsidR="00451976">
              <w:rPr>
                <w:noProof/>
                <w:webHidden/>
              </w:rPr>
              <w:fldChar w:fldCharType="separate"/>
            </w:r>
            <w:r w:rsidR="0059639C">
              <w:rPr>
                <w:b/>
                <w:bCs/>
                <w:noProof/>
                <w:webHidden/>
              </w:rPr>
              <w:t>Erreur ! Signet non défini.</w:t>
            </w:r>
            <w:r w:rsidR="00451976">
              <w:rPr>
                <w:noProof/>
                <w:webHidden/>
              </w:rPr>
              <w:fldChar w:fldCharType="end"/>
            </w:r>
          </w:hyperlink>
        </w:p>
        <w:p w14:paraId="3E67AD12" w14:textId="014645D9"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62" w:history="1">
            <w:r w:rsidR="00451976" w:rsidRPr="006A7EB5">
              <w:rPr>
                <w:rStyle w:val="Lienhypertexte"/>
                <w:rFonts w:ascii="Avenir Next LT Pro" w:hAnsi="Avenir Next LT Pro"/>
                <w:noProof/>
              </w:rPr>
              <w:t>c)</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Objectifs général et spécifiques du projet</w:t>
            </w:r>
            <w:r w:rsidR="00451976">
              <w:rPr>
                <w:noProof/>
                <w:webHidden/>
              </w:rPr>
              <w:tab/>
            </w:r>
            <w:r w:rsidR="00451976">
              <w:rPr>
                <w:noProof/>
                <w:webHidden/>
              </w:rPr>
              <w:fldChar w:fldCharType="begin"/>
            </w:r>
            <w:r w:rsidR="00451976">
              <w:rPr>
                <w:noProof/>
                <w:webHidden/>
              </w:rPr>
              <w:instrText xml:space="preserve"> PAGEREF _Toc163230362 \h </w:instrText>
            </w:r>
            <w:r w:rsidR="00451976">
              <w:rPr>
                <w:noProof/>
                <w:webHidden/>
              </w:rPr>
            </w:r>
            <w:r w:rsidR="00451976">
              <w:rPr>
                <w:noProof/>
                <w:webHidden/>
              </w:rPr>
              <w:fldChar w:fldCharType="separate"/>
            </w:r>
            <w:r w:rsidR="0059639C">
              <w:rPr>
                <w:b/>
                <w:bCs/>
                <w:noProof/>
                <w:webHidden/>
              </w:rPr>
              <w:t>Erreur ! Signet non défini.</w:t>
            </w:r>
            <w:r w:rsidR="00451976">
              <w:rPr>
                <w:noProof/>
                <w:webHidden/>
              </w:rPr>
              <w:fldChar w:fldCharType="end"/>
            </w:r>
          </w:hyperlink>
        </w:p>
        <w:p w14:paraId="2A67732B" w14:textId="7FF23D9E"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63" w:history="1">
            <w:r w:rsidR="00451976" w:rsidRPr="006A7EB5">
              <w:rPr>
                <w:rStyle w:val="Lienhypertexte"/>
                <w:rFonts w:ascii="Avenir Next LT Pro" w:hAnsi="Avenir Next LT Pro"/>
                <w:noProof/>
              </w:rPr>
              <w:t>3)</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Stratégie du projet</w:t>
            </w:r>
            <w:r w:rsidR="00451976">
              <w:rPr>
                <w:noProof/>
                <w:webHidden/>
              </w:rPr>
              <w:tab/>
            </w:r>
            <w:r w:rsidR="00451976">
              <w:rPr>
                <w:noProof/>
                <w:webHidden/>
              </w:rPr>
              <w:fldChar w:fldCharType="begin"/>
            </w:r>
            <w:r w:rsidR="00451976">
              <w:rPr>
                <w:noProof/>
                <w:webHidden/>
              </w:rPr>
              <w:instrText xml:space="preserve"> PAGEREF _Toc163230363 \h </w:instrText>
            </w:r>
            <w:r w:rsidR="00451976">
              <w:rPr>
                <w:noProof/>
                <w:webHidden/>
              </w:rPr>
            </w:r>
            <w:r w:rsidR="00451976">
              <w:rPr>
                <w:noProof/>
                <w:webHidden/>
              </w:rPr>
              <w:fldChar w:fldCharType="separate"/>
            </w:r>
            <w:r w:rsidR="0059639C">
              <w:rPr>
                <w:noProof/>
                <w:webHidden/>
              </w:rPr>
              <w:t>13</w:t>
            </w:r>
            <w:r w:rsidR="00451976">
              <w:rPr>
                <w:noProof/>
                <w:webHidden/>
              </w:rPr>
              <w:fldChar w:fldCharType="end"/>
            </w:r>
          </w:hyperlink>
        </w:p>
        <w:p w14:paraId="5DB9F41D" w14:textId="0B32C18D"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64" w:history="1">
            <w:r w:rsidR="00451976" w:rsidRPr="006A7EB5">
              <w:rPr>
                <w:rStyle w:val="Lienhypertexte"/>
                <w:rFonts w:ascii="Avenir Next LT Pro" w:hAnsi="Avenir Next LT Pro"/>
                <w:noProof/>
              </w:rPr>
              <w:t>a)</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Initiatives passées et leçons apprises (nationales et internationales)</w:t>
            </w:r>
            <w:r w:rsidR="00451976">
              <w:rPr>
                <w:noProof/>
                <w:webHidden/>
              </w:rPr>
              <w:tab/>
            </w:r>
            <w:r w:rsidR="00451976">
              <w:rPr>
                <w:noProof/>
                <w:webHidden/>
              </w:rPr>
              <w:fldChar w:fldCharType="begin"/>
            </w:r>
            <w:r w:rsidR="00451976">
              <w:rPr>
                <w:noProof/>
                <w:webHidden/>
              </w:rPr>
              <w:instrText xml:space="preserve"> PAGEREF _Toc163230364 \h </w:instrText>
            </w:r>
            <w:r w:rsidR="00451976">
              <w:rPr>
                <w:noProof/>
                <w:webHidden/>
              </w:rPr>
            </w:r>
            <w:r w:rsidR="00451976">
              <w:rPr>
                <w:noProof/>
                <w:webHidden/>
              </w:rPr>
              <w:fldChar w:fldCharType="separate"/>
            </w:r>
            <w:r w:rsidR="0059639C">
              <w:rPr>
                <w:noProof/>
                <w:webHidden/>
              </w:rPr>
              <w:t>13</w:t>
            </w:r>
            <w:r w:rsidR="00451976">
              <w:rPr>
                <w:noProof/>
                <w:webHidden/>
              </w:rPr>
              <w:fldChar w:fldCharType="end"/>
            </w:r>
          </w:hyperlink>
        </w:p>
        <w:p w14:paraId="41D6DEEB" w14:textId="3537F37F"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65" w:history="1">
            <w:r w:rsidR="00451976" w:rsidRPr="006A7EB5">
              <w:rPr>
                <w:rStyle w:val="Lienhypertexte"/>
                <w:rFonts w:ascii="Avenir Next LT Pro" w:hAnsi="Avenir Next LT Pro"/>
                <w:noProof/>
              </w:rPr>
              <w:t>b)</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Stratégie d’intervention</w:t>
            </w:r>
            <w:r w:rsidR="00451976">
              <w:rPr>
                <w:noProof/>
                <w:webHidden/>
              </w:rPr>
              <w:tab/>
            </w:r>
            <w:r w:rsidR="00451976">
              <w:rPr>
                <w:noProof/>
                <w:webHidden/>
              </w:rPr>
              <w:fldChar w:fldCharType="begin"/>
            </w:r>
            <w:r w:rsidR="00451976">
              <w:rPr>
                <w:noProof/>
                <w:webHidden/>
              </w:rPr>
              <w:instrText xml:space="preserve"> PAGEREF _Toc163230365 \h </w:instrText>
            </w:r>
            <w:r w:rsidR="00451976">
              <w:rPr>
                <w:noProof/>
                <w:webHidden/>
              </w:rPr>
            </w:r>
            <w:r w:rsidR="00451976">
              <w:rPr>
                <w:noProof/>
                <w:webHidden/>
              </w:rPr>
              <w:fldChar w:fldCharType="separate"/>
            </w:r>
            <w:r w:rsidR="0059639C">
              <w:rPr>
                <w:noProof/>
                <w:webHidden/>
              </w:rPr>
              <w:t>17</w:t>
            </w:r>
            <w:r w:rsidR="00451976">
              <w:rPr>
                <w:noProof/>
                <w:webHidden/>
              </w:rPr>
              <w:fldChar w:fldCharType="end"/>
            </w:r>
          </w:hyperlink>
        </w:p>
        <w:p w14:paraId="6B32A3CD" w14:textId="3E852E99"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366" w:history="1">
            <w:r w:rsidR="00451976" w:rsidRPr="006A7EB5">
              <w:rPr>
                <w:rStyle w:val="Lienhypertexte"/>
                <w:noProof/>
              </w:rPr>
              <w:t xml:space="preserve">Résumé narratif et schéma de la théorie du changement </w:t>
            </w:r>
            <w:r w:rsidR="00451976">
              <w:rPr>
                <w:noProof/>
                <w:webHidden/>
              </w:rPr>
              <w:tab/>
            </w:r>
            <w:r w:rsidR="00451976">
              <w:rPr>
                <w:noProof/>
                <w:webHidden/>
              </w:rPr>
              <w:fldChar w:fldCharType="begin"/>
            </w:r>
            <w:r w:rsidR="00451976">
              <w:rPr>
                <w:noProof/>
                <w:webHidden/>
              </w:rPr>
              <w:instrText xml:space="preserve"> PAGEREF _Toc163230366 \h </w:instrText>
            </w:r>
            <w:r w:rsidR="00451976">
              <w:rPr>
                <w:noProof/>
                <w:webHidden/>
              </w:rPr>
            </w:r>
            <w:r w:rsidR="00451976">
              <w:rPr>
                <w:noProof/>
                <w:webHidden/>
              </w:rPr>
              <w:fldChar w:fldCharType="separate"/>
            </w:r>
            <w:r w:rsidR="0059639C">
              <w:rPr>
                <w:noProof/>
                <w:webHidden/>
              </w:rPr>
              <w:t>18</w:t>
            </w:r>
            <w:r w:rsidR="00451976">
              <w:rPr>
                <w:noProof/>
                <w:webHidden/>
              </w:rPr>
              <w:fldChar w:fldCharType="end"/>
            </w:r>
          </w:hyperlink>
        </w:p>
        <w:p w14:paraId="10C2E5CA" w14:textId="165966CC"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367" w:history="1">
            <w:r w:rsidR="00451976" w:rsidRPr="006A7EB5">
              <w:rPr>
                <w:rStyle w:val="Lienhypertexte"/>
                <w:noProof/>
              </w:rPr>
              <w:t>Approche stratégique</w:t>
            </w:r>
            <w:r w:rsidR="00451976">
              <w:rPr>
                <w:noProof/>
                <w:webHidden/>
              </w:rPr>
              <w:tab/>
            </w:r>
            <w:r w:rsidR="00451976">
              <w:rPr>
                <w:noProof/>
                <w:webHidden/>
              </w:rPr>
              <w:fldChar w:fldCharType="begin"/>
            </w:r>
            <w:r w:rsidR="00451976">
              <w:rPr>
                <w:noProof/>
                <w:webHidden/>
              </w:rPr>
              <w:instrText xml:space="preserve"> PAGEREF _Toc163230367 \h </w:instrText>
            </w:r>
            <w:r w:rsidR="00451976">
              <w:rPr>
                <w:noProof/>
                <w:webHidden/>
              </w:rPr>
            </w:r>
            <w:r w:rsidR="00451976">
              <w:rPr>
                <w:noProof/>
                <w:webHidden/>
              </w:rPr>
              <w:fldChar w:fldCharType="separate"/>
            </w:r>
            <w:r w:rsidR="0059639C">
              <w:rPr>
                <w:noProof/>
                <w:webHidden/>
              </w:rPr>
              <w:t>21</w:t>
            </w:r>
            <w:r w:rsidR="00451976">
              <w:rPr>
                <w:noProof/>
                <w:webHidden/>
              </w:rPr>
              <w:fldChar w:fldCharType="end"/>
            </w:r>
          </w:hyperlink>
        </w:p>
        <w:p w14:paraId="1FF622AB" w14:textId="7EC950F6"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368" w:history="1">
            <w:r w:rsidR="00451976" w:rsidRPr="006A7EB5">
              <w:rPr>
                <w:rStyle w:val="Lienhypertexte"/>
                <w:noProof/>
              </w:rPr>
              <w:t>PSE</w:t>
            </w:r>
            <w:r w:rsidR="00451976">
              <w:rPr>
                <w:noProof/>
                <w:webHidden/>
              </w:rPr>
              <w:tab/>
            </w:r>
            <w:r w:rsidR="00451976">
              <w:rPr>
                <w:noProof/>
                <w:webHidden/>
              </w:rPr>
              <w:fldChar w:fldCharType="begin"/>
            </w:r>
            <w:r w:rsidR="00451976">
              <w:rPr>
                <w:noProof/>
                <w:webHidden/>
              </w:rPr>
              <w:instrText xml:space="preserve"> PAGEREF _Toc163230368 \h </w:instrText>
            </w:r>
            <w:r w:rsidR="00451976">
              <w:rPr>
                <w:noProof/>
                <w:webHidden/>
              </w:rPr>
            </w:r>
            <w:r w:rsidR="00451976">
              <w:rPr>
                <w:noProof/>
                <w:webHidden/>
              </w:rPr>
              <w:fldChar w:fldCharType="separate"/>
            </w:r>
            <w:r w:rsidR="0059639C">
              <w:rPr>
                <w:b/>
                <w:bCs/>
                <w:noProof/>
                <w:webHidden/>
              </w:rPr>
              <w:t>Erreur ! Signet non défini.</w:t>
            </w:r>
            <w:r w:rsidR="00451976">
              <w:rPr>
                <w:noProof/>
                <w:webHidden/>
              </w:rPr>
              <w:fldChar w:fldCharType="end"/>
            </w:r>
          </w:hyperlink>
        </w:p>
        <w:p w14:paraId="409CBB02" w14:textId="0C33D7B2"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369" w:history="1">
            <w:r w:rsidR="00451976" w:rsidRPr="006A7EB5">
              <w:rPr>
                <w:rStyle w:val="Lienhypertexte"/>
                <w:noProof/>
              </w:rPr>
              <w:t>Bénéficiaires et partenaires clés ciblés</w:t>
            </w:r>
            <w:r w:rsidR="00451976">
              <w:rPr>
                <w:noProof/>
                <w:webHidden/>
              </w:rPr>
              <w:tab/>
            </w:r>
            <w:r w:rsidR="00451976">
              <w:rPr>
                <w:noProof/>
                <w:webHidden/>
              </w:rPr>
              <w:fldChar w:fldCharType="begin"/>
            </w:r>
            <w:r w:rsidR="00451976">
              <w:rPr>
                <w:noProof/>
                <w:webHidden/>
              </w:rPr>
              <w:instrText xml:space="preserve"> PAGEREF _Toc163230369 \h </w:instrText>
            </w:r>
            <w:r w:rsidR="00451976">
              <w:rPr>
                <w:noProof/>
                <w:webHidden/>
              </w:rPr>
            </w:r>
            <w:r w:rsidR="00451976">
              <w:rPr>
                <w:noProof/>
                <w:webHidden/>
              </w:rPr>
              <w:fldChar w:fldCharType="separate"/>
            </w:r>
            <w:r w:rsidR="0059639C">
              <w:rPr>
                <w:noProof/>
                <w:webHidden/>
              </w:rPr>
              <w:t>25</w:t>
            </w:r>
            <w:r w:rsidR="00451976">
              <w:rPr>
                <w:noProof/>
                <w:webHidden/>
              </w:rPr>
              <w:fldChar w:fldCharType="end"/>
            </w:r>
          </w:hyperlink>
        </w:p>
        <w:p w14:paraId="57BF211A" w14:textId="3BE6718D"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370" w:history="1">
            <w:r w:rsidR="00451976" w:rsidRPr="006A7EB5">
              <w:rPr>
                <w:rStyle w:val="Lienhypertexte"/>
                <w:noProof/>
              </w:rPr>
              <w:t>Zone géographique ciblée</w:t>
            </w:r>
            <w:r w:rsidR="00451976">
              <w:rPr>
                <w:noProof/>
                <w:webHidden/>
              </w:rPr>
              <w:tab/>
            </w:r>
            <w:r w:rsidR="00451976">
              <w:rPr>
                <w:noProof/>
                <w:webHidden/>
              </w:rPr>
              <w:fldChar w:fldCharType="begin"/>
            </w:r>
            <w:r w:rsidR="00451976">
              <w:rPr>
                <w:noProof/>
                <w:webHidden/>
              </w:rPr>
              <w:instrText xml:space="preserve"> PAGEREF _Toc163230370 \h </w:instrText>
            </w:r>
            <w:r w:rsidR="00451976">
              <w:rPr>
                <w:noProof/>
                <w:webHidden/>
              </w:rPr>
            </w:r>
            <w:r w:rsidR="00451976">
              <w:rPr>
                <w:noProof/>
                <w:webHidden/>
              </w:rPr>
              <w:fldChar w:fldCharType="separate"/>
            </w:r>
            <w:r w:rsidR="0059639C">
              <w:rPr>
                <w:noProof/>
                <w:webHidden/>
              </w:rPr>
              <w:t>26</w:t>
            </w:r>
            <w:r w:rsidR="00451976">
              <w:rPr>
                <w:noProof/>
                <w:webHidden/>
              </w:rPr>
              <w:fldChar w:fldCharType="end"/>
            </w:r>
          </w:hyperlink>
        </w:p>
        <w:p w14:paraId="5A65D96E" w14:textId="129EF64F"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71" w:history="1">
            <w:r w:rsidR="00451976" w:rsidRPr="006A7EB5">
              <w:rPr>
                <w:rStyle w:val="Lienhypertexte"/>
                <w:rFonts w:ascii="Avenir Next LT Pro" w:hAnsi="Avenir Next LT Pro"/>
                <w:noProof/>
              </w:rPr>
              <w:t>c)</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Description des capacités des bénéficiaires</w:t>
            </w:r>
            <w:r w:rsidR="00451976">
              <w:rPr>
                <w:noProof/>
                <w:webHidden/>
              </w:rPr>
              <w:tab/>
            </w:r>
            <w:r w:rsidR="00451976">
              <w:rPr>
                <w:noProof/>
                <w:webHidden/>
              </w:rPr>
              <w:fldChar w:fldCharType="begin"/>
            </w:r>
            <w:r w:rsidR="00451976">
              <w:rPr>
                <w:noProof/>
                <w:webHidden/>
              </w:rPr>
              <w:instrText xml:space="preserve"> PAGEREF _Toc163230371 \h </w:instrText>
            </w:r>
            <w:r w:rsidR="00451976">
              <w:rPr>
                <w:noProof/>
                <w:webHidden/>
              </w:rPr>
            </w:r>
            <w:r w:rsidR="00451976">
              <w:rPr>
                <w:noProof/>
                <w:webHidden/>
              </w:rPr>
              <w:fldChar w:fldCharType="separate"/>
            </w:r>
            <w:r w:rsidR="0059639C">
              <w:rPr>
                <w:noProof/>
                <w:webHidden/>
              </w:rPr>
              <w:t>26</w:t>
            </w:r>
            <w:r w:rsidR="00451976">
              <w:rPr>
                <w:noProof/>
                <w:webHidden/>
              </w:rPr>
              <w:fldChar w:fldCharType="end"/>
            </w:r>
          </w:hyperlink>
        </w:p>
        <w:p w14:paraId="10533BE3" w14:textId="775BDE22"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72" w:history="1">
            <w:r w:rsidR="00451976" w:rsidRPr="006A7EB5">
              <w:rPr>
                <w:rStyle w:val="Lienhypertexte"/>
                <w:rFonts w:ascii="Avenir Next LT Pro" w:hAnsi="Avenir Next LT Pro"/>
                <w:noProof/>
              </w:rPr>
              <w:t>d)</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Structuration du projet (produits, activités)</w:t>
            </w:r>
            <w:r w:rsidR="00451976">
              <w:rPr>
                <w:noProof/>
                <w:webHidden/>
              </w:rPr>
              <w:tab/>
            </w:r>
            <w:r w:rsidR="00451976">
              <w:rPr>
                <w:noProof/>
                <w:webHidden/>
              </w:rPr>
              <w:fldChar w:fldCharType="begin"/>
            </w:r>
            <w:r w:rsidR="00451976">
              <w:rPr>
                <w:noProof/>
                <w:webHidden/>
              </w:rPr>
              <w:instrText xml:space="preserve"> PAGEREF _Toc163230372 \h </w:instrText>
            </w:r>
            <w:r w:rsidR="00451976">
              <w:rPr>
                <w:noProof/>
                <w:webHidden/>
              </w:rPr>
            </w:r>
            <w:r w:rsidR="00451976">
              <w:rPr>
                <w:noProof/>
                <w:webHidden/>
              </w:rPr>
              <w:fldChar w:fldCharType="separate"/>
            </w:r>
            <w:r w:rsidR="0059639C">
              <w:rPr>
                <w:noProof/>
                <w:webHidden/>
              </w:rPr>
              <w:t>26</w:t>
            </w:r>
            <w:r w:rsidR="00451976">
              <w:rPr>
                <w:noProof/>
                <w:webHidden/>
              </w:rPr>
              <w:fldChar w:fldCharType="end"/>
            </w:r>
          </w:hyperlink>
        </w:p>
        <w:p w14:paraId="642D2EA8" w14:textId="1A65A95A"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73" w:history="1">
            <w:r w:rsidR="00451976" w:rsidRPr="006A7EB5">
              <w:rPr>
                <w:rStyle w:val="Lienhypertexte"/>
                <w:rFonts w:ascii="Avenir Next LT Pro" w:hAnsi="Avenir Next LT Pro"/>
                <w:noProof/>
              </w:rPr>
              <w:t>e)</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Contribution des différents produits aux effets de CAFI</w:t>
            </w:r>
            <w:r w:rsidR="00451976">
              <w:rPr>
                <w:noProof/>
                <w:webHidden/>
              </w:rPr>
              <w:tab/>
            </w:r>
            <w:r w:rsidR="00451976">
              <w:rPr>
                <w:noProof/>
                <w:webHidden/>
              </w:rPr>
              <w:fldChar w:fldCharType="begin"/>
            </w:r>
            <w:r w:rsidR="00451976">
              <w:rPr>
                <w:noProof/>
                <w:webHidden/>
              </w:rPr>
              <w:instrText xml:space="preserve"> PAGEREF _Toc163230373 \h </w:instrText>
            </w:r>
            <w:r w:rsidR="00451976">
              <w:rPr>
                <w:noProof/>
                <w:webHidden/>
              </w:rPr>
            </w:r>
            <w:r w:rsidR="00451976">
              <w:rPr>
                <w:noProof/>
                <w:webHidden/>
              </w:rPr>
              <w:fldChar w:fldCharType="separate"/>
            </w:r>
            <w:r w:rsidR="0059639C">
              <w:rPr>
                <w:noProof/>
                <w:webHidden/>
              </w:rPr>
              <w:t>29</w:t>
            </w:r>
            <w:r w:rsidR="00451976">
              <w:rPr>
                <w:noProof/>
                <w:webHidden/>
              </w:rPr>
              <w:fldChar w:fldCharType="end"/>
            </w:r>
          </w:hyperlink>
        </w:p>
        <w:p w14:paraId="3463CFE7" w14:textId="491EA3DB"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74" w:history="1">
            <w:r w:rsidR="00451976" w:rsidRPr="006A7EB5">
              <w:rPr>
                <w:rStyle w:val="Lienhypertexte"/>
                <w:rFonts w:ascii="Avenir Next LT Pro" w:hAnsi="Avenir Next LT Pro"/>
                <w:noProof/>
              </w:rPr>
              <w:t>f)</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Appropriation nationale et durabilité du projet</w:t>
            </w:r>
            <w:r w:rsidR="00451976">
              <w:rPr>
                <w:noProof/>
                <w:webHidden/>
              </w:rPr>
              <w:tab/>
            </w:r>
            <w:r w:rsidR="00451976">
              <w:rPr>
                <w:noProof/>
                <w:webHidden/>
              </w:rPr>
              <w:fldChar w:fldCharType="begin"/>
            </w:r>
            <w:r w:rsidR="00451976">
              <w:rPr>
                <w:noProof/>
                <w:webHidden/>
              </w:rPr>
              <w:instrText xml:space="preserve"> PAGEREF _Toc163230374 \h </w:instrText>
            </w:r>
            <w:r w:rsidR="00451976">
              <w:rPr>
                <w:noProof/>
                <w:webHidden/>
              </w:rPr>
            </w:r>
            <w:r w:rsidR="00451976">
              <w:rPr>
                <w:noProof/>
                <w:webHidden/>
              </w:rPr>
              <w:fldChar w:fldCharType="separate"/>
            </w:r>
            <w:r w:rsidR="0059639C">
              <w:rPr>
                <w:noProof/>
                <w:webHidden/>
              </w:rPr>
              <w:t>30</w:t>
            </w:r>
            <w:r w:rsidR="00451976">
              <w:rPr>
                <w:noProof/>
                <w:webHidden/>
              </w:rPr>
              <w:fldChar w:fldCharType="end"/>
            </w:r>
          </w:hyperlink>
        </w:p>
        <w:p w14:paraId="742BA7D5" w14:textId="3780F14F"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75" w:history="1">
            <w:r w:rsidR="00451976" w:rsidRPr="006A7EB5">
              <w:rPr>
                <w:rStyle w:val="Lienhypertexte"/>
                <w:rFonts w:ascii="Avenir Next LT Pro" w:hAnsi="Avenir Next LT Pro"/>
                <w:noProof/>
              </w:rPr>
              <w:t>4)</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Cadre de résultats et contribution aux jalons de la lettre d’intention</w:t>
            </w:r>
            <w:r w:rsidR="00451976">
              <w:rPr>
                <w:noProof/>
                <w:webHidden/>
              </w:rPr>
              <w:tab/>
            </w:r>
            <w:r w:rsidR="00451976">
              <w:rPr>
                <w:noProof/>
                <w:webHidden/>
              </w:rPr>
              <w:fldChar w:fldCharType="begin"/>
            </w:r>
            <w:r w:rsidR="00451976">
              <w:rPr>
                <w:noProof/>
                <w:webHidden/>
              </w:rPr>
              <w:instrText xml:space="preserve"> PAGEREF _Toc163230375 \h </w:instrText>
            </w:r>
            <w:r w:rsidR="00451976">
              <w:rPr>
                <w:noProof/>
                <w:webHidden/>
              </w:rPr>
            </w:r>
            <w:r w:rsidR="00451976">
              <w:rPr>
                <w:noProof/>
                <w:webHidden/>
              </w:rPr>
              <w:fldChar w:fldCharType="separate"/>
            </w:r>
            <w:r w:rsidR="0059639C">
              <w:rPr>
                <w:noProof/>
                <w:webHidden/>
              </w:rPr>
              <w:t>31</w:t>
            </w:r>
            <w:r w:rsidR="00451976">
              <w:rPr>
                <w:noProof/>
                <w:webHidden/>
              </w:rPr>
              <w:fldChar w:fldCharType="end"/>
            </w:r>
          </w:hyperlink>
        </w:p>
        <w:p w14:paraId="49D28B31" w14:textId="68B63AFD"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76" w:history="1">
            <w:r w:rsidR="00451976" w:rsidRPr="006A7EB5">
              <w:rPr>
                <w:rStyle w:val="Lienhypertexte"/>
                <w:rFonts w:ascii="Avenir Next LT Pro" w:hAnsi="Avenir Next LT Pro"/>
                <w:noProof/>
              </w:rPr>
              <w:t>a)</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Cadre de résultats</w:t>
            </w:r>
            <w:r w:rsidR="00451976">
              <w:rPr>
                <w:noProof/>
                <w:webHidden/>
              </w:rPr>
              <w:tab/>
            </w:r>
            <w:r w:rsidR="00451976">
              <w:rPr>
                <w:noProof/>
                <w:webHidden/>
              </w:rPr>
              <w:fldChar w:fldCharType="begin"/>
            </w:r>
            <w:r w:rsidR="00451976">
              <w:rPr>
                <w:noProof/>
                <w:webHidden/>
              </w:rPr>
              <w:instrText xml:space="preserve"> PAGEREF _Toc163230376 \h </w:instrText>
            </w:r>
            <w:r w:rsidR="00451976">
              <w:rPr>
                <w:noProof/>
                <w:webHidden/>
              </w:rPr>
            </w:r>
            <w:r w:rsidR="00451976">
              <w:rPr>
                <w:noProof/>
                <w:webHidden/>
              </w:rPr>
              <w:fldChar w:fldCharType="separate"/>
            </w:r>
            <w:r w:rsidR="0059639C">
              <w:rPr>
                <w:noProof/>
                <w:webHidden/>
              </w:rPr>
              <w:t>31</w:t>
            </w:r>
            <w:r w:rsidR="00451976">
              <w:rPr>
                <w:noProof/>
                <w:webHidden/>
              </w:rPr>
              <w:fldChar w:fldCharType="end"/>
            </w:r>
          </w:hyperlink>
        </w:p>
        <w:p w14:paraId="2D32B789" w14:textId="3201ED34"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77" w:history="1">
            <w:r w:rsidR="00451976" w:rsidRPr="006A7EB5">
              <w:rPr>
                <w:rStyle w:val="Lienhypertexte"/>
                <w:rFonts w:ascii="Avenir Next LT Pro" w:hAnsi="Avenir Next LT Pro"/>
                <w:noProof/>
              </w:rPr>
              <w:t>b)</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Matrice de contribution à l’atteinte des jalons de la Lettre d’Intention</w:t>
            </w:r>
            <w:r w:rsidR="00451976">
              <w:rPr>
                <w:noProof/>
                <w:webHidden/>
              </w:rPr>
              <w:tab/>
            </w:r>
            <w:r w:rsidR="00451976">
              <w:rPr>
                <w:noProof/>
                <w:webHidden/>
              </w:rPr>
              <w:fldChar w:fldCharType="begin"/>
            </w:r>
            <w:r w:rsidR="00451976">
              <w:rPr>
                <w:noProof/>
                <w:webHidden/>
              </w:rPr>
              <w:instrText xml:space="preserve"> PAGEREF _Toc163230377 \h </w:instrText>
            </w:r>
            <w:r w:rsidR="00451976">
              <w:rPr>
                <w:noProof/>
                <w:webHidden/>
              </w:rPr>
            </w:r>
            <w:r w:rsidR="00451976">
              <w:rPr>
                <w:noProof/>
                <w:webHidden/>
              </w:rPr>
              <w:fldChar w:fldCharType="separate"/>
            </w:r>
            <w:r w:rsidR="0059639C">
              <w:rPr>
                <w:noProof/>
                <w:webHidden/>
              </w:rPr>
              <w:t>41</w:t>
            </w:r>
            <w:r w:rsidR="00451976">
              <w:rPr>
                <w:noProof/>
                <w:webHidden/>
              </w:rPr>
              <w:fldChar w:fldCharType="end"/>
            </w:r>
          </w:hyperlink>
        </w:p>
        <w:p w14:paraId="0DB7C95B" w14:textId="0EF5AFF2"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78" w:history="1">
            <w:r w:rsidR="00451976" w:rsidRPr="006A7EB5">
              <w:rPr>
                <w:rStyle w:val="Lienhypertexte"/>
                <w:rFonts w:ascii="Avenir Next LT Pro" w:hAnsi="Avenir Next LT Pro"/>
                <w:noProof/>
              </w:rPr>
              <w:t>5)</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Cohérence et synergies avec les projets existants</w:t>
            </w:r>
            <w:r w:rsidR="00451976">
              <w:rPr>
                <w:noProof/>
                <w:webHidden/>
              </w:rPr>
              <w:tab/>
            </w:r>
            <w:r w:rsidR="00451976">
              <w:rPr>
                <w:noProof/>
                <w:webHidden/>
              </w:rPr>
              <w:fldChar w:fldCharType="begin"/>
            </w:r>
            <w:r w:rsidR="00451976">
              <w:rPr>
                <w:noProof/>
                <w:webHidden/>
              </w:rPr>
              <w:instrText xml:space="preserve"> PAGEREF _Toc163230378 \h </w:instrText>
            </w:r>
            <w:r w:rsidR="00451976">
              <w:rPr>
                <w:noProof/>
                <w:webHidden/>
              </w:rPr>
            </w:r>
            <w:r w:rsidR="00451976">
              <w:rPr>
                <w:noProof/>
                <w:webHidden/>
              </w:rPr>
              <w:fldChar w:fldCharType="separate"/>
            </w:r>
            <w:r w:rsidR="0059639C">
              <w:rPr>
                <w:noProof/>
                <w:webHidden/>
              </w:rPr>
              <w:t>42</w:t>
            </w:r>
            <w:r w:rsidR="00451976">
              <w:rPr>
                <w:noProof/>
                <w:webHidden/>
              </w:rPr>
              <w:fldChar w:fldCharType="end"/>
            </w:r>
          </w:hyperlink>
        </w:p>
        <w:p w14:paraId="5EB45F94" w14:textId="026B9868"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79" w:history="1">
            <w:r w:rsidR="00451976" w:rsidRPr="006A7EB5">
              <w:rPr>
                <w:rStyle w:val="Lienhypertexte"/>
                <w:rFonts w:ascii="Avenir Next LT Pro" w:hAnsi="Avenir Next LT Pro"/>
                <w:noProof/>
              </w:rPr>
              <w:t>6)</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Gouvernance du projet</w:t>
            </w:r>
            <w:r w:rsidR="00451976">
              <w:rPr>
                <w:noProof/>
                <w:webHidden/>
              </w:rPr>
              <w:tab/>
            </w:r>
            <w:r w:rsidR="00451976">
              <w:rPr>
                <w:noProof/>
                <w:webHidden/>
              </w:rPr>
              <w:fldChar w:fldCharType="begin"/>
            </w:r>
            <w:r w:rsidR="00451976">
              <w:rPr>
                <w:noProof/>
                <w:webHidden/>
              </w:rPr>
              <w:instrText xml:space="preserve"> PAGEREF _Toc163230379 \h </w:instrText>
            </w:r>
            <w:r w:rsidR="00451976">
              <w:rPr>
                <w:noProof/>
                <w:webHidden/>
              </w:rPr>
            </w:r>
            <w:r w:rsidR="00451976">
              <w:rPr>
                <w:noProof/>
                <w:webHidden/>
              </w:rPr>
              <w:fldChar w:fldCharType="separate"/>
            </w:r>
            <w:r w:rsidR="0059639C">
              <w:rPr>
                <w:noProof/>
                <w:webHidden/>
              </w:rPr>
              <w:t>45</w:t>
            </w:r>
            <w:r w:rsidR="00451976">
              <w:rPr>
                <w:noProof/>
                <w:webHidden/>
              </w:rPr>
              <w:fldChar w:fldCharType="end"/>
            </w:r>
          </w:hyperlink>
        </w:p>
        <w:p w14:paraId="48C3A175" w14:textId="74C277D0"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0" w:history="1">
            <w:r w:rsidR="00451976" w:rsidRPr="006A7EB5">
              <w:rPr>
                <w:rStyle w:val="Lienhypertexte"/>
                <w:rFonts w:ascii="Avenir Next LT Pro" w:hAnsi="Avenir Next LT Pro"/>
                <w:noProof/>
              </w:rPr>
              <w:t>a)</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Organes de gouvernance</w:t>
            </w:r>
            <w:r w:rsidR="00451976">
              <w:rPr>
                <w:noProof/>
                <w:webHidden/>
              </w:rPr>
              <w:tab/>
            </w:r>
            <w:r w:rsidR="00451976">
              <w:rPr>
                <w:noProof/>
                <w:webHidden/>
              </w:rPr>
              <w:fldChar w:fldCharType="begin"/>
            </w:r>
            <w:r w:rsidR="00451976">
              <w:rPr>
                <w:noProof/>
                <w:webHidden/>
              </w:rPr>
              <w:instrText xml:space="preserve"> PAGEREF _Toc163230380 \h </w:instrText>
            </w:r>
            <w:r w:rsidR="00451976">
              <w:rPr>
                <w:noProof/>
                <w:webHidden/>
              </w:rPr>
            </w:r>
            <w:r w:rsidR="00451976">
              <w:rPr>
                <w:noProof/>
                <w:webHidden/>
              </w:rPr>
              <w:fldChar w:fldCharType="separate"/>
            </w:r>
            <w:r w:rsidR="0059639C">
              <w:rPr>
                <w:noProof/>
                <w:webHidden/>
              </w:rPr>
              <w:t>45</w:t>
            </w:r>
            <w:r w:rsidR="00451976">
              <w:rPr>
                <w:noProof/>
                <w:webHidden/>
              </w:rPr>
              <w:fldChar w:fldCharType="end"/>
            </w:r>
          </w:hyperlink>
        </w:p>
        <w:p w14:paraId="1415E68A" w14:textId="637B62F2"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1" w:history="1">
            <w:r w:rsidR="00451976" w:rsidRPr="006A7EB5">
              <w:rPr>
                <w:rStyle w:val="Lienhypertexte"/>
                <w:rFonts w:ascii="Avenir Next LT Pro" w:hAnsi="Avenir Next LT Pro"/>
                <w:noProof/>
              </w:rPr>
              <w:t>b)</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Gestion et exécution du projet</w:t>
            </w:r>
            <w:r w:rsidR="00451976">
              <w:rPr>
                <w:noProof/>
                <w:webHidden/>
              </w:rPr>
              <w:tab/>
            </w:r>
            <w:r w:rsidR="00451976">
              <w:rPr>
                <w:noProof/>
                <w:webHidden/>
              </w:rPr>
              <w:fldChar w:fldCharType="begin"/>
            </w:r>
            <w:r w:rsidR="00451976">
              <w:rPr>
                <w:noProof/>
                <w:webHidden/>
              </w:rPr>
              <w:instrText xml:space="preserve"> PAGEREF _Toc163230381 \h </w:instrText>
            </w:r>
            <w:r w:rsidR="00451976">
              <w:rPr>
                <w:noProof/>
                <w:webHidden/>
              </w:rPr>
            </w:r>
            <w:r w:rsidR="00451976">
              <w:rPr>
                <w:noProof/>
                <w:webHidden/>
              </w:rPr>
              <w:fldChar w:fldCharType="separate"/>
            </w:r>
            <w:r w:rsidR="0059639C">
              <w:rPr>
                <w:noProof/>
                <w:webHidden/>
              </w:rPr>
              <w:t>47</w:t>
            </w:r>
            <w:r w:rsidR="00451976">
              <w:rPr>
                <w:noProof/>
                <w:webHidden/>
              </w:rPr>
              <w:fldChar w:fldCharType="end"/>
            </w:r>
          </w:hyperlink>
        </w:p>
        <w:p w14:paraId="2739F83A" w14:textId="0F8FBC8D"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2" w:history="1">
            <w:r w:rsidR="00451976" w:rsidRPr="006A7EB5">
              <w:rPr>
                <w:rStyle w:val="Lienhypertexte"/>
                <w:rFonts w:ascii="Avenir Next LT Pro" w:hAnsi="Avenir Next LT Pro"/>
                <w:noProof/>
              </w:rPr>
              <w:t>c)</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Capacités et expérience de l’organisation de mise en œuvre et de ses partenaires</w:t>
            </w:r>
            <w:r w:rsidR="00451976">
              <w:rPr>
                <w:noProof/>
                <w:webHidden/>
              </w:rPr>
              <w:tab/>
            </w:r>
            <w:r w:rsidR="00451976">
              <w:rPr>
                <w:noProof/>
                <w:webHidden/>
              </w:rPr>
              <w:fldChar w:fldCharType="begin"/>
            </w:r>
            <w:r w:rsidR="00451976">
              <w:rPr>
                <w:noProof/>
                <w:webHidden/>
              </w:rPr>
              <w:instrText xml:space="preserve"> PAGEREF _Toc163230382 \h </w:instrText>
            </w:r>
            <w:r w:rsidR="00451976">
              <w:rPr>
                <w:noProof/>
                <w:webHidden/>
              </w:rPr>
            </w:r>
            <w:r w:rsidR="00451976">
              <w:rPr>
                <w:noProof/>
                <w:webHidden/>
              </w:rPr>
              <w:fldChar w:fldCharType="separate"/>
            </w:r>
            <w:r w:rsidR="0059639C">
              <w:rPr>
                <w:noProof/>
                <w:webHidden/>
              </w:rPr>
              <w:t>51</w:t>
            </w:r>
            <w:r w:rsidR="00451976">
              <w:rPr>
                <w:noProof/>
                <w:webHidden/>
              </w:rPr>
              <w:fldChar w:fldCharType="end"/>
            </w:r>
          </w:hyperlink>
        </w:p>
        <w:p w14:paraId="75F49678" w14:textId="18413083"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83" w:history="1">
            <w:r w:rsidR="00451976" w:rsidRPr="006A7EB5">
              <w:rPr>
                <w:rStyle w:val="Lienhypertexte"/>
                <w:rFonts w:ascii="Avenir Next LT Pro" w:hAnsi="Avenir Next LT Pro"/>
                <w:noProof/>
              </w:rPr>
              <w:t>7)</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Stratégie d’engagement des parties prenantes</w:t>
            </w:r>
            <w:r w:rsidR="00451976">
              <w:rPr>
                <w:noProof/>
                <w:webHidden/>
              </w:rPr>
              <w:tab/>
            </w:r>
            <w:r w:rsidR="00451976">
              <w:rPr>
                <w:noProof/>
                <w:webHidden/>
              </w:rPr>
              <w:fldChar w:fldCharType="begin"/>
            </w:r>
            <w:r w:rsidR="00451976">
              <w:rPr>
                <w:noProof/>
                <w:webHidden/>
              </w:rPr>
              <w:instrText xml:space="preserve"> PAGEREF _Toc163230383 \h </w:instrText>
            </w:r>
            <w:r w:rsidR="00451976">
              <w:rPr>
                <w:noProof/>
                <w:webHidden/>
              </w:rPr>
            </w:r>
            <w:r w:rsidR="00451976">
              <w:rPr>
                <w:noProof/>
                <w:webHidden/>
              </w:rPr>
              <w:fldChar w:fldCharType="separate"/>
            </w:r>
            <w:r w:rsidR="0059639C">
              <w:rPr>
                <w:noProof/>
                <w:webHidden/>
              </w:rPr>
              <w:t>52</w:t>
            </w:r>
            <w:r w:rsidR="00451976">
              <w:rPr>
                <w:noProof/>
                <w:webHidden/>
              </w:rPr>
              <w:fldChar w:fldCharType="end"/>
            </w:r>
          </w:hyperlink>
        </w:p>
        <w:p w14:paraId="433D6BC9" w14:textId="17EEC96A"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4" w:history="1">
            <w:r w:rsidR="00451976" w:rsidRPr="006A7EB5">
              <w:rPr>
                <w:rStyle w:val="Lienhypertexte"/>
                <w:rFonts w:ascii="Avenir Next LT Pro" w:hAnsi="Avenir Next LT Pro"/>
                <w:noProof/>
              </w:rPr>
              <w:t>a)</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Gouvernement</w:t>
            </w:r>
            <w:r w:rsidR="00451976">
              <w:rPr>
                <w:noProof/>
                <w:webHidden/>
              </w:rPr>
              <w:tab/>
            </w:r>
            <w:r w:rsidR="00451976">
              <w:rPr>
                <w:noProof/>
                <w:webHidden/>
              </w:rPr>
              <w:fldChar w:fldCharType="begin"/>
            </w:r>
            <w:r w:rsidR="00451976">
              <w:rPr>
                <w:noProof/>
                <w:webHidden/>
              </w:rPr>
              <w:instrText xml:space="preserve"> PAGEREF _Toc163230384 \h </w:instrText>
            </w:r>
            <w:r w:rsidR="00451976">
              <w:rPr>
                <w:noProof/>
                <w:webHidden/>
              </w:rPr>
            </w:r>
            <w:r w:rsidR="00451976">
              <w:rPr>
                <w:noProof/>
                <w:webHidden/>
              </w:rPr>
              <w:fldChar w:fldCharType="separate"/>
            </w:r>
            <w:r w:rsidR="0059639C">
              <w:rPr>
                <w:noProof/>
                <w:webHidden/>
              </w:rPr>
              <w:t>52</w:t>
            </w:r>
            <w:r w:rsidR="00451976">
              <w:rPr>
                <w:noProof/>
                <w:webHidden/>
              </w:rPr>
              <w:fldChar w:fldCharType="end"/>
            </w:r>
          </w:hyperlink>
        </w:p>
        <w:p w14:paraId="265CD0F8" w14:textId="3EB1A759"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5" w:history="1">
            <w:r w:rsidR="00451976" w:rsidRPr="006A7EB5">
              <w:rPr>
                <w:rStyle w:val="Lienhypertexte"/>
                <w:rFonts w:ascii="Avenir Next LT Pro" w:hAnsi="Avenir Next LT Pro"/>
                <w:noProof/>
              </w:rPr>
              <w:t>b)</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Donateurs et partenaires de développement</w:t>
            </w:r>
            <w:r w:rsidR="00451976">
              <w:rPr>
                <w:noProof/>
                <w:webHidden/>
              </w:rPr>
              <w:tab/>
            </w:r>
            <w:r w:rsidR="00451976">
              <w:rPr>
                <w:noProof/>
                <w:webHidden/>
              </w:rPr>
              <w:fldChar w:fldCharType="begin"/>
            </w:r>
            <w:r w:rsidR="00451976">
              <w:rPr>
                <w:noProof/>
                <w:webHidden/>
              </w:rPr>
              <w:instrText xml:space="preserve"> PAGEREF _Toc163230385 \h </w:instrText>
            </w:r>
            <w:r w:rsidR="00451976">
              <w:rPr>
                <w:noProof/>
                <w:webHidden/>
              </w:rPr>
            </w:r>
            <w:r w:rsidR="00451976">
              <w:rPr>
                <w:noProof/>
                <w:webHidden/>
              </w:rPr>
              <w:fldChar w:fldCharType="separate"/>
            </w:r>
            <w:r w:rsidR="0059639C">
              <w:rPr>
                <w:noProof/>
                <w:webHidden/>
              </w:rPr>
              <w:t>52</w:t>
            </w:r>
            <w:r w:rsidR="00451976">
              <w:rPr>
                <w:noProof/>
                <w:webHidden/>
              </w:rPr>
              <w:fldChar w:fldCharType="end"/>
            </w:r>
          </w:hyperlink>
        </w:p>
        <w:p w14:paraId="51C9707E" w14:textId="406DD1E1"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6" w:history="1">
            <w:r w:rsidR="00451976" w:rsidRPr="006A7EB5">
              <w:rPr>
                <w:rStyle w:val="Lienhypertexte"/>
                <w:rFonts w:ascii="Avenir Next LT Pro" w:hAnsi="Avenir Next LT Pro"/>
                <w:noProof/>
              </w:rPr>
              <w:t>c)</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Société civile</w:t>
            </w:r>
            <w:r w:rsidR="00451976">
              <w:rPr>
                <w:noProof/>
                <w:webHidden/>
              </w:rPr>
              <w:tab/>
            </w:r>
            <w:r w:rsidR="00451976">
              <w:rPr>
                <w:noProof/>
                <w:webHidden/>
              </w:rPr>
              <w:fldChar w:fldCharType="begin"/>
            </w:r>
            <w:r w:rsidR="00451976">
              <w:rPr>
                <w:noProof/>
                <w:webHidden/>
              </w:rPr>
              <w:instrText xml:space="preserve"> PAGEREF _Toc163230386 \h </w:instrText>
            </w:r>
            <w:r w:rsidR="00451976">
              <w:rPr>
                <w:noProof/>
                <w:webHidden/>
              </w:rPr>
            </w:r>
            <w:r w:rsidR="00451976">
              <w:rPr>
                <w:noProof/>
                <w:webHidden/>
              </w:rPr>
              <w:fldChar w:fldCharType="separate"/>
            </w:r>
            <w:r w:rsidR="0059639C">
              <w:rPr>
                <w:noProof/>
                <w:webHidden/>
              </w:rPr>
              <w:t>53</w:t>
            </w:r>
            <w:r w:rsidR="00451976">
              <w:rPr>
                <w:noProof/>
                <w:webHidden/>
              </w:rPr>
              <w:fldChar w:fldCharType="end"/>
            </w:r>
          </w:hyperlink>
        </w:p>
        <w:p w14:paraId="37ED66AB" w14:textId="501988B1"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7" w:history="1">
            <w:r w:rsidR="00451976" w:rsidRPr="006A7EB5">
              <w:rPr>
                <w:rStyle w:val="Lienhypertexte"/>
                <w:rFonts w:ascii="Avenir Next LT Pro" w:hAnsi="Avenir Next LT Pro"/>
                <w:noProof/>
              </w:rPr>
              <w:t>d)</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Secteur privé</w:t>
            </w:r>
            <w:r w:rsidR="00451976">
              <w:rPr>
                <w:noProof/>
                <w:webHidden/>
              </w:rPr>
              <w:tab/>
            </w:r>
            <w:r w:rsidR="00451976">
              <w:rPr>
                <w:noProof/>
                <w:webHidden/>
              </w:rPr>
              <w:fldChar w:fldCharType="begin"/>
            </w:r>
            <w:r w:rsidR="00451976">
              <w:rPr>
                <w:noProof/>
                <w:webHidden/>
              </w:rPr>
              <w:instrText xml:space="preserve"> PAGEREF _Toc163230387 \h </w:instrText>
            </w:r>
            <w:r w:rsidR="00451976">
              <w:rPr>
                <w:noProof/>
                <w:webHidden/>
              </w:rPr>
            </w:r>
            <w:r w:rsidR="00451976">
              <w:rPr>
                <w:noProof/>
                <w:webHidden/>
              </w:rPr>
              <w:fldChar w:fldCharType="separate"/>
            </w:r>
            <w:r w:rsidR="0059639C">
              <w:rPr>
                <w:noProof/>
                <w:webHidden/>
              </w:rPr>
              <w:t>53</w:t>
            </w:r>
            <w:r w:rsidR="00451976">
              <w:rPr>
                <w:noProof/>
                <w:webHidden/>
              </w:rPr>
              <w:fldChar w:fldCharType="end"/>
            </w:r>
          </w:hyperlink>
        </w:p>
        <w:p w14:paraId="2988803F" w14:textId="7E9DD3FA"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88" w:history="1">
            <w:r w:rsidR="00451976" w:rsidRPr="006A7EB5">
              <w:rPr>
                <w:rStyle w:val="Lienhypertexte"/>
                <w:rFonts w:ascii="Avenir Next LT Pro" w:hAnsi="Avenir Next LT Pro"/>
                <w:noProof/>
              </w:rPr>
              <w:t>e)</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Autres : Organisation d’éducation et/ou de recherche</w:t>
            </w:r>
            <w:r w:rsidR="00451976">
              <w:rPr>
                <w:noProof/>
                <w:webHidden/>
              </w:rPr>
              <w:tab/>
            </w:r>
            <w:r w:rsidR="00451976">
              <w:rPr>
                <w:noProof/>
                <w:webHidden/>
              </w:rPr>
              <w:fldChar w:fldCharType="begin"/>
            </w:r>
            <w:r w:rsidR="00451976">
              <w:rPr>
                <w:noProof/>
                <w:webHidden/>
              </w:rPr>
              <w:instrText xml:space="preserve"> PAGEREF _Toc163230388 \h </w:instrText>
            </w:r>
            <w:r w:rsidR="00451976">
              <w:rPr>
                <w:noProof/>
                <w:webHidden/>
              </w:rPr>
            </w:r>
            <w:r w:rsidR="00451976">
              <w:rPr>
                <w:noProof/>
                <w:webHidden/>
              </w:rPr>
              <w:fldChar w:fldCharType="separate"/>
            </w:r>
            <w:r w:rsidR="0059639C">
              <w:rPr>
                <w:noProof/>
                <w:webHidden/>
              </w:rPr>
              <w:t>53</w:t>
            </w:r>
            <w:r w:rsidR="00451976">
              <w:rPr>
                <w:noProof/>
                <w:webHidden/>
              </w:rPr>
              <w:fldChar w:fldCharType="end"/>
            </w:r>
          </w:hyperlink>
        </w:p>
        <w:p w14:paraId="74ACA75B" w14:textId="07DA0A52"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89" w:history="1">
            <w:r w:rsidR="00451976" w:rsidRPr="006A7EB5">
              <w:rPr>
                <w:rStyle w:val="Lienhypertexte"/>
                <w:rFonts w:ascii="Avenir Next LT Pro" w:hAnsi="Avenir Next LT Pro"/>
                <w:noProof/>
              </w:rPr>
              <w:t>8)</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Gestion des risques et des sauvegardes</w:t>
            </w:r>
            <w:r w:rsidR="00451976">
              <w:rPr>
                <w:noProof/>
                <w:webHidden/>
              </w:rPr>
              <w:tab/>
            </w:r>
            <w:r w:rsidR="00451976">
              <w:rPr>
                <w:noProof/>
                <w:webHidden/>
              </w:rPr>
              <w:fldChar w:fldCharType="begin"/>
            </w:r>
            <w:r w:rsidR="00451976">
              <w:rPr>
                <w:noProof/>
                <w:webHidden/>
              </w:rPr>
              <w:instrText xml:space="preserve"> PAGEREF _Toc163230389 \h </w:instrText>
            </w:r>
            <w:r w:rsidR="00451976">
              <w:rPr>
                <w:noProof/>
                <w:webHidden/>
              </w:rPr>
            </w:r>
            <w:r w:rsidR="00451976">
              <w:rPr>
                <w:noProof/>
                <w:webHidden/>
              </w:rPr>
              <w:fldChar w:fldCharType="separate"/>
            </w:r>
            <w:r w:rsidR="0059639C">
              <w:rPr>
                <w:noProof/>
                <w:webHidden/>
              </w:rPr>
              <w:t>53</w:t>
            </w:r>
            <w:r w:rsidR="00451976">
              <w:rPr>
                <w:noProof/>
                <w:webHidden/>
              </w:rPr>
              <w:fldChar w:fldCharType="end"/>
            </w:r>
          </w:hyperlink>
        </w:p>
        <w:p w14:paraId="1E9D5049" w14:textId="52CA9FDD"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90" w:history="1">
            <w:r w:rsidR="00451976" w:rsidRPr="006A7EB5">
              <w:rPr>
                <w:rStyle w:val="Lienhypertexte"/>
                <w:rFonts w:ascii="Avenir Next LT Pro" w:hAnsi="Avenir Next LT Pro"/>
                <w:noProof/>
              </w:rPr>
              <w:t>a)</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Risques et mesures d’atténuation</w:t>
            </w:r>
            <w:r w:rsidR="00451976">
              <w:rPr>
                <w:noProof/>
                <w:webHidden/>
              </w:rPr>
              <w:tab/>
            </w:r>
            <w:r w:rsidR="00451976">
              <w:rPr>
                <w:noProof/>
                <w:webHidden/>
              </w:rPr>
              <w:fldChar w:fldCharType="begin"/>
            </w:r>
            <w:r w:rsidR="00451976">
              <w:rPr>
                <w:noProof/>
                <w:webHidden/>
              </w:rPr>
              <w:instrText xml:space="preserve"> PAGEREF _Toc163230390 \h </w:instrText>
            </w:r>
            <w:r w:rsidR="00451976">
              <w:rPr>
                <w:noProof/>
                <w:webHidden/>
              </w:rPr>
            </w:r>
            <w:r w:rsidR="00451976">
              <w:rPr>
                <w:noProof/>
                <w:webHidden/>
              </w:rPr>
              <w:fldChar w:fldCharType="separate"/>
            </w:r>
            <w:r w:rsidR="0059639C">
              <w:rPr>
                <w:noProof/>
                <w:webHidden/>
              </w:rPr>
              <w:t>53</w:t>
            </w:r>
            <w:r w:rsidR="00451976">
              <w:rPr>
                <w:noProof/>
                <w:webHidden/>
              </w:rPr>
              <w:fldChar w:fldCharType="end"/>
            </w:r>
          </w:hyperlink>
        </w:p>
        <w:p w14:paraId="141DCEAC" w14:textId="4263C457"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91" w:history="1">
            <w:r w:rsidR="00451976" w:rsidRPr="006A7EB5">
              <w:rPr>
                <w:rStyle w:val="Lienhypertexte"/>
                <w:rFonts w:ascii="Avenir Next LT Pro" w:hAnsi="Avenir Next LT Pro"/>
                <w:noProof/>
              </w:rPr>
              <w:t>b)</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Sauvegardes</w:t>
            </w:r>
            <w:r w:rsidR="00451976">
              <w:rPr>
                <w:noProof/>
                <w:webHidden/>
              </w:rPr>
              <w:tab/>
            </w:r>
            <w:r w:rsidR="00451976">
              <w:rPr>
                <w:noProof/>
                <w:webHidden/>
              </w:rPr>
              <w:fldChar w:fldCharType="begin"/>
            </w:r>
            <w:r w:rsidR="00451976">
              <w:rPr>
                <w:noProof/>
                <w:webHidden/>
              </w:rPr>
              <w:instrText xml:space="preserve"> PAGEREF _Toc163230391 \h </w:instrText>
            </w:r>
            <w:r w:rsidR="00451976">
              <w:rPr>
                <w:noProof/>
                <w:webHidden/>
              </w:rPr>
            </w:r>
            <w:r w:rsidR="00451976">
              <w:rPr>
                <w:noProof/>
                <w:webHidden/>
              </w:rPr>
              <w:fldChar w:fldCharType="separate"/>
            </w:r>
            <w:r w:rsidR="0059639C">
              <w:rPr>
                <w:noProof/>
                <w:webHidden/>
              </w:rPr>
              <w:t>60</w:t>
            </w:r>
            <w:r w:rsidR="00451976">
              <w:rPr>
                <w:noProof/>
                <w:webHidden/>
              </w:rPr>
              <w:fldChar w:fldCharType="end"/>
            </w:r>
          </w:hyperlink>
        </w:p>
        <w:p w14:paraId="568E6144" w14:textId="08701C65"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92" w:history="1">
            <w:r w:rsidR="00451976" w:rsidRPr="006A7EB5">
              <w:rPr>
                <w:rStyle w:val="Lienhypertexte"/>
                <w:rFonts w:ascii="Avenir Next LT Pro" w:hAnsi="Avenir Next LT Pro"/>
                <w:noProof/>
              </w:rPr>
              <w:t>9)</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Suivi-évaluation</w:t>
            </w:r>
            <w:r w:rsidR="00451976">
              <w:rPr>
                <w:noProof/>
                <w:webHidden/>
              </w:rPr>
              <w:tab/>
            </w:r>
            <w:r w:rsidR="00451976">
              <w:rPr>
                <w:noProof/>
                <w:webHidden/>
              </w:rPr>
              <w:fldChar w:fldCharType="begin"/>
            </w:r>
            <w:r w:rsidR="00451976">
              <w:rPr>
                <w:noProof/>
                <w:webHidden/>
              </w:rPr>
              <w:instrText xml:space="preserve"> PAGEREF _Toc163230392 \h </w:instrText>
            </w:r>
            <w:r w:rsidR="00451976">
              <w:rPr>
                <w:noProof/>
                <w:webHidden/>
              </w:rPr>
            </w:r>
            <w:r w:rsidR="00451976">
              <w:rPr>
                <w:noProof/>
                <w:webHidden/>
              </w:rPr>
              <w:fldChar w:fldCharType="separate"/>
            </w:r>
            <w:r w:rsidR="0059639C">
              <w:rPr>
                <w:noProof/>
                <w:webHidden/>
              </w:rPr>
              <w:t>61</w:t>
            </w:r>
            <w:r w:rsidR="00451976">
              <w:rPr>
                <w:noProof/>
                <w:webHidden/>
              </w:rPr>
              <w:fldChar w:fldCharType="end"/>
            </w:r>
          </w:hyperlink>
        </w:p>
        <w:p w14:paraId="2F36642B" w14:textId="4FFDF98D"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93" w:history="1">
            <w:r w:rsidR="00451976" w:rsidRPr="006A7EB5">
              <w:rPr>
                <w:rStyle w:val="Lienhypertexte"/>
                <w:rFonts w:ascii="Avenir Next LT Pro" w:hAnsi="Avenir Next LT Pro"/>
                <w:noProof/>
              </w:rPr>
              <w:t>10)</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Communication et visibilité</w:t>
            </w:r>
            <w:r w:rsidR="00451976">
              <w:rPr>
                <w:noProof/>
                <w:webHidden/>
              </w:rPr>
              <w:tab/>
            </w:r>
            <w:r w:rsidR="00451976">
              <w:rPr>
                <w:noProof/>
                <w:webHidden/>
              </w:rPr>
              <w:fldChar w:fldCharType="begin"/>
            </w:r>
            <w:r w:rsidR="00451976">
              <w:rPr>
                <w:noProof/>
                <w:webHidden/>
              </w:rPr>
              <w:instrText xml:space="preserve"> PAGEREF _Toc163230393 \h </w:instrText>
            </w:r>
            <w:r w:rsidR="00451976">
              <w:rPr>
                <w:noProof/>
                <w:webHidden/>
              </w:rPr>
            </w:r>
            <w:r w:rsidR="00451976">
              <w:rPr>
                <w:noProof/>
                <w:webHidden/>
              </w:rPr>
              <w:fldChar w:fldCharType="separate"/>
            </w:r>
            <w:r w:rsidR="0059639C">
              <w:rPr>
                <w:noProof/>
                <w:webHidden/>
              </w:rPr>
              <w:t>67</w:t>
            </w:r>
            <w:r w:rsidR="00451976">
              <w:rPr>
                <w:noProof/>
                <w:webHidden/>
              </w:rPr>
              <w:fldChar w:fldCharType="end"/>
            </w:r>
          </w:hyperlink>
        </w:p>
        <w:p w14:paraId="54AD7FC4" w14:textId="5D5B6C2A"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94" w:history="1">
            <w:r w:rsidR="00451976" w:rsidRPr="006A7EB5">
              <w:rPr>
                <w:rStyle w:val="Lienhypertexte"/>
                <w:rFonts w:ascii="Avenir Next LT Pro" w:hAnsi="Avenir Next LT Pro"/>
                <w:noProof/>
              </w:rPr>
              <w:t>11)</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Transparence fiduciaire</w:t>
            </w:r>
            <w:r w:rsidR="00451976">
              <w:rPr>
                <w:noProof/>
                <w:webHidden/>
              </w:rPr>
              <w:tab/>
            </w:r>
            <w:r w:rsidR="00451976">
              <w:rPr>
                <w:noProof/>
                <w:webHidden/>
              </w:rPr>
              <w:fldChar w:fldCharType="begin"/>
            </w:r>
            <w:r w:rsidR="00451976">
              <w:rPr>
                <w:noProof/>
                <w:webHidden/>
              </w:rPr>
              <w:instrText xml:space="preserve"> PAGEREF _Toc163230394 \h </w:instrText>
            </w:r>
            <w:r w:rsidR="00451976">
              <w:rPr>
                <w:noProof/>
                <w:webHidden/>
              </w:rPr>
            </w:r>
            <w:r w:rsidR="00451976">
              <w:rPr>
                <w:noProof/>
                <w:webHidden/>
              </w:rPr>
              <w:fldChar w:fldCharType="separate"/>
            </w:r>
            <w:r w:rsidR="0059639C">
              <w:rPr>
                <w:noProof/>
                <w:webHidden/>
              </w:rPr>
              <w:t>67</w:t>
            </w:r>
            <w:r w:rsidR="00451976">
              <w:rPr>
                <w:noProof/>
                <w:webHidden/>
              </w:rPr>
              <w:fldChar w:fldCharType="end"/>
            </w:r>
          </w:hyperlink>
        </w:p>
        <w:p w14:paraId="1F0B5A3F" w14:textId="17516E36"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395" w:history="1">
            <w:r w:rsidR="00451976" w:rsidRPr="006A7EB5">
              <w:rPr>
                <w:rStyle w:val="Lienhypertexte"/>
                <w:rFonts w:ascii="Avenir Next LT Pro" w:hAnsi="Avenir Next LT Pro"/>
                <w:noProof/>
              </w:rPr>
              <w:t>12)</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Budget, plan de travail et chronogramme</w:t>
            </w:r>
            <w:r w:rsidR="00451976">
              <w:rPr>
                <w:noProof/>
                <w:webHidden/>
              </w:rPr>
              <w:tab/>
            </w:r>
            <w:r w:rsidR="00451976">
              <w:rPr>
                <w:noProof/>
                <w:webHidden/>
              </w:rPr>
              <w:fldChar w:fldCharType="begin"/>
            </w:r>
            <w:r w:rsidR="00451976">
              <w:rPr>
                <w:noProof/>
                <w:webHidden/>
              </w:rPr>
              <w:instrText xml:space="preserve"> PAGEREF _Toc163230395 \h </w:instrText>
            </w:r>
            <w:r w:rsidR="00451976">
              <w:rPr>
                <w:noProof/>
                <w:webHidden/>
              </w:rPr>
            </w:r>
            <w:r w:rsidR="00451976">
              <w:rPr>
                <w:noProof/>
                <w:webHidden/>
              </w:rPr>
              <w:fldChar w:fldCharType="separate"/>
            </w:r>
            <w:r w:rsidR="0059639C">
              <w:rPr>
                <w:noProof/>
                <w:webHidden/>
              </w:rPr>
              <w:t>67</w:t>
            </w:r>
            <w:r w:rsidR="00451976">
              <w:rPr>
                <w:noProof/>
                <w:webHidden/>
              </w:rPr>
              <w:fldChar w:fldCharType="end"/>
            </w:r>
          </w:hyperlink>
        </w:p>
        <w:p w14:paraId="1191E6C6" w14:textId="29FDD720"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96" w:history="1">
            <w:r w:rsidR="00451976" w:rsidRPr="006A7EB5">
              <w:rPr>
                <w:rStyle w:val="Lienhypertexte"/>
                <w:rFonts w:ascii="Avenir Next LT Pro" w:hAnsi="Avenir Next LT Pro"/>
                <w:noProof/>
              </w:rPr>
              <w:t>a)</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Plan de travail et budget par produits/activités</w:t>
            </w:r>
            <w:r w:rsidR="00451976">
              <w:rPr>
                <w:noProof/>
                <w:webHidden/>
              </w:rPr>
              <w:tab/>
            </w:r>
            <w:r w:rsidR="00451976">
              <w:rPr>
                <w:noProof/>
                <w:webHidden/>
              </w:rPr>
              <w:fldChar w:fldCharType="begin"/>
            </w:r>
            <w:r w:rsidR="00451976">
              <w:rPr>
                <w:noProof/>
                <w:webHidden/>
              </w:rPr>
              <w:instrText xml:space="preserve"> PAGEREF _Toc163230396 \h </w:instrText>
            </w:r>
            <w:r w:rsidR="00451976">
              <w:rPr>
                <w:noProof/>
                <w:webHidden/>
              </w:rPr>
            </w:r>
            <w:r w:rsidR="00451976">
              <w:rPr>
                <w:noProof/>
                <w:webHidden/>
              </w:rPr>
              <w:fldChar w:fldCharType="separate"/>
            </w:r>
            <w:r w:rsidR="0059639C">
              <w:rPr>
                <w:noProof/>
                <w:webHidden/>
              </w:rPr>
              <w:t>67</w:t>
            </w:r>
            <w:r w:rsidR="00451976">
              <w:rPr>
                <w:noProof/>
                <w:webHidden/>
              </w:rPr>
              <w:fldChar w:fldCharType="end"/>
            </w:r>
          </w:hyperlink>
        </w:p>
        <w:p w14:paraId="254F0323" w14:textId="0A32A15F"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97" w:history="1">
            <w:r w:rsidR="00451976" w:rsidRPr="006A7EB5">
              <w:rPr>
                <w:rStyle w:val="Lienhypertexte"/>
                <w:rFonts w:ascii="Avenir Next LT Pro" w:hAnsi="Avenir Next LT Pro"/>
                <w:noProof/>
              </w:rPr>
              <w:t>b)</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Budget ventilé par catégories UNDG</w:t>
            </w:r>
            <w:r w:rsidR="00451976">
              <w:rPr>
                <w:noProof/>
                <w:webHidden/>
              </w:rPr>
              <w:tab/>
            </w:r>
            <w:r w:rsidR="00451976">
              <w:rPr>
                <w:noProof/>
                <w:webHidden/>
              </w:rPr>
              <w:fldChar w:fldCharType="begin"/>
            </w:r>
            <w:r w:rsidR="00451976">
              <w:rPr>
                <w:noProof/>
                <w:webHidden/>
              </w:rPr>
              <w:instrText xml:space="preserve"> PAGEREF _Toc163230397 \h </w:instrText>
            </w:r>
            <w:r w:rsidR="00451976">
              <w:rPr>
                <w:noProof/>
                <w:webHidden/>
              </w:rPr>
            </w:r>
            <w:r w:rsidR="00451976">
              <w:rPr>
                <w:noProof/>
                <w:webHidden/>
              </w:rPr>
              <w:fldChar w:fldCharType="separate"/>
            </w:r>
            <w:r w:rsidR="0059639C">
              <w:rPr>
                <w:noProof/>
                <w:webHidden/>
              </w:rPr>
              <w:t>74</w:t>
            </w:r>
            <w:r w:rsidR="00451976">
              <w:rPr>
                <w:noProof/>
                <w:webHidden/>
              </w:rPr>
              <w:fldChar w:fldCharType="end"/>
            </w:r>
          </w:hyperlink>
        </w:p>
        <w:p w14:paraId="63381AF2" w14:textId="53657C92"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98" w:history="1">
            <w:r w:rsidR="00451976" w:rsidRPr="006A7EB5">
              <w:rPr>
                <w:rStyle w:val="Lienhypertexte"/>
                <w:rFonts w:ascii="Avenir Next LT Pro" w:hAnsi="Avenir Next LT Pro"/>
                <w:noProof/>
              </w:rPr>
              <w:t>c)</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Plan d’opérationnalisation du projet</w:t>
            </w:r>
            <w:r w:rsidR="00451976">
              <w:rPr>
                <w:noProof/>
                <w:webHidden/>
              </w:rPr>
              <w:tab/>
            </w:r>
            <w:r w:rsidR="00451976">
              <w:rPr>
                <w:noProof/>
                <w:webHidden/>
              </w:rPr>
              <w:fldChar w:fldCharType="begin"/>
            </w:r>
            <w:r w:rsidR="00451976">
              <w:rPr>
                <w:noProof/>
                <w:webHidden/>
              </w:rPr>
              <w:instrText xml:space="preserve"> PAGEREF _Toc163230398 \h </w:instrText>
            </w:r>
            <w:r w:rsidR="00451976">
              <w:rPr>
                <w:noProof/>
                <w:webHidden/>
              </w:rPr>
            </w:r>
            <w:r w:rsidR="00451976">
              <w:rPr>
                <w:noProof/>
                <w:webHidden/>
              </w:rPr>
              <w:fldChar w:fldCharType="separate"/>
            </w:r>
            <w:r w:rsidR="0059639C">
              <w:rPr>
                <w:noProof/>
                <w:webHidden/>
              </w:rPr>
              <w:t>74</w:t>
            </w:r>
            <w:r w:rsidR="00451976">
              <w:rPr>
                <w:noProof/>
                <w:webHidden/>
              </w:rPr>
              <w:fldChar w:fldCharType="end"/>
            </w:r>
          </w:hyperlink>
        </w:p>
        <w:p w14:paraId="7A6EAFD2" w14:textId="7768DCAE" w:rsidR="00451976" w:rsidRPr="00DD741A" w:rsidRDefault="00000000">
          <w:pPr>
            <w:pStyle w:val="TM2"/>
            <w:tabs>
              <w:tab w:val="left" w:pos="720"/>
              <w:tab w:val="right" w:leader="dot" w:pos="9060"/>
            </w:tabs>
            <w:rPr>
              <w:rFonts w:asciiTheme="minorHAnsi" w:eastAsiaTheme="minorEastAsia" w:hAnsiTheme="minorHAnsi" w:cstheme="minorBidi"/>
              <w:noProof/>
              <w:kern w:val="2"/>
              <w:sz w:val="24"/>
              <w:szCs w:val="24"/>
              <w:lang w:val="fr-CD" w:eastAsia="fr-CD"/>
            </w:rPr>
          </w:pPr>
          <w:hyperlink w:anchor="_Toc163230399" w:history="1">
            <w:r w:rsidR="00451976" w:rsidRPr="006A7EB5">
              <w:rPr>
                <w:rStyle w:val="Lienhypertexte"/>
                <w:rFonts w:ascii="Avenir Next LT Pro" w:hAnsi="Avenir Next LT Pro"/>
                <w:noProof/>
              </w:rPr>
              <w:t>d)</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Plan des livrables</w:t>
            </w:r>
            <w:r w:rsidR="00451976">
              <w:rPr>
                <w:noProof/>
                <w:webHidden/>
              </w:rPr>
              <w:tab/>
            </w:r>
            <w:r w:rsidR="00451976">
              <w:rPr>
                <w:noProof/>
                <w:webHidden/>
              </w:rPr>
              <w:fldChar w:fldCharType="begin"/>
            </w:r>
            <w:r w:rsidR="00451976">
              <w:rPr>
                <w:noProof/>
                <w:webHidden/>
              </w:rPr>
              <w:instrText xml:space="preserve"> PAGEREF _Toc163230399 \h </w:instrText>
            </w:r>
            <w:r w:rsidR="00451976">
              <w:rPr>
                <w:noProof/>
                <w:webHidden/>
              </w:rPr>
            </w:r>
            <w:r w:rsidR="00451976">
              <w:rPr>
                <w:noProof/>
                <w:webHidden/>
              </w:rPr>
              <w:fldChar w:fldCharType="separate"/>
            </w:r>
            <w:r w:rsidR="0059639C">
              <w:rPr>
                <w:noProof/>
                <w:webHidden/>
              </w:rPr>
              <w:t>74</w:t>
            </w:r>
            <w:r w:rsidR="00451976">
              <w:rPr>
                <w:noProof/>
                <w:webHidden/>
              </w:rPr>
              <w:fldChar w:fldCharType="end"/>
            </w:r>
          </w:hyperlink>
        </w:p>
        <w:p w14:paraId="035BF970" w14:textId="0CE6F1C8" w:rsidR="00451976" w:rsidRPr="00DD741A" w:rsidRDefault="00000000" w:rsidP="00451976">
          <w:pPr>
            <w:pStyle w:val="TM1"/>
            <w:rPr>
              <w:rFonts w:asciiTheme="minorHAnsi" w:eastAsiaTheme="minorEastAsia" w:hAnsiTheme="minorHAnsi" w:cstheme="minorBidi"/>
              <w:noProof/>
              <w:kern w:val="2"/>
              <w:sz w:val="24"/>
              <w:szCs w:val="24"/>
              <w:lang w:val="fr-CD" w:eastAsia="fr-CD"/>
            </w:rPr>
          </w:pPr>
          <w:hyperlink w:anchor="_Toc163230400" w:history="1">
            <w:r w:rsidR="00451976" w:rsidRPr="006A7EB5">
              <w:rPr>
                <w:rStyle w:val="Lienhypertexte"/>
                <w:rFonts w:ascii="Avenir Next LT Pro" w:hAnsi="Avenir Next LT Pro"/>
                <w:noProof/>
              </w:rPr>
              <w:t>13)</w:t>
            </w:r>
            <w:r w:rsidR="00451976" w:rsidRPr="00DD741A">
              <w:rPr>
                <w:rFonts w:asciiTheme="minorHAnsi" w:eastAsiaTheme="minorEastAsia" w:hAnsiTheme="minorHAnsi" w:cstheme="minorBidi"/>
                <w:noProof/>
                <w:kern w:val="2"/>
                <w:sz w:val="24"/>
                <w:szCs w:val="24"/>
                <w:lang w:val="fr-CD" w:eastAsia="fr-CD"/>
              </w:rPr>
              <w:tab/>
            </w:r>
            <w:r w:rsidR="00451976" w:rsidRPr="006A7EB5">
              <w:rPr>
                <w:rStyle w:val="Lienhypertexte"/>
                <w:rFonts w:ascii="Avenir Next LT Pro" w:hAnsi="Avenir Next LT Pro"/>
                <w:noProof/>
              </w:rPr>
              <w:t>ANNEXES</w:t>
            </w:r>
            <w:r w:rsidR="00451976">
              <w:rPr>
                <w:noProof/>
                <w:webHidden/>
              </w:rPr>
              <w:tab/>
            </w:r>
            <w:r w:rsidR="00451976">
              <w:rPr>
                <w:noProof/>
                <w:webHidden/>
              </w:rPr>
              <w:fldChar w:fldCharType="begin"/>
            </w:r>
            <w:r w:rsidR="00451976">
              <w:rPr>
                <w:noProof/>
                <w:webHidden/>
              </w:rPr>
              <w:instrText xml:space="preserve"> PAGEREF _Toc163230400 \h </w:instrText>
            </w:r>
            <w:r w:rsidR="00451976">
              <w:rPr>
                <w:noProof/>
                <w:webHidden/>
              </w:rPr>
            </w:r>
            <w:r w:rsidR="00451976">
              <w:rPr>
                <w:noProof/>
                <w:webHidden/>
              </w:rPr>
              <w:fldChar w:fldCharType="separate"/>
            </w:r>
            <w:r w:rsidR="0059639C">
              <w:rPr>
                <w:noProof/>
                <w:webHidden/>
              </w:rPr>
              <w:t>75</w:t>
            </w:r>
            <w:r w:rsidR="00451976">
              <w:rPr>
                <w:noProof/>
                <w:webHidden/>
              </w:rPr>
              <w:fldChar w:fldCharType="end"/>
            </w:r>
          </w:hyperlink>
        </w:p>
        <w:p w14:paraId="7A7CF1C2" w14:textId="12D62ECC"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1" w:history="1">
            <w:r w:rsidR="00451976" w:rsidRPr="006A7EB5">
              <w:rPr>
                <w:rStyle w:val="Lienhypertexte"/>
                <w:noProof/>
              </w:rPr>
              <w:t>ANNEXE 1 : Engagement des parties prenantes dans le processus de développement du projet</w:t>
            </w:r>
            <w:r w:rsidR="00451976">
              <w:rPr>
                <w:noProof/>
                <w:webHidden/>
              </w:rPr>
              <w:tab/>
            </w:r>
            <w:r w:rsidR="00451976">
              <w:rPr>
                <w:noProof/>
                <w:webHidden/>
              </w:rPr>
              <w:fldChar w:fldCharType="begin"/>
            </w:r>
            <w:r w:rsidR="00451976">
              <w:rPr>
                <w:noProof/>
                <w:webHidden/>
              </w:rPr>
              <w:instrText xml:space="preserve"> PAGEREF _Toc163230401 \h </w:instrText>
            </w:r>
            <w:r w:rsidR="00451976">
              <w:rPr>
                <w:noProof/>
                <w:webHidden/>
              </w:rPr>
            </w:r>
            <w:r w:rsidR="00451976">
              <w:rPr>
                <w:noProof/>
                <w:webHidden/>
              </w:rPr>
              <w:fldChar w:fldCharType="separate"/>
            </w:r>
            <w:r w:rsidR="0059639C">
              <w:rPr>
                <w:noProof/>
                <w:webHidden/>
              </w:rPr>
              <w:t>76</w:t>
            </w:r>
            <w:r w:rsidR="00451976">
              <w:rPr>
                <w:noProof/>
                <w:webHidden/>
              </w:rPr>
              <w:fldChar w:fldCharType="end"/>
            </w:r>
          </w:hyperlink>
        </w:p>
        <w:p w14:paraId="2653A8E6" w14:textId="3DCDF0DF"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2" w:history="1">
            <w:r w:rsidR="00451976" w:rsidRPr="006A7EB5">
              <w:rPr>
                <w:rStyle w:val="Lienhypertexte"/>
                <w:noProof/>
              </w:rPr>
              <w:t>ANNEXE 2 : Analyse et plan d’action genre</w:t>
            </w:r>
            <w:r w:rsidR="00451976">
              <w:rPr>
                <w:noProof/>
                <w:webHidden/>
              </w:rPr>
              <w:tab/>
            </w:r>
            <w:r w:rsidR="00451976">
              <w:rPr>
                <w:noProof/>
                <w:webHidden/>
              </w:rPr>
              <w:fldChar w:fldCharType="begin"/>
            </w:r>
            <w:r w:rsidR="00451976">
              <w:rPr>
                <w:noProof/>
                <w:webHidden/>
              </w:rPr>
              <w:instrText xml:space="preserve"> PAGEREF _Toc163230402 \h </w:instrText>
            </w:r>
            <w:r w:rsidR="00451976">
              <w:rPr>
                <w:noProof/>
                <w:webHidden/>
              </w:rPr>
            </w:r>
            <w:r w:rsidR="00451976">
              <w:rPr>
                <w:noProof/>
                <w:webHidden/>
              </w:rPr>
              <w:fldChar w:fldCharType="separate"/>
            </w:r>
            <w:r w:rsidR="0059639C">
              <w:rPr>
                <w:noProof/>
                <w:webHidden/>
              </w:rPr>
              <w:t>78</w:t>
            </w:r>
            <w:r w:rsidR="00451976">
              <w:rPr>
                <w:noProof/>
                <w:webHidden/>
              </w:rPr>
              <w:fldChar w:fldCharType="end"/>
            </w:r>
          </w:hyperlink>
        </w:p>
        <w:p w14:paraId="7283381F" w14:textId="209E6DA9"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3" w:history="1">
            <w:r w:rsidR="00451976" w:rsidRPr="006A7EB5">
              <w:rPr>
                <w:rStyle w:val="Lienhypertexte"/>
                <w:noProof/>
              </w:rPr>
              <w:t>ANNEXE 3 : Stratégie de communication</w:t>
            </w:r>
            <w:r w:rsidR="00451976">
              <w:rPr>
                <w:noProof/>
                <w:webHidden/>
              </w:rPr>
              <w:tab/>
            </w:r>
            <w:r w:rsidR="00451976">
              <w:rPr>
                <w:noProof/>
                <w:webHidden/>
              </w:rPr>
              <w:fldChar w:fldCharType="begin"/>
            </w:r>
            <w:r w:rsidR="00451976">
              <w:rPr>
                <w:noProof/>
                <w:webHidden/>
              </w:rPr>
              <w:instrText xml:space="preserve"> PAGEREF _Toc163230403 \h </w:instrText>
            </w:r>
            <w:r w:rsidR="00451976">
              <w:rPr>
                <w:noProof/>
                <w:webHidden/>
              </w:rPr>
            </w:r>
            <w:r w:rsidR="00451976">
              <w:rPr>
                <w:noProof/>
                <w:webHidden/>
              </w:rPr>
              <w:fldChar w:fldCharType="separate"/>
            </w:r>
            <w:r w:rsidR="0059639C">
              <w:rPr>
                <w:noProof/>
                <w:webHidden/>
              </w:rPr>
              <w:t>81</w:t>
            </w:r>
            <w:r w:rsidR="00451976">
              <w:rPr>
                <w:noProof/>
                <w:webHidden/>
              </w:rPr>
              <w:fldChar w:fldCharType="end"/>
            </w:r>
          </w:hyperlink>
        </w:p>
        <w:p w14:paraId="2F0D02C9" w14:textId="78E1AD47"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4" w:history="1">
            <w:r w:rsidR="00451976" w:rsidRPr="006A7EB5">
              <w:rPr>
                <w:rStyle w:val="Lienhypertexte"/>
                <w:noProof/>
              </w:rPr>
              <w:t>ANNEXE 4 : Plan d’approvisionnement / Passation de marché</w:t>
            </w:r>
            <w:r w:rsidR="00451976">
              <w:rPr>
                <w:noProof/>
                <w:webHidden/>
              </w:rPr>
              <w:tab/>
            </w:r>
            <w:r w:rsidR="00451976">
              <w:rPr>
                <w:noProof/>
                <w:webHidden/>
              </w:rPr>
              <w:fldChar w:fldCharType="begin"/>
            </w:r>
            <w:r w:rsidR="00451976">
              <w:rPr>
                <w:noProof/>
                <w:webHidden/>
              </w:rPr>
              <w:instrText xml:space="preserve"> PAGEREF _Toc163230404 \h </w:instrText>
            </w:r>
            <w:r w:rsidR="00451976">
              <w:rPr>
                <w:noProof/>
                <w:webHidden/>
              </w:rPr>
            </w:r>
            <w:r w:rsidR="00451976">
              <w:rPr>
                <w:noProof/>
                <w:webHidden/>
              </w:rPr>
              <w:fldChar w:fldCharType="separate"/>
            </w:r>
            <w:r w:rsidR="0059639C">
              <w:rPr>
                <w:noProof/>
                <w:webHidden/>
              </w:rPr>
              <w:t>84</w:t>
            </w:r>
            <w:r w:rsidR="00451976">
              <w:rPr>
                <w:noProof/>
                <w:webHidden/>
              </w:rPr>
              <w:fldChar w:fldCharType="end"/>
            </w:r>
          </w:hyperlink>
        </w:p>
        <w:p w14:paraId="2130A6DF" w14:textId="04C1888A"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5" w:history="1">
            <w:r w:rsidR="00451976" w:rsidRPr="006A7EB5">
              <w:rPr>
                <w:rStyle w:val="Lienhypertexte"/>
                <w:noProof/>
              </w:rPr>
              <w:t>ANNEXE 5 : Termes de référence pour le recrutement des experts clés de l’Unité de Gestion du Projet (versions provisoires ou définitives)</w:t>
            </w:r>
            <w:r w:rsidR="00451976">
              <w:rPr>
                <w:noProof/>
                <w:webHidden/>
              </w:rPr>
              <w:tab/>
            </w:r>
            <w:r w:rsidR="00451976">
              <w:rPr>
                <w:noProof/>
                <w:webHidden/>
              </w:rPr>
              <w:fldChar w:fldCharType="begin"/>
            </w:r>
            <w:r w:rsidR="00451976">
              <w:rPr>
                <w:noProof/>
                <w:webHidden/>
              </w:rPr>
              <w:instrText xml:space="preserve"> PAGEREF _Toc163230405 \h </w:instrText>
            </w:r>
            <w:r w:rsidR="00451976">
              <w:rPr>
                <w:noProof/>
                <w:webHidden/>
              </w:rPr>
            </w:r>
            <w:r w:rsidR="00451976">
              <w:rPr>
                <w:noProof/>
                <w:webHidden/>
              </w:rPr>
              <w:fldChar w:fldCharType="separate"/>
            </w:r>
            <w:r w:rsidR="0059639C">
              <w:rPr>
                <w:noProof/>
                <w:webHidden/>
              </w:rPr>
              <w:t>84</w:t>
            </w:r>
            <w:r w:rsidR="00451976">
              <w:rPr>
                <w:noProof/>
                <w:webHidden/>
              </w:rPr>
              <w:fldChar w:fldCharType="end"/>
            </w:r>
          </w:hyperlink>
        </w:p>
        <w:p w14:paraId="627E8849" w14:textId="0F9FC078"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6" w:history="1">
            <w:r w:rsidR="00451976" w:rsidRPr="006A7EB5">
              <w:rPr>
                <w:rStyle w:val="Lienhypertexte"/>
                <w:noProof/>
              </w:rPr>
              <w:t>ANNEXE 6 : Termes de référence des études à mener en année 1 pour un montant supérieur à 100 000 USD (versions provisoires ou définitives)</w:t>
            </w:r>
            <w:r w:rsidR="00451976">
              <w:rPr>
                <w:noProof/>
                <w:webHidden/>
              </w:rPr>
              <w:tab/>
            </w:r>
            <w:r w:rsidR="00451976">
              <w:rPr>
                <w:noProof/>
                <w:webHidden/>
              </w:rPr>
              <w:fldChar w:fldCharType="begin"/>
            </w:r>
            <w:r w:rsidR="00451976">
              <w:rPr>
                <w:noProof/>
                <w:webHidden/>
              </w:rPr>
              <w:instrText xml:space="preserve"> PAGEREF _Toc163230406 \h </w:instrText>
            </w:r>
            <w:r w:rsidR="00451976">
              <w:rPr>
                <w:noProof/>
                <w:webHidden/>
              </w:rPr>
            </w:r>
            <w:r w:rsidR="00451976">
              <w:rPr>
                <w:noProof/>
                <w:webHidden/>
              </w:rPr>
              <w:fldChar w:fldCharType="separate"/>
            </w:r>
            <w:r w:rsidR="0059639C">
              <w:rPr>
                <w:noProof/>
                <w:webHidden/>
              </w:rPr>
              <w:t>91</w:t>
            </w:r>
            <w:r w:rsidR="00451976">
              <w:rPr>
                <w:noProof/>
                <w:webHidden/>
              </w:rPr>
              <w:fldChar w:fldCharType="end"/>
            </w:r>
          </w:hyperlink>
        </w:p>
        <w:p w14:paraId="2B3F391B" w14:textId="7EA7871E"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7" w:history="1">
            <w:r w:rsidR="00451976" w:rsidRPr="006A7EB5">
              <w:rPr>
                <w:rStyle w:val="Lienhypertexte"/>
                <w:noProof/>
              </w:rPr>
              <w:t>ANNEXE 7 :  Plan de renforcement et transfert de capacités clairement décrits</w:t>
            </w:r>
            <w:r w:rsidR="00451976">
              <w:rPr>
                <w:noProof/>
                <w:webHidden/>
              </w:rPr>
              <w:tab/>
            </w:r>
            <w:r w:rsidR="00451976">
              <w:rPr>
                <w:noProof/>
                <w:webHidden/>
              </w:rPr>
              <w:fldChar w:fldCharType="begin"/>
            </w:r>
            <w:r w:rsidR="00451976">
              <w:rPr>
                <w:noProof/>
                <w:webHidden/>
              </w:rPr>
              <w:instrText xml:space="preserve"> PAGEREF _Toc163230407 \h </w:instrText>
            </w:r>
            <w:r w:rsidR="00451976">
              <w:rPr>
                <w:noProof/>
                <w:webHidden/>
              </w:rPr>
            </w:r>
            <w:r w:rsidR="00451976">
              <w:rPr>
                <w:noProof/>
                <w:webHidden/>
              </w:rPr>
              <w:fldChar w:fldCharType="separate"/>
            </w:r>
            <w:r w:rsidR="0059639C">
              <w:rPr>
                <w:noProof/>
                <w:webHidden/>
              </w:rPr>
              <w:t>92</w:t>
            </w:r>
            <w:r w:rsidR="00451976">
              <w:rPr>
                <w:noProof/>
                <w:webHidden/>
              </w:rPr>
              <w:fldChar w:fldCharType="end"/>
            </w:r>
          </w:hyperlink>
        </w:p>
        <w:p w14:paraId="337E7975" w14:textId="7BF78DB2"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8" w:history="1">
            <w:r w:rsidR="00451976" w:rsidRPr="006A7EB5">
              <w:rPr>
                <w:rStyle w:val="Lienhypertexte"/>
                <w:noProof/>
              </w:rPr>
              <w:t>ANNEXE 8 : Conditions de signature du projet et décaissement des tranches de financement imposées par les Organes de Gouvernance du Partenariat</w:t>
            </w:r>
            <w:r w:rsidR="00451976">
              <w:rPr>
                <w:noProof/>
                <w:webHidden/>
              </w:rPr>
              <w:tab/>
            </w:r>
            <w:r w:rsidR="00451976">
              <w:rPr>
                <w:noProof/>
                <w:webHidden/>
              </w:rPr>
              <w:fldChar w:fldCharType="begin"/>
            </w:r>
            <w:r w:rsidR="00451976">
              <w:rPr>
                <w:noProof/>
                <w:webHidden/>
              </w:rPr>
              <w:instrText xml:space="preserve"> PAGEREF _Toc163230408 \h </w:instrText>
            </w:r>
            <w:r w:rsidR="00451976">
              <w:rPr>
                <w:noProof/>
                <w:webHidden/>
              </w:rPr>
            </w:r>
            <w:r w:rsidR="00451976">
              <w:rPr>
                <w:noProof/>
                <w:webHidden/>
              </w:rPr>
              <w:fldChar w:fldCharType="separate"/>
            </w:r>
            <w:r w:rsidR="0059639C">
              <w:rPr>
                <w:noProof/>
                <w:webHidden/>
              </w:rPr>
              <w:t>100</w:t>
            </w:r>
            <w:r w:rsidR="00451976">
              <w:rPr>
                <w:noProof/>
                <w:webHidden/>
              </w:rPr>
              <w:fldChar w:fldCharType="end"/>
            </w:r>
          </w:hyperlink>
        </w:p>
        <w:p w14:paraId="16063D45" w14:textId="6303D2FC"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09" w:history="1">
            <w:r w:rsidR="00451976" w:rsidRPr="006A7EB5">
              <w:rPr>
                <w:rStyle w:val="Lienhypertexte"/>
                <w:noProof/>
              </w:rPr>
              <w:t>ANNEXE 9 : Indicateurs standards FONAREDD/CAFI pour les PIREDD</w:t>
            </w:r>
            <w:r w:rsidR="00451976">
              <w:rPr>
                <w:noProof/>
                <w:webHidden/>
              </w:rPr>
              <w:tab/>
            </w:r>
            <w:r w:rsidR="00451976">
              <w:rPr>
                <w:noProof/>
                <w:webHidden/>
              </w:rPr>
              <w:fldChar w:fldCharType="begin"/>
            </w:r>
            <w:r w:rsidR="00451976">
              <w:rPr>
                <w:noProof/>
                <w:webHidden/>
              </w:rPr>
              <w:instrText xml:space="preserve"> PAGEREF _Toc163230409 \h </w:instrText>
            </w:r>
            <w:r w:rsidR="00451976">
              <w:rPr>
                <w:noProof/>
                <w:webHidden/>
              </w:rPr>
            </w:r>
            <w:r w:rsidR="00451976">
              <w:rPr>
                <w:noProof/>
                <w:webHidden/>
              </w:rPr>
              <w:fldChar w:fldCharType="separate"/>
            </w:r>
            <w:r w:rsidR="0059639C">
              <w:rPr>
                <w:noProof/>
                <w:webHidden/>
              </w:rPr>
              <w:t>101</w:t>
            </w:r>
            <w:r w:rsidR="00451976">
              <w:rPr>
                <w:noProof/>
                <w:webHidden/>
              </w:rPr>
              <w:fldChar w:fldCharType="end"/>
            </w:r>
          </w:hyperlink>
        </w:p>
        <w:p w14:paraId="086949A6" w14:textId="24C1E7FD"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10" w:history="1">
            <w:r w:rsidR="00451976" w:rsidRPr="006A7EB5">
              <w:rPr>
                <w:rStyle w:val="Lienhypertexte"/>
                <w:noProof/>
              </w:rPr>
              <w:t>ANNEXE 10 : Plan de travail et budget (PTBA) annuel détaillé pour l’année 1</w:t>
            </w:r>
            <w:r w:rsidR="00451976">
              <w:rPr>
                <w:noProof/>
                <w:webHidden/>
              </w:rPr>
              <w:tab/>
            </w:r>
            <w:r w:rsidR="00451976">
              <w:rPr>
                <w:noProof/>
                <w:webHidden/>
              </w:rPr>
              <w:fldChar w:fldCharType="begin"/>
            </w:r>
            <w:r w:rsidR="00451976">
              <w:rPr>
                <w:noProof/>
                <w:webHidden/>
              </w:rPr>
              <w:instrText xml:space="preserve"> PAGEREF _Toc163230410 \h </w:instrText>
            </w:r>
            <w:r w:rsidR="00451976">
              <w:rPr>
                <w:noProof/>
                <w:webHidden/>
              </w:rPr>
            </w:r>
            <w:r w:rsidR="00451976">
              <w:rPr>
                <w:noProof/>
                <w:webHidden/>
              </w:rPr>
              <w:fldChar w:fldCharType="separate"/>
            </w:r>
            <w:r w:rsidR="0059639C">
              <w:rPr>
                <w:noProof/>
                <w:webHidden/>
              </w:rPr>
              <w:t>110</w:t>
            </w:r>
            <w:r w:rsidR="00451976">
              <w:rPr>
                <w:noProof/>
                <w:webHidden/>
              </w:rPr>
              <w:fldChar w:fldCharType="end"/>
            </w:r>
          </w:hyperlink>
        </w:p>
        <w:p w14:paraId="4A3B2704" w14:textId="3DED919A" w:rsidR="00451976" w:rsidRPr="00DD741A" w:rsidRDefault="00000000">
          <w:pPr>
            <w:pStyle w:val="TM3"/>
            <w:tabs>
              <w:tab w:val="right" w:leader="dot" w:pos="9060"/>
            </w:tabs>
            <w:rPr>
              <w:rFonts w:asciiTheme="minorHAnsi" w:eastAsiaTheme="minorEastAsia" w:hAnsiTheme="minorHAnsi" w:cstheme="minorBidi"/>
              <w:noProof/>
              <w:kern w:val="2"/>
              <w:sz w:val="24"/>
              <w:szCs w:val="24"/>
              <w:lang w:val="fr-CD" w:eastAsia="fr-CD"/>
            </w:rPr>
          </w:pPr>
          <w:hyperlink w:anchor="_Toc163230411" w:history="1">
            <w:r w:rsidR="00451976" w:rsidRPr="006A7EB5">
              <w:rPr>
                <w:rStyle w:val="Lienhypertexte"/>
                <w:noProof/>
              </w:rPr>
              <w:t>ANNEXE 11 : Plan des livrables</w:t>
            </w:r>
            <w:r w:rsidR="00451976">
              <w:rPr>
                <w:noProof/>
                <w:webHidden/>
              </w:rPr>
              <w:tab/>
            </w:r>
            <w:r w:rsidR="00451976">
              <w:rPr>
                <w:noProof/>
                <w:webHidden/>
              </w:rPr>
              <w:fldChar w:fldCharType="begin"/>
            </w:r>
            <w:r w:rsidR="00451976">
              <w:rPr>
                <w:noProof/>
                <w:webHidden/>
              </w:rPr>
              <w:instrText xml:space="preserve"> PAGEREF _Toc163230411 \h </w:instrText>
            </w:r>
            <w:r w:rsidR="00451976">
              <w:rPr>
                <w:noProof/>
                <w:webHidden/>
              </w:rPr>
            </w:r>
            <w:r w:rsidR="00451976">
              <w:rPr>
                <w:noProof/>
                <w:webHidden/>
              </w:rPr>
              <w:fldChar w:fldCharType="separate"/>
            </w:r>
            <w:r w:rsidR="0059639C">
              <w:rPr>
                <w:noProof/>
                <w:webHidden/>
              </w:rPr>
              <w:t>111</w:t>
            </w:r>
            <w:r w:rsidR="00451976">
              <w:rPr>
                <w:noProof/>
                <w:webHidden/>
              </w:rPr>
              <w:fldChar w:fldCharType="end"/>
            </w:r>
          </w:hyperlink>
        </w:p>
        <w:p w14:paraId="6FEFF28A" w14:textId="5A54A9C1" w:rsidR="0068302F" w:rsidRPr="00C345C4" w:rsidRDefault="00ED5DBB" w:rsidP="0068302F">
          <w:pPr>
            <w:rPr>
              <w:rFonts w:ascii="Avenir Next LT Pro" w:hAnsi="Avenir Next LT Pro"/>
            </w:rPr>
          </w:pPr>
          <w:r>
            <w:rPr>
              <w:rFonts w:ascii="Avenir Next LT Pro" w:hAnsi="Avenir Next LT Pro"/>
            </w:rPr>
            <w:fldChar w:fldCharType="end"/>
          </w:r>
        </w:p>
      </w:sdtContent>
    </w:sdt>
    <w:p w14:paraId="735DAF65" w14:textId="063E9EF0" w:rsidR="00F916B5" w:rsidRPr="00C345C4" w:rsidRDefault="00F916B5" w:rsidP="009340BA">
      <w:pPr>
        <w:spacing w:after="120"/>
        <w:contextualSpacing/>
        <w:rPr>
          <w:rFonts w:ascii="Avenir Next LT Pro" w:eastAsiaTheme="minorHAnsi" w:hAnsi="Avenir Next LT Pro"/>
          <w:bCs/>
          <w:sz w:val="20"/>
          <w:szCs w:val="20"/>
          <w:highlight w:val="yellow"/>
        </w:rPr>
      </w:pPr>
    </w:p>
    <w:p w14:paraId="2B6404AD" w14:textId="00923E7B" w:rsidR="00C1381A" w:rsidRPr="00C345C4" w:rsidRDefault="00C1381A">
      <w:pPr>
        <w:spacing w:after="160" w:line="259" w:lineRule="auto"/>
        <w:rPr>
          <w:rFonts w:ascii="Avenir Next LT Pro" w:eastAsiaTheme="minorHAnsi" w:hAnsi="Avenir Next LT Pro"/>
          <w:b/>
          <w:sz w:val="20"/>
          <w:szCs w:val="20"/>
          <w:highlight w:val="yellow"/>
        </w:rPr>
      </w:pPr>
      <w:r w:rsidRPr="00C345C4">
        <w:rPr>
          <w:rFonts w:ascii="Avenir Next LT Pro" w:eastAsiaTheme="minorHAnsi" w:hAnsi="Avenir Next LT Pro"/>
          <w:b/>
          <w:sz w:val="20"/>
          <w:szCs w:val="20"/>
          <w:highlight w:val="yellow"/>
        </w:rPr>
        <w:br w:type="page"/>
      </w:r>
    </w:p>
    <w:p w14:paraId="316D2F7B" w14:textId="367D49EA" w:rsidR="00954A2D" w:rsidRPr="00C345C4" w:rsidRDefault="00C1381A" w:rsidP="00C1381A">
      <w:pPr>
        <w:pStyle w:val="Titre1"/>
        <w:numPr>
          <w:ilvl w:val="0"/>
          <w:numId w:val="0"/>
        </w:numPr>
        <w:ind w:left="357" w:hanging="357"/>
        <w:rPr>
          <w:rFonts w:ascii="Avenir Next LT Pro" w:hAnsi="Avenir Next LT Pro"/>
        </w:rPr>
      </w:pPr>
      <w:bookmarkStart w:id="4" w:name="_Toc163230356"/>
      <w:r w:rsidRPr="00C345C4">
        <w:rPr>
          <w:rFonts w:ascii="Avenir Next LT Pro" w:hAnsi="Avenir Next LT Pro"/>
        </w:rPr>
        <w:lastRenderedPageBreak/>
        <w:t>Acronymes</w:t>
      </w:r>
      <w:bookmarkEnd w:id="4"/>
    </w:p>
    <w:tbl>
      <w:tblPr>
        <w:tblStyle w:val="Grilledutableau"/>
        <w:tblW w:w="0" w:type="auto"/>
        <w:tblLook w:val="06A0" w:firstRow="1" w:lastRow="0" w:firstColumn="1" w:lastColumn="0" w:noHBand="1" w:noVBand="1"/>
      </w:tblPr>
      <w:tblGrid>
        <w:gridCol w:w="1435"/>
        <w:gridCol w:w="7625"/>
      </w:tblGrid>
      <w:tr w:rsidR="008519E3" w:rsidRPr="00EE5F17" w14:paraId="006AFFC5" w14:textId="77777777" w:rsidTr="0068224E">
        <w:tc>
          <w:tcPr>
            <w:tcW w:w="1435" w:type="dxa"/>
          </w:tcPr>
          <w:p w14:paraId="5B1F5867"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ACMI</w:t>
            </w:r>
          </w:p>
        </w:tc>
        <w:tc>
          <w:tcPr>
            <w:tcW w:w="7627" w:type="dxa"/>
          </w:tcPr>
          <w:p w14:paraId="5C8F4C32"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 xml:space="preserve">African Carbon </w:t>
            </w:r>
            <w:proofErr w:type="spellStart"/>
            <w:r w:rsidRPr="00EE5F17">
              <w:rPr>
                <w:rFonts w:ascii="Avenir Next LT Pro" w:hAnsi="Avenir Next LT Pro" w:cstheme="minorHAnsi"/>
                <w:sz w:val="20"/>
                <w:szCs w:val="20"/>
              </w:rPr>
              <w:t>Markets</w:t>
            </w:r>
            <w:proofErr w:type="spellEnd"/>
            <w:r w:rsidRPr="00EE5F17">
              <w:rPr>
                <w:rFonts w:ascii="Avenir Next LT Pro" w:hAnsi="Avenir Next LT Pro" w:cstheme="minorHAnsi"/>
                <w:sz w:val="20"/>
                <w:szCs w:val="20"/>
              </w:rPr>
              <w:t xml:space="preserve"> Initiative</w:t>
            </w:r>
          </w:p>
        </w:tc>
      </w:tr>
      <w:tr w:rsidR="008519E3" w:rsidRPr="00EE5F17" w14:paraId="158502F5" w14:textId="77777777" w:rsidTr="0068224E">
        <w:tc>
          <w:tcPr>
            <w:tcW w:w="1435" w:type="dxa"/>
          </w:tcPr>
          <w:p w14:paraId="23E2E7BC"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ARMCA</w:t>
            </w:r>
          </w:p>
        </w:tc>
        <w:tc>
          <w:tcPr>
            <w:tcW w:w="7627" w:type="dxa"/>
          </w:tcPr>
          <w:p w14:paraId="52E0CF7E"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Autorité Nationale de Régulation du Marché de Carbone</w:t>
            </w:r>
          </w:p>
        </w:tc>
      </w:tr>
      <w:tr w:rsidR="008519E3" w:rsidRPr="00EE5F17" w14:paraId="1A29D0AA" w14:textId="77777777" w:rsidTr="0068224E">
        <w:tc>
          <w:tcPr>
            <w:tcW w:w="1435" w:type="dxa"/>
          </w:tcPr>
          <w:p w14:paraId="2ACF3BA2"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CAFI</w:t>
            </w:r>
          </w:p>
        </w:tc>
        <w:tc>
          <w:tcPr>
            <w:tcW w:w="7627" w:type="dxa"/>
          </w:tcPr>
          <w:p w14:paraId="6B2F8C64"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Initiative pour les Forêts de l’Afrique Centrale</w:t>
            </w:r>
          </w:p>
        </w:tc>
      </w:tr>
      <w:tr w:rsidR="008519E3" w:rsidRPr="00EE5F17" w14:paraId="6480A4BF" w14:textId="77777777" w:rsidTr="0068224E">
        <w:tc>
          <w:tcPr>
            <w:tcW w:w="1435" w:type="dxa"/>
          </w:tcPr>
          <w:p w14:paraId="5136D8CE"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CCNUCC</w:t>
            </w:r>
          </w:p>
        </w:tc>
        <w:tc>
          <w:tcPr>
            <w:tcW w:w="7627" w:type="dxa"/>
          </w:tcPr>
          <w:p w14:paraId="402848E1"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Convention-Cadre des Nations Unies sur la lutte contre le Changement Climatique</w:t>
            </w:r>
          </w:p>
        </w:tc>
      </w:tr>
      <w:tr w:rsidR="008519E3" w:rsidRPr="00EE5F17" w14:paraId="2DC96320" w14:textId="77777777" w:rsidTr="0068224E">
        <w:tc>
          <w:tcPr>
            <w:tcW w:w="1435" w:type="dxa"/>
          </w:tcPr>
          <w:p w14:paraId="363D1864"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CDN</w:t>
            </w:r>
          </w:p>
        </w:tc>
        <w:tc>
          <w:tcPr>
            <w:tcW w:w="7627" w:type="dxa"/>
          </w:tcPr>
          <w:p w14:paraId="60DD8879"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Contribution Déterminée à l’échelle Nationale</w:t>
            </w:r>
          </w:p>
        </w:tc>
      </w:tr>
      <w:tr w:rsidR="008519E3" w:rsidRPr="00EE5F17" w14:paraId="4488BCC2" w14:textId="77777777" w:rsidTr="0068224E">
        <w:tc>
          <w:tcPr>
            <w:tcW w:w="1435" w:type="dxa"/>
          </w:tcPr>
          <w:p w14:paraId="21EC7BF3"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CLEP</w:t>
            </w:r>
          </w:p>
        </w:tc>
        <w:tc>
          <w:tcPr>
            <w:tcW w:w="7627" w:type="dxa"/>
          </w:tcPr>
          <w:p w14:paraId="085BCB09"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Comité Local d’Examen du Projet</w:t>
            </w:r>
          </w:p>
        </w:tc>
      </w:tr>
      <w:tr w:rsidR="008519E3" w:rsidRPr="00EE5F17" w14:paraId="5AD4C5C7" w14:textId="77777777" w:rsidTr="0068224E">
        <w:tc>
          <w:tcPr>
            <w:tcW w:w="1435" w:type="dxa"/>
          </w:tcPr>
          <w:p w14:paraId="4CBE49EC"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COPIL</w:t>
            </w:r>
          </w:p>
        </w:tc>
        <w:tc>
          <w:tcPr>
            <w:tcW w:w="7627" w:type="dxa"/>
          </w:tcPr>
          <w:p w14:paraId="3B26CEB5"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Comité de Pilotage</w:t>
            </w:r>
          </w:p>
        </w:tc>
      </w:tr>
      <w:tr w:rsidR="008519E3" w:rsidRPr="00EE5F17" w14:paraId="68BEFF01" w14:textId="77777777" w:rsidTr="0068224E">
        <w:tc>
          <w:tcPr>
            <w:tcW w:w="1435" w:type="dxa"/>
          </w:tcPr>
          <w:p w14:paraId="2FB43CD5"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CO</w:t>
            </w:r>
            <w:r w:rsidRPr="00EE5F17">
              <w:rPr>
                <w:rFonts w:ascii="Cambria Math" w:hAnsi="Cambria Math" w:cs="Cambria Math"/>
                <w:sz w:val="20"/>
                <w:szCs w:val="20"/>
              </w:rPr>
              <w:t>₂</w:t>
            </w:r>
          </w:p>
        </w:tc>
        <w:tc>
          <w:tcPr>
            <w:tcW w:w="7627" w:type="dxa"/>
          </w:tcPr>
          <w:p w14:paraId="308E938B"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 xml:space="preserve">Dioxyde de Carbone </w:t>
            </w:r>
          </w:p>
        </w:tc>
      </w:tr>
      <w:tr w:rsidR="008519E3" w:rsidRPr="00EE5F17" w14:paraId="71A079DB" w14:textId="77777777" w:rsidTr="0068224E">
        <w:tc>
          <w:tcPr>
            <w:tcW w:w="1435" w:type="dxa"/>
          </w:tcPr>
          <w:p w14:paraId="0249BC75"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DDD</w:t>
            </w:r>
          </w:p>
        </w:tc>
        <w:tc>
          <w:tcPr>
            <w:tcW w:w="7627" w:type="dxa"/>
          </w:tcPr>
          <w:p w14:paraId="61CF87FA"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 xml:space="preserve">Direction du Développement Durable </w:t>
            </w:r>
          </w:p>
        </w:tc>
      </w:tr>
      <w:tr w:rsidR="008519E3" w:rsidRPr="00EE5F17" w14:paraId="3DC94C0D" w14:textId="77777777" w:rsidTr="0068224E">
        <w:tc>
          <w:tcPr>
            <w:tcW w:w="1435" w:type="dxa"/>
          </w:tcPr>
          <w:p w14:paraId="346FB6F4"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ERA</w:t>
            </w:r>
          </w:p>
        </w:tc>
        <w:tc>
          <w:tcPr>
            <w:tcW w:w="7627" w:type="dxa"/>
          </w:tcPr>
          <w:p w14:paraId="3CCA73CD"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proofErr w:type="spellStart"/>
            <w:r w:rsidRPr="00EE5F17">
              <w:rPr>
                <w:rFonts w:ascii="Avenir Next LT Pro" w:hAnsi="Avenir Next LT Pro" w:cstheme="minorHAnsi"/>
                <w:sz w:val="20"/>
                <w:szCs w:val="20"/>
              </w:rPr>
              <w:t>Ecosystem</w:t>
            </w:r>
            <w:proofErr w:type="spellEnd"/>
            <w:r w:rsidRPr="00EE5F17">
              <w:rPr>
                <w:rFonts w:ascii="Avenir Next LT Pro" w:hAnsi="Avenir Next LT Pro" w:cstheme="minorHAnsi"/>
                <w:sz w:val="20"/>
                <w:szCs w:val="20"/>
              </w:rPr>
              <w:t xml:space="preserve"> </w:t>
            </w:r>
            <w:proofErr w:type="spellStart"/>
            <w:r w:rsidRPr="00EE5F17">
              <w:rPr>
                <w:rFonts w:ascii="Avenir Next LT Pro" w:hAnsi="Avenir Next LT Pro" w:cstheme="minorHAnsi"/>
                <w:sz w:val="20"/>
                <w:szCs w:val="20"/>
              </w:rPr>
              <w:t>Restoration</w:t>
            </w:r>
            <w:proofErr w:type="spellEnd"/>
            <w:r w:rsidRPr="00EE5F17">
              <w:rPr>
                <w:rFonts w:ascii="Avenir Next LT Pro" w:hAnsi="Avenir Next LT Pro" w:cstheme="minorHAnsi"/>
                <w:sz w:val="20"/>
                <w:szCs w:val="20"/>
              </w:rPr>
              <w:t xml:space="preserve"> Associates</w:t>
            </w:r>
          </w:p>
        </w:tc>
      </w:tr>
      <w:tr w:rsidR="008519E3" w:rsidRPr="00EE5F17" w14:paraId="6E0F0645" w14:textId="77777777" w:rsidTr="0068224E">
        <w:tc>
          <w:tcPr>
            <w:tcW w:w="1435" w:type="dxa"/>
          </w:tcPr>
          <w:p w14:paraId="6E775A9F"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ETD</w:t>
            </w:r>
          </w:p>
        </w:tc>
        <w:tc>
          <w:tcPr>
            <w:tcW w:w="7627" w:type="dxa"/>
          </w:tcPr>
          <w:p w14:paraId="73DC8609"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 xml:space="preserve">Entités Administratives Décentralisées </w:t>
            </w:r>
          </w:p>
        </w:tc>
      </w:tr>
      <w:tr w:rsidR="008519E3" w:rsidRPr="00EE5F17" w14:paraId="488E2F7B" w14:textId="77777777" w:rsidTr="0068224E">
        <w:tc>
          <w:tcPr>
            <w:tcW w:w="1435" w:type="dxa"/>
          </w:tcPr>
          <w:p w14:paraId="517080C6"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FONAREDD</w:t>
            </w:r>
          </w:p>
        </w:tc>
        <w:tc>
          <w:tcPr>
            <w:tcW w:w="7627" w:type="dxa"/>
          </w:tcPr>
          <w:p w14:paraId="64090192"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Fonds National REDD</w:t>
            </w:r>
          </w:p>
        </w:tc>
      </w:tr>
      <w:tr w:rsidR="008519E3" w:rsidRPr="00EE5F17" w14:paraId="0CF52ADF" w14:textId="77777777" w:rsidTr="0068224E">
        <w:tc>
          <w:tcPr>
            <w:tcW w:w="1435" w:type="dxa"/>
          </w:tcPr>
          <w:p w14:paraId="11C05BAD"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GES</w:t>
            </w:r>
          </w:p>
        </w:tc>
        <w:tc>
          <w:tcPr>
            <w:tcW w:w="7627" w:type="dxa"/>
          </w:tcPr>
          <w:p w14:paraId="1B89B518"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Gaz à Effet de Serre</w:t>
            </w:r>
          </w:p>
        </w:tc>
      </w:tr>
      <w:tr w:rsidR="008519E3" w:rsidRPr="00EE5F17" w14:paraId="5B879DDF" w14:textId="77777777" w:rsidTr="0068224E">
        <w:tc>
          <w:tcPr>
            <w:tcW w:w="1435" w:type="dxa"/>
          </w:tcPr>
          <w:p w14:paraId="347A55A0"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LOI</w:t>
            </w:r>
          </w:p>
        </w:tc>
        <w:tc>
          <w:tcPr>
            <w:tcW w:w="7627" w:type="dxa"/>
          </w:tcPr>
          <w:p w14:paraId="54339FD5"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Lettre d’Intention</w:t>
            </w:r>
          </w:p>
        </w:tc>
      </w:tr>
      <w:tr w:rsidR="008519E3" w:rsidRPr="00EE5F17" w14:paraId="218D2F72" w14:textId="77777777" w:rsidTr="0068224E">
        <w:tc>
          <w:tcPr>
            <w:tcW w:w="1435" w:type="dxa"/>
          </w:tcPr>
          <w:p w14:paraId="7CC058A3"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MRV</w:t>
            </w:r>
          </w:p>
        </w:tc>
        <w:tc>
          <w:tcPr>
            <w:tcW w:w="7627" w:type="dxa"/>
          </w:tcPr>
          <w:p w14:paraId="7A15633E"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Système de Mesure, Notification et Vérification</w:t>
            </w:r>
          </w:p>
        </w:tc>
      </w:tr>
      <w:tr w:rsidR="008519E3" w:rsidRPr="00EE5F17" w14:paraId="0720CCA7" w14:textId="77777777" w:rsidTr="0068224E">
        <w:tc>
          <w:tcPr>
            <w:tcW w:w="1435" w:type="dxa"/>
          </w:tcPr>
          <w:p w14:paraId="4061EDDF"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NOVACEL</w:t>
            </w:r>
          </w:p>
        </w:tc>
        <w:tc>
          <w:tcPr>
            <w:tcW w:w="7627" w:type="dxa"/>
          </w:tcPr>
          <w:p w14:paraId="07EF6C77"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Nouvelle Société d’Agriculture, Culture et Elevage</w:t>
            </w:r>
          </w:p>
        </w:tc>
      </w:tr>
      <w:tr w:rsidR="008519E3" w:rsidRPr="00EE5F17" w14:paraId="0E46B0A2" w14:textId="77777777" w:rsidTr="0068224E">
        <w:tc>
          <w:tcPr>
            <w:tcW w:w="1435" w:type="dxa"/>
          </w:tcPr>
          <w:p w14:paraId="1057D7B8"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ODD</w:t>
            </w:r>
          </w:p>
        </w:tc>
        <w:tc>
          <w:tcPr>
            <w:tcW w:w="7627" w:type="dxa"/>
          </w:tcPr>
          <w:p w14:paraId="14FB7866"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Objectifs de Développement Durable</w:t>
            </w:r>
          </w:p>
        </w:tc>
      </w:tr>
      <w:tr w:rsidR="008519E3" w:rsidRPr="00EE5F17" w14:paraId="6279DE4B" w14:textId="77777777" w:rsidTr="0068224E">
        <w:tc>
          <w:tcPr>
            <w:tcW w:w="1435" w:type="dxa"/>
          </w:tcPr>
          <w:p w14:paraId="48F2E695"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ONG</w:t>
            </w:r>
          </w:p>
        </w:tc>
        <w:tc>
          <w:tcPr>
            <w:tcW w:w="7627" w:type="dxa"/>
          </w:tcPr>
          <w:p w14:paraId="2984B0A8"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Organisation Non Gouvernementale</w:t>
            </w:r>
          </w:p>
        </w:tc>
      </w:tr>
      <w:tr w:rsidR="008519E3" w:rsidRPr="00EE5F17" w14:paraId="3F738386" w14:textId="77777777" w:rsidTr="0068224E">
        <w:tc>
          <w:tcPr>
            <w:tcW w:w="1435" w:type="dxa"/>
          </w:tcPr>
          <w:p w14:paraId="7851C519"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PNUD</w:t>
            </w:r>
          </w:p>
        </w:tc>
        <w:tc>
          <w:tcPr>
            <w:tcW w:w="7627" w:type="dxa"/>
          </w:tcPr>
          <w:p w14:paraId="740358D3"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Programme des Nations Unies pour le Développement</w:t>
            </w:r>
          </w:p>
        </w:tc>
      </w:tr>
      <w:tr w:rsidR="008519E3" w:rsidRPr="00EE5F17" w14:paraId="1728DB75" w14:textId="77777777" w:rsidTr="0068224E">
        <w:tc>
          <w:tcPr>
            <w:tcW w:w="1435" w:type="dxa"/>
          </w:tcPr>
          <w:p w14:paraId="4D8982AC"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PNSD</w:t>
            </w:r>
          </w:p>
        </w:tc>
        <w:tc>
          <w:tcPr>
            <w:tcW w:w="7627" w:type="dxa"/>
          </w:tcPr>
          <w:p w14:paraId="2F66D5E7"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Plan nationale de stratégie et développement</w:t>
            </w:r>
          </w:p>
        </w:tc>
      </w:tr>
      <w:tr w:rsidR="008519E3" w:rsidRPr="00EE5F17" w14:paraId="69F24EB0" w14:textId="77777777" w:rsidTr="0068224E">
        <w:tc>
          <w:tcPr>
            <w:tcW w:w="1435" w:type="dxa"/>
          </w:tcPr>
          <w:p w14:paraId="1577D77F"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RDC</w:t>
            </w:r>
          </w:p>
        </w:tc>
        <w:tc>
          <w:tcPr>
            <w:tcW w:w="7627" w:type="dxa"/>
          </w:tcPr>
          <w:p w14:paraId="3192DB42"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République Démocratique du Congo</w:t>
            </w:r>
          </w:p>
        </w:tc>
      </w:tr>
      <w:tr w:rsidR="008519E3" w:rsidRPr="00EE5F17" w14:paraId="22A2D8C1" w14:textId="77777777" w:rsidTr="0068224E">
        <w:tc>
          <w:tcPr>
            <w:tcW w:w="1435" w:type="dxa"/>
          </w:tcPr>
          <w:p w14:paraId="0FC19C5E"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REDD</w:t>
            </w:r>
          </w:p>
        </w:tc>
        <w:tc>
          <w:tcPr>
            <w:tcW w:w="7627" w:type="dxa"/>
          </w:tcPr>
          <w:p w14:paraId="1198813E"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Réduction des Emissions dues à la Déforestations et Dégradations des forêts</w:t>
            </w:r>
          </w:p>
        </w:tc>
      </w:tr>
      <w:tr w:rsidR="008519E3" w:rsidRPr="00FF672C" w14:paraId="5C821C84" w14:textId="77777777" w:rsidTr="0068224E">
        <w:tc>
          <w:tcPr>
            <w:tcW w:w="1435" w:type="dxa"/>
          </w:tcPr>
          <w:p w14:paraId="5C62248D"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SWOT</w:t>
            </w:r>
          </w:p>
        </w:tc>
        <w:tc>
          <w:tcPr>
            <w:tcW w:w="7627" w:type="dxa"/>
          </w:tcPr>
          <w:p w14:paraId="3C211728" w14:textId="77777777" w:rsidR="008519E3" w:rsidRPr="00EE5F17" w:rsidRDefault="008519E3" w:rsidP="0068224E">
            <w:pPr>
              <w:spacing w:after="0"/>
              <w:rPr>
                <w:rFonts w:ascii="Avenir Next LT Pro" w:hAnsi="Avenir Next LT Pro" w:cstheme="minorHAnsi"/>
                <w:sz w:val="20"/>
                <w:szCs w:val="20"/>
                <w:lang w:val="en-US"/>
              </w:rPr>
            </w:pPr>
            <w:r w:rsidRPr="00EE5F17">
              <w:rPr>
                <w:rFonts w:ascii="Avenir Next LT Pro" w:hAnsi="Avenir Next LT Pro" w:cstheme="minorHAnsi"/>
                <w:sz w:val="20"/>
                <w:szCs w:val="20"/>
                <w:shd w:val="clear" w:color="auto" w:fill="FFFFFF"/>
                <w:lang w:val="en-US"/>
              </w:rPr>
              <w:t>Strengths, Weaknesses, Opportunities et Threats</w:t>
            </w:r>
          </w:p>
        </w:tc>
      </w:tr>
      <w:tr w:rsidR="008519E3" w:rsidRPr="00EE5F17" w14:paraId="3A3BE69D" w14:textId="77777777" w:rsidTr="0068224E">
        <w:tc>
          <w:tcPr>
            <w:tcW w:w="1435" w:type="dxa"/>
          </w:tcPr>
          <w:p w14:paraId="068CDCA2" w14:textId="77777777" w:rsidR="008519E3" w:rsidRPr="00EE5F17" w:rsidRDefault="008519E3" w:rsidP="0068224E">
            <w:pPr>
              <w:pStyle w:val="Paragraphedeliste"/>
              <w:spacing w:after="0" w:line="240" w:lineRule="auto"/>
              <w:ind w:left="67"/>
              <w:rPr>
                <w:rFonts w:ascii="Avenir Next LT Pro" w:hAnsi="Avenir Next LT Pro" w:cstheme="minorHAnsi"/>
                <w:sz w:val="20"/>
                <w:szCs w:val="20"/>
              </w:rPr>
            </w:pPr>
            <w:r w:rsidRPr="00EE5F17">
              <w:rPr>
                <w:rFonts w:ascii="Avenir Next LT Pro" w:hAnsi="Avenir Next LT Pro" w:cstheme="minorHAnsi"/>
                <w:sz w:val="20"/>
                <w:szCs w:val="20"/>
              </w:rPr>
              <w:t>USD</w:t>
            </w:r>
          </w:p>
        </w:tc>
        <w:tc>
          <w:tcPr>
            <w:tcW w:w="7627" w:type="dxa"/>
          </w:tcPr>
          <w:p w14:paraId="64F8DCCF" w14:textId="77777777" w:rsidR="008519E3" w:rsidRPr="00EE5F17" w:rsidRDefault="008519E3" w:rsidP="0068224E">
            <w:pPr>
              <w:pStyle w:val="Paragraphedeliste"/>
              <w:spacing w:after="0" w:line="240" w:lineRule="auto"/>
              <w:ind w:left="15"/>
              <w:rPr>
                <w:rFonts w:ascii="Avenir Next LT Pro" w:hAnsi="Avenir Next LT Pro" w:cstheme="minorHAnsi"/>
                <w:sz w:val="20"/>
                <w:szCs w:val="20"/>
              </w:rPr>
            </w:pPr>
            <w:r w:rsidRPr="00EE5F17">
              <w:rPr>
                <w:rFonts w:ascii="Avenir Next LT Pro" w:hAnsi="Avenir Next LT Pro" w:cstheme="minorHAnsi"/>
                <w:sz w:val="20"/>
                <w:szCs w:val="20"/>
              </w:rPr>
              <w:t>Dollar Américain</w:t>
            </w:r>
          </w:p>
        </w:tc>
      </w:tr>
    </w:tbl>
    <w:p w14:paraId="5286F831" w14:textId="77777777" w:rsidR="009340BA" w:rsidRPr="00C345C4" w:rsidRDefault="009340BA" w:rsidP="009340BA">
      <w:pPr>
        <w:spacing w:after="120"/>
        <w:rPr>
          <w:rFonts w:ascii="Avenir Next LT Pro" w:hAnsi="Avenir Next LT Pro"/>
          <w:lang w:eastAsia="fr-FR"/>
        </w:rPr>
      </w:pPr>
    </w:p>
    <w:p w14:paraId="27FC407C" w14:textId="18D8089F" w:rsidR="003E2D7B" w:rsidRPr="00C345C4" w:rsidRDefault="00C1381A" w:rsidP="00C1381A">
      <w:pPr>
        <w:pStyle w:val="Titre1"/>
        <w:numPr>
          <w:ilvl w:val="0"/>
          <w:numId w:val="0"/>
        </w:numPr>
        <w:ind w:left="357" w:hanging="357"/>
        <w:rPr>
          <w:rFonts w:ascii="Avenir Next LT Pro" w:hAnsi="Avenir Next LT Pro"/>
        </w:rPr>
      </w:pPr>
      <w:bookmarkStart w:id="5" w:name="_Toc163230357"/>
      <w:r w:rsidRPr="00C345C4">
        <w:rPr>
          <w:rFonts w:ascii="Avenir Next LT Pro" w:hAnsi="Avenir Next LT Pro"/>
        </w:rPr>
        <w:t>T</w:t>
      </w:r>
      <w:r w:rsidR="00F7260D" w:rsidRPr="00C345C4">
        <w:rPr>
          <w:rFonts w:ascii="Avenir Next LT Pro" w:hAnsi="Avenir Next LT Pro"/>
        </w:rPr>
        <w:t xml:space="preserve">ableaux </w:t>
      </w:r>
      <w:bookmarkEnd w:id="5"/>
    </w:p>
    <w:p w14:paraId="7788B429" w14:textId="4084C643" w:rsidR="00904C15" w:rsidRPr="00896804" w:rsidRDefault="00904C15">
      <w:pPr>
        <w:pStyle w:val="Tabledesillustrations"/>
        <w:tabs>
          <w:tab w:val="right" w:leader="dot" w:pos="9060"/>
        </w:tabs>
        <w:rPr>
          <w:rFonts w:ascii="Times New Roman" w:hAnsi="Times New Roman"/>
          <w:noProof/>
        </w:rPr>
      </w:pPr>
      <w:r>
        <w:rPr>
          <w:rFonts w:ascii="Avenir Next LT Pro" w:eastAsiaTheme="minorHAnsi" w:hAnsi="Avenir Next LT Pro" w:cstheme="minorHAnsi"/>
        </w:rPr>
        <w:fldChar w:fldCharType="begin"/>
      </w:r>
      <w:r>
        <w:rPr>
          <w:rFonts w:ascii="Avenir Next LT Pro" w:eastAsiaTheme="minorHAnsi" w:hAnsi="Avenir Next LT Pro" w:cstheme="minorHAnsi"/>
        </w:rPr>
        <w:instrText xml:space="preserve"> TOC \h \z \c "Tableau" </w:instrText>
      </w:r>
      <w:r>
        <w:rPr>
          <w:rFonts w:ascii="Avenir Next LT Pro" w:eastAsiaTheme="minorHAnsi" w:hAnsi="Avenir Next LT Pro" w:cstheme="minorHAnsi"/>
        </w:rPr>
        <w:fldChar w:fldCharType="separate"/>
      </w:r>
      <w:hyperlink w:anchor="_Toc179238785" w:history="1">
        <w:r w:rsidRPr="00896804">
          <w:rPr>
            <w:rStyle w:val="Lienhypertexte"/>
            <w:rFonts w:ascii="Times New Roman" w:hAnsi="Times New Roman"/>
            <w:noProof/>
          </w:rPr>
          <w:t>Tableau 1 Catégorie des projets carbone identifiés en RDC</w:t>
        </w:r>
        <w:r w:rsidRPr="00896804">
          <w:rPr>
            <w:rFonts w:ascii="Times New Roman" w:hAnsi="Times New Roman"/>
            <w:noProof/>
            <w:webHidden/>
          </w:rPr>
          <w:tab/>
        </w:r>
        <w:r w:rsidRPr="00896804">
          <w:rPr>
            <w:rFonts w:ascii="Times New Roman" w:hAnsi="Times New Roman"/>
            <w:noProof/>
            <w:webHidden/>
          </w:rPr>
          <w:fldChar w:fldCharType="begin"/>
        </w:r>
        <w:r w:rsidRPr="00896804">
          <w:rPr>
            <w:rFonts w:ascii="Times New Roman" w:hAnsi="Times New Roman"/>
            <w:noProof/>
            <w:webHidden/>
          </w:rPr>
          <w:instrText xml:space="preserve"> PAGEREF _Toc179238785 \h </w:instrText>
        </w:r>
        <w:r w:rsidRPr="00896804">
          <w:rPr>
            <w:rFonts w:ascii="Times New Roman" w:hAnsi="Times New Roman"/>
            <w:noProof/>
            <w:webHidden/>
          </w:rPr>
        </w:r>
        <w:r w:rsidRPr="00896804">
          <w:rPr>
            <w:rFonts w:ascii="Times New Roman" w:hAnsi="Times New Roman"/>
            <w:noProof/>
            <w:webHidden/>
          </w:rPr>
          <w:fldChar w:fldCharType="separate"/>
        </w:r>
        <w:r w:rsidR="0059639C">
          <w:rPr>
            <w:rFonts w:ascii="Times New Roman" w:hAnsi="Times New Roman"/>
            <w:noProof/>
            <w:webHidden/>
          </w:rPr>
          <w:t>13</w:t>
        </w:r>
        <w:r w:rsidRPr="00896804">
          <w:rPr>
            <w:rFonts w:ascii="Times New Roman" w:hAnsi="Times New Roman"/>
            <w:noProof/>
            <w:webHidden/>
          </w:rPr>
          <w:fldChar w:fldCharType="end"/>
        </w:r>
      </w:hyperlink>
    </w:p>
    <w:p w14:paraId="527490AA" w14:textId="40B6D0D5" w:rsidR="00904C15" w:rsidRPr="00896804" w:rsidRDefault="00000000">
      <w:pPr>
        <w:pStyle w:val="Tabledesillustrations"/>
        <w:tabs>
          <w:tab w:val="right" w:leader="dot" w:pos="9060"/>
        </w:tabs>
        <w:rPr>
          <w:rFonts w:ascii="Times New Roman" w:hAnsi="Times New Roman"/>
          <w:noProof/>
        </w:rPr>
      </w:pPr>
      <w:hyperlink w:anchor="_Toc179238786" w:history="1">
        <w:r w:rsidR="00904C15" w:rsidRPr="00896804">
          <w:rPr>
            <w:rStyle w:val="Lienhypertexte"/>
            <w:rFonts w:ascii="Times New Roman" w:hAnsi="Times New Roman"/>
            <w:noProof/>
          </w:rPr>
          <w:t>Tableau 2 Volume de crédits générer par type de projet</w:t>
        </w:r>
        <w:r w:rsidR="00904C15" w:rsidRPr="00896804">
          <w:rPr>
            <w:rFonts w:ascii="Times New Roman" w:hAnsi="Times New Roman"/>
            <w:noProof/>
            <w:webHidden/>
          </w:rPr>
          <w:tab/>
        </w:r>
        <w:r w:rsidR="00904C15" w:rsidRPr="00896804">
          <w:rPr>
            <w:rFonts w:ascii="Times New Roman" w:hAnsi="Times New Roman"/>
            <w:noProof/>
            <w:webHidden/>
          </w:rPr>
          <w:fldChar w:fldCharType="begin"/>
        </w:r>
        <w:r w:rsidR="00904C15" w:rsidRPr="00896804">
          <w:rPr>
            <w:rFonts w:ascii="Times New Roman" w:hAnsi="Times New Roman"/>
            <w:noProof/>
            <w:webHidden/>
          </w:rPr>
          <w:instrText xml:space="preserve"> PAGEREF _Toc179238786 \h </w:instrText>
        </w:r>
        <w:r w:rsidR="00904C15" w:rsidRPr="00896804">
          <w:rPr>
            <w:rFonts w:ascii="Times New Roman" w:hAnsi="Times New Roman"/>
            <w:noProof/>
            <w:webHidden/>
          </w:rPr>
        </w:r>
        <w:r w:rsidR="00904C15" w:rsidRPr="00896804">
          <w:rPr>
            <w:rFonts w:ascii="Times New Roman" w:hAnsi="Times New Roman"/>
            <w:noProof/>
            <w:webHidden/>
          </w:rPr>
          <w:fldChar w:fldCharType="separate"/>
        </w:r>
        <w:r w:rsidR="0059639C">
          <w:rPr>
            <w:rFonts w:ascii="Times New Roman" w:hAnsi="Times New Roman"/>
            <w:noProof/>
            <w:webHidden/>
          </w:rPr>
          <w:t>14</w:t>
        </w:r>
        <w:r w:rsidR="00904C15" w:rsidRPr="00896804">
          <w:rPr>
            <w:rFonts w:ascii="Times New Roman" w:hAnsi="Times New Roman"/>
            <w:noProof/>
            <w:webHidden/>
          </w:rPr>
          <w:fldChar w:fldCharType="end"/>
        </w:r>
      </w:hyperlink>
    </w:p>
    <w:p w14:paraId="5CDEA8B1" w14:textId="407642B6" w:rsidR="00904C15" w:rsidRPr="00896804" w:rsidRDefault="00000000">
      <w:pPr>
        <w:pStyle w:val="Tabledesillustrations"/>
        <w:tabs>
          <w:tab w:val="right" w:leader="dot" w:pos="9060"/>
        </w:tabs>
        <w:rPr>
          <w:rFonts w:ascii="Times New Roman" w:hAnsi="Times New Roman"/>
          <w:noProof/>
        </w:rPr>
      </w:pPr>
      <w:hyperlink w:anchor="_Toc179238787" w:history="1">
        <w:r w:rsidR="00904C15" w:rsidRPr="00896804">
          <w:rPr>
            <w:rStyle w:val="Lienhypertexte"/>
            <w:rFonts w:ascii="Times New Roman" w:hAnsi="Times New Roman"/>
            <w:noProof/>
          </w:rPr>
          <w:t>Tableau 3 Cadre de résultats</w:t>
        </w:r>
        <w:r w:rsidR="00904C15" w:rsidRPr="00896804">
          <w:rPr>
            <w:rFonts w:ascii="Times New Roman" w:hAnsi="Times New Roman"/>
            <w:noProof/>
            <w:webHidden/>
          </w:rPr>
          <w:tab/>
        </w:r>
        <w:r w:rsidR="00904C15" w:rsidRPr="00896804">
          <w:rPr>
            <w:rFonts w:ascii="Times New Roman" w:hAnsi="Times New Roman"/>
            <w:noProof/>
            <w:webHidden/>
          </w:rPr>
          <w:fldChar w:fldCharType="begin"/>
        </w:r>
        <w:r w:rsidR="00904C15" w:rsidRPr="00896804">
          <w:rPr>
            <w:rFonts w:ascii="Times New Roman" w:hAnsi="Times New Roman"/>
            <w:noProof/>
            <w:webHidden/>
          </w:rPr>
          <w:instrText xml:space="preserve"> PAGEREF _Toc179238787 \h </w:instrText>
        </w:r>
        <w:r w:rsidR="00904C15" w:rsidRPr="00896804">
          <w:rPr>
            <w:rFonts w:ascii="Times New Roman" w:hAnsi="Times New Roman"/>
            <w:noProof/>
            <w:webHidden/>
          </w:rPr>
        </w:r>
        <w:r w:rsidR="00904C15" w:rsidRPr="00896804">
          <w:rPr>
            <w:rFonts w:ascii="Times New Roman" w:hAnsi="Times New Roman"/>
            <w:noProof/>
            <w:webHidden/>
          </w:rPr>
          <w:fldChar w:fldCharType="separate"/>
        </w:r>
        <w:r w:rsidR="0059639C">
          <w:rPr>
            <w:rFonts w:ascii="Times New Roman" w:hAnsi="Times New Roman"/>
            <w:noProof/>
            <w:webHidden/>
          </w:rPr>
          <w:t>33</w:t>
        </w:r>
        <w:r w:rsidR="00904C15" w:rsidRPr="00896804">
          <w:rPr>
            <w:rFonts w:ascii="Times New Roman" w:hAnsi="Times New Roman"/>
            <w:noProof/>
            <w:webHidden/>
          </w:rPr>
          <w:fldChar w:fldCharType="end"/>
        </w:r>
      </w:hyperlink>
    </w:p>
    <w:p w14:paraId="64FA6D75" w14:textId="13EA16F6" w:rsidR="00904C15" w:rsidRPr="00896804" w:rsidRDefault="00000000">
      <w:pPr>
        <w:pStyle w:val="Tabledesillustrations"/>
        <w:tabs>
          <w:tab w:val="right" w:leader="dot" w:pos="9060"/>
        </w:tabs>
        <w:rPr>
          <w:rFonts w:ascii="Times New Roman" w:hAnsi="Times New Roman"/>
          <w:noProof/>
        </w:rPr>
      </w:pPr>
      <w:hyperlink w:anchor="_Toc179238788" w:history="1">
        <w:r w:rsidR="00904C15" w:rsidRPr="00896804">
          <w:rPr>
            <w:rStyle w:val="Lienhypertexte"/>
            <w:rFonts w:ascii="Times New Roman" w:hAnsi="Times New Roman"/>
            <w:noProof/>
          </w:rPr>
          <w:t>Tableau 4 Synergies et complémentarités</w:t>
        </w:r>
        <w:r w:rsidR="00904C15" w:rsidRPr="00896804">
          <w:rPr>
            <w:rFonts w:ascii="Times New Roman" w:hAnsi="Times New Roman"/>
            <w:noProof/>
            <w:webHidden/>
          </w:rPr>
          <w:tab/>
        </w:r>
        <w:r w:rsidR="00904C15" w:rsidRPr="00896804">
          <w:rPr>
            <w:rFonts w:ascii="Times New Roman" w:hAnsi="Times New Roman"/>
            <w:noProof/>
            <w:webHidden/>
          </w:rPr>
          <w:fldChar w:fldCharType="begin"/>
        </w:r>
        <w:r w:rsidR="00904C15" w:rsidRPr="00896804">
          <w:rPr>
            <w:rFonts w:ascii="Times New Roman" w:hAnsi="Times New Roman"/>
            <w:noProof/>
            <w:webHidden/>
          </w:rPr>
          <w:instrText xml:space="preserve"> PAGEREF _Toc179238788 \h </w:instrText>
        </w:r>
        <w:r w:rsidR="00904C15" w:rsidRPr="00896804">
          <w:rPr>
            <w:rFonts w:ascii="Times New Roman" w:hAnsi="Times New Roman"/>
            <w:noProof/>
            <w:webHidden/>
          </w:rPr>
        </w:r>
        <w:r w:rsidR="00904C15" w:rsidRPr="00896804">
          <w:rPr>
            <w:rFonts w:ascii="Times New Roman" w:hAnsi="Times New Roman"/>
            <w:noProof/>
            <w:webHidden/>
          </w:rPr>
          <w:fldChar w:fldCharType="separate"/>
        </w:r>
        <w:r w:rsidR="0059639C">
          <w:rPr>
            <w:rFonts w:ascii="Times New Roman" w:hAnsi="Times New Roman"/>
            <w:noProof/>
            <w:webHidden/>
          </w:rPr>
          <w:t>42</w:t>
        </w:r>
        <w:r w:rsidR="00904C15" w:rsidRPr="00896804">
          <w:rPr>
            <w:rFonts w:ascii="Times New Roman" w:hAnsi="Times New Roman"/>
            <w:noProof/>
            <w:webHidden/>
          </w:rPr>
          <w:fldChar w:fldCharType="end"/>
        </w:r>
      </w:hyperlink>
    </w:p>
    <w:p w14:paraId="76461591" w14:textId="167FA2DA" w:rsidR="00904C15" w:rsidRPr="00896804" w:rsidRDefault="00000000">
      <w:pPr>
        <w:pStyle w:val="Tabledesillustrations"/>
        <w:tabs>
          <w:tab w:val="right" w:leader="dot" w:pos="9060"/>
        </w:tabs>
        <w:rPr>
          <w:rFonts w:ascii="Times New Roman" w:hAnsi="Times New Roman"/>
          <w:noProof/>
        </w:rPr>
      </w:pPr>
      <w:hyperlink w:anchor="_Toc179238789" w:history="1">
        <w:r w:rsidR="00904C15" w:rsidRPr="00896804">
          <w:rPr>
            <w:rStyle w:val="Lienhypertexte"/>
            <w:rFonts w:ascii="Times New Roman" w:hAnsi="Times New Roman"/>
            <w:noProof/>
          </w:rPr>
          <w:t>Tableau 5 Risques et mesures de mitigation</w:t>
        </w:r>
        <w:r w:rsidR="00904C15" w:rsidRPr="00896804">
          <w:rPr>
            <w:rFonts w:ascii="Times New Roman" w:hAnsi="Times New Roman"/>
            <w:noProof/>
            <w:webHidden/>
          </w:rPr>
          <w:tab/>
        </w:r>
        <w:r w:rsidR="00904C15" w:rsidRPr="00896804">
          <w:rPr>
            <w:rFonts w:ascii="Times New Roman" w:hAnsi="Times New Roman"/>
            <w:noProof/>
            <w:webHidden/>
          </w:rPr>
          <w:fldChar w:fldCharType="begin"/>
        </w:r>
        <w:r w:rsidR="00904C15" w:rsidRPr="00896804">
          <w:rPr>
            <w:rFonts w:ascii="Times New Roman" w:hAnsi="Times New Roman"/>
            <w:noProof/>
            <w:webHidden/>
          </w:rPr>
          <w:instrText xml:space="preserve"> PAGEREF _Toc179238789 \h </w:instrText>
        </w:r>
        <w:r w:rsidR="00904C15" w:rsidRPr="00896804">
          <w:rPr>
            <w:rFonts w:ascii="Times New Roman" w:hAnsi="Times New Roman"/>
            <w:noProof/>
            <w:webHidden/>
          </w:rPr>
        </w:r>
        <w:r w:rsidR="00904C15" w:rsidRPr="00896804">
          <w:rPr>
            <w:rFonts w:ascii="Times New Roman" w:hAnsi="Times New Roman"/>
            <w:noProof/>
            <w:webHidden/>
          </w:rPr>
          <w:fldChar w:fldCharType="separate"/>
        </w:r>
        <w:r w:rsidR="0059639C">
          <w:rPr>
            <w:rFonts w:ascii="Times New Roman" w:hAnsi="Times New Roman"/>
            <w:noProof/>
            <w:webHidden/>
          </w:rPr>
          <w:t>54</w:t>
        </w:r>
        <w:r w:rsidR="00904C15" w:rsidRPr="00896804">
          <w:rPr>
            <w:rFonts w:ascii="Times New Roman" w:hAnsi="Times New Roman"/>
            <w:noProof/>
            <w:webHidden/>
          </w:rPr>
          <w:fldChar w:fldCharType="end"/>
        </w:r>
      </w:hyperlink>
    </w:p>
    <w:p w14:paraId="79B64360" w14:textId="3997439C" w:rsidR="00904C15" w:rsidRPr="00896804" w:rsidRDefault="00000000">
      <w:pPr>
        <w:pStyle w:val="Tabledesillustrations"/>
        <w:tabs>
          <w:tab w:val="right" w:leader="dot" w:pos="9060"/>
        </w:tabs>
        <w:rPr>
          <w:rFonts w:ascii="Times New Roman" w:hAnsi="Times New Roman"/>
          <w:noProof/>
        </w:rPr>
      </w:pPr>
      <w:hyperlink w:anchor="_Toc179238790" w:history="1">
        <w:r w:rsidR="00904C15" w:rsidRPr="00896804">
          <w:rPr>
            <w:rStyle w:val="Lienhypertexte"/>
            <w:rFonts w:ascii="Times New Roman" w:hAnsi="Times New Roman"/>
            <w:noProof/>
          </w:rPr>
          <w:t>Tableau 6 Plan de Travail et Budget par produit</w:t>
        </w:r>
        <w:r w:rsidR="00904C15" w:rsidRPr="00896804">
          <w:rPr>
            <w:rFonts w:ascii="Times New Roman" w:hAnsi="Times New Roman"/>
            <w:noProof/>
            <w:webHidden/>
          </w:rPr>
          <w:tab/>
        </w:r>
        <w:r w:rsidR="00904C15" w:rsidRPr="00896804">
          <w:rPr>
            <w:rFonts w:ascii="Times New Roman" w:hAnsi="Times New Roman"/>
            <w:noProof/>
            <w:webHidden/>
          </w:rPr>
          <w:fldChar w:fldCharType="begin"/>
        </w:r>
        <w:r w:rsidR="00904C15" w:rsidRPr="00896804">
          <w:rPr>
            <w:rFonts w:ascii="Times New Roman" w:hAnsi="Times New Roman"/>
            <w:noProof/>
            <w:webHidden/>
          </w:rPr>
          <w:instrText xml:space="preserve"> PAGEREF _Toc179238790 \h </w:instrText>
        </w:r>
        <w:r w:rsidR="00904C15" w:rsidRPr="00896804">
          <w:rPr>
            <w:rFonts w:ascii="Times New Roman" w:hAnsi="Times New Roman"/>
            <w:noProof/>
            <w:webHidden/>
          </w:rPr>
        </w:r>
        <w:r w:rsidR="00904C15" w:rsidRPr="00896804">
          <w:rPr>
            <w:rFonts w:ascii="Times New Roman" w:hAnsi="Times New Roman"/>
            <w:noProof/>
            <w:webHidden/>
          </w:rPr>
          <w:fldChar w:fldCharType="separate"/>
        </w:r>
        <w:r w:rsidR="0059639C">
          <w:rPr>
            <w:rFonts w:ascii="Times New Roman" w:hAnsi="Times New Roman"/>
            <w:noProof/>
            <w:webHidden/>
          </w:rPr>
          <w:t>68</w:t>
        </w:r>
        <w:r w:rsidR="00904C15" w:rsidRPr="00896804">
          <w:rPr>
            <w:rFonts w:ascii="Times New Roman" w:hAnsi="Times New Roman"/>
            <w:noProof/>
            <w:webHidden/>
          </w:rPr>
          <w:fldChar w:fldCharType="end"/>
        </w:r>
      </w:hyperlink>
    </w:p>
    <w:p w14:paraId="6043A2B3" w14:textId="7B099D45" w:rsidR="00904C15" w:rsidRPr="00896804" w:rsidRDefault="00000000">
      <w:pPr>
        <w:pStyle w:val="Tabledesillustrations"/>
        <w:tabs>
          <w:tab w:val="right" w:leader="dot" w:pos="9060"/>
        </w:tabs>
        <w:rPr>
          <w:rFonts w:ascii="Times New Roman" w:hAnsi="Times New Roman"/>
          <w:noProof/>
        </w:rPr>
      </w:pPr>
      <w:hyperlink w:anchor="_Toc179238791" w:history="1">
        <w:r w:rsidR="00904C15" w:rsidRPr="00896804">
          <w:rPr>
            <w:rStyle w:val="Lienhypertexte"/>
            <w:rFonts w:ascii="Times New Roman" w:hAnsi="Times New Roman"/>
            <w:noProof/>
          </w:rPr>
          <w:t>Tableau 7 Consultation des parties prenantes</w:t>
        </w:r>
        <w:r w:rsidR="00904C15" w:rsidRPr="00896804">
          <w:rPr>
            <w:rFonts w:ascii="Times New Roman" w:hAnsi="Times New Roman"/>
            <w:noProof/>
            <w:webHidden/>
          </w:rPr>
          <w:tab/>
        </w:r>
        <w:r w:rsidR="00904C15" w:rsidRPr="00896804">
          <w:rPr>
            <w:rFonts w:ascii="Times New Roman" w:hAnsi="Times New Roman"/>
            <w:noProof/>
            <w:webHidden/>
          </w:rPr>
          <w:fldChar w:fldCharType="begin"/>
        </w:r>
        <w:r w:rsidR="00904C15" w:rsidRPr="00896804">
          <w:rPr>
            <w:rFonts w:ascii="Times New Roman" w:hAnsi="Times New Roman"/>
            <w:noProof/>
            <w:webHidden/>
          </w:rPr>
          <w:instrText xml:space="preserve"> PAGEREF _Toc179238791 \h </w:instrText>
        </w:r>
        <w:r w:rsidR="00904C15" w:rsidRPr="00896804">
          <w:rPr>
            <w:rFonts w:ascii="Times New Roman" w:hAnsi="Times New Roman"/>
            <w:noProof/>
            <w:webHidden/>
          </w:rPr>
        </w:r>
        <w:r w:rsidR="00904C15" w:rsidRPr="00896804">
          <w:rPr>
            <w:rFonts w:ascii="Times New Roman" w:hAnsi="Times New Roman"/>
            <w:noProof/>
            <w:webHidden/>
          </w:rPr>
          <w:fldChar w:fldCharType="separate"/>
        </w:r>
        <w:r w:rsidR="0059639C">
          <w:rPr>
            <w:rFonts w:ascii="Times New Roman" w:hAnsi="Times New Roman"/>
            <w:noProof/>
            <w:webHidden/>
          </w:rPr>
          <w:t>76</w:t>
        </w:r>
        <w:r w:rsidR="00904C15" w:rsidRPr="00896804">
          <w:rPr>
            <w:rFonts w:ascii="Times New Roman" w:hAnsi="Times New Roman"/>
            <w:noProof/>
            <w:webHidden/>
          </w:rPr>
          <w:fldChar w:fldCharType="end"/>
        </w:r>
      </w:hyperlink>
    </w:p>
    <w:p w14:paraId="65F1C317" w14:textId="76D21F4F" w:rsidR="00904C15" w:rsidRDefault="00904C15">
      <w:pPr>
        <w:spacing w:after="0" w:line="276" w:lineRule="auto"/>
        <w:rPr>
          <w:rFonts w:ascii="Avenir Next LT Pro" w:hAnsi="Avenir Next LT Pro"/>
          <w:b/>
          <w:bCs/>
          <w:sz w:val="24"/>
          <w:lang w:eastAsia="fr-FR"/>
        </w:rPr>
      </w:pPr>
      <w:r>
        <w:rPr>
          <w:rFonts w:ascii="Avenir Next LT Pro" w:eastAsiaTheme="minorHAnsi" w:hAnsi="Avenir Next LT Pro" w:cstheme="minorHAnsi"/>
        </w:rPr>
        <w:fldChar w:fldCharType="end"/>
      </w:r>
      <w:r w:rsidRPr="00904C15">
        <w:rPr>
          <w:rFonts w:ascii="Avenir Next LT Pro" w:hAnsi="Avenir Next LT Pro"/>
        </w:rPr>
        <w:t xml:space="preserve"> </w:t>
      </w:r>
      <w:r w:rsidRPr="00904C15">
        <w:rPr>
          <w:rFonts w:ascii="Avenir Next LT Pro" w:hAnsi="Avenir Next LT Pro"/>
          <w:b/>
          <w:bCs/>
          <w:sz w:val="24"/>
          <w:lang w:eastAsia="fr-FR"/>
        </w:rPr>
        <w:t>F</w:t>
      </w:r>
      <w:r w:rsidRPr="00896804">
        <w:rPr>
          <w:rFonts w:ascii="Avenir Next LT Pro" w:hAnsi="Avenir Next LT Pro"/>
          <w:b/>
          <w:bCs/>
          <w:sz w:val="24"/>
          <w:lang w:eastAsia="fr-FR"/>
        </w:rPr>
        <w:t>igures</w:t>
      </w:r>
      <w:r>
        <w:rPr>
          <w:rFonts w:ascii="Avenir Next LT Pro" w:hAnsi="Avenir Next LT Pro"/>
          <w:b/>
          <w:bCs/>
          <w:sz w:val="24"/>
          <w:lang w:eastAsia="fr-FR"/>
        </w:rPr>
        <w:t xml:space="preserve"> </w:t>
      </w:r>
    </w:p>
    <w:p w14:paraId="2F46CB22" w14:textId="77777777" w:rsidR="00904C15" w:rsidRPr="00896804" w:rsidRDefault="00904C15">
      <w:pPr>
        <w:spacing w:after="0" w:line="276" w:lineRule="auto"/>
        <w:rPr>
          <w:rFonts w:ascii="Avenir Next LT Pro" w:hAnsi="Avenir Next LT Pro"/>
          <w:b/>
          <w:bCs/>
          <w:sz w:val="24"/>
          <w:lang w:eastAsia="fr-FR"/>
        </w:rPr>
      </w:pPr>
    </w:p>
    <w:p w14:paraId="38B6107F" w14:textId="77777777" w:rsidR="00254AE9" w:rsidRDefault="00254AE9" w:rsidP="00355878">
      <w:pPr>
        <w:spacing w:after="0" w:line="276" w:lineRule="auto"/>
        <w:rPr>
          <w:rFonts w:ascii="Avenir Next LT Pro" w:eastAsiaTheme="minorHAnsi" w:hAnsi="Avenir Next LT Pro" w:cstheme="minorHAnsi"/>
        </w:rPr>
      </w:pPr>
    </w:p>
    <w:p w14:paraId="79397A55" w14:textId="77777777" w:rsidR="00254AE9" w:rsidRDefault="00254AE9" w:rsidP="00355878">
      <w:pPr>
        <w:spacing w:after="0" w:line="276" w:lineRule="auto"/>
        <w:rPr>
          <w:rFonts w:ascii="Avenir Next LT Pro" w:eastAsiaTheme="minorHAnsi" w:hAnsi="Avenir Next LT Pro" w:cstheme="minorHAnsi"/>
        </w:rPr>
      </w:pPr>
    </w:p>
    <w:p w14:paraId="428E3B81" w14:textId="77777777" w:rsidR="00254AE9" w:rsidRDefault="00254AE9">
      <w:pPr>
        <w:spacing w:after="160" w:line="259" w:lineRule="auto"/>
        <w:rPr>
          <w:rFonts w:ascii="Avenir Next LT Pro" w:hAnsi="Avenir Next LT Pro"/>
          <w:b/>
          <w:bCs/>
          <w:sz w:val="24"/>
          <w:lang w:eastAsia="fr-FR"/>
        </w:rPr>
      </w:pPr>
      <w:bookmarkStart w:id="6" w:name="_Toc163230358"/>
      <w:r>
        <w:rPr>
          <w:rFonts w:ascii="Avenir Next LT Pro" w:hAnsi="Avenir Next LT Pro"/>
        </w:rPr>
        <w:br w:type="page"/>
      </w:r>
    </w:p>
    <w:p w14:paraId="6E7C1B59" w14:textId="75FE945A" w:rsidR="00C1381A" w:rsidRPr="00C345C4" w:rsidRDefault="008C0055" w:rsidP="00C1381A">
      <w:pPr>
        <w:pStyle w:val="Titre1"/>
        <w:rPr>
          <w:rFonts w:ascii="Avenir Next LT Pro" w:hAnsi="Avenir Next LT Pro"/>
        </w:rPr>
      </w:pPr>
      <w:r w:rsidRPr="00C345C4">
        <w:rPr>
          <w:rFonts w:ascii="Avenir Next LT Pro" w:hAnsi="Avenir Next LT Pro"/>
        </w:rPr>
        <w:lastRenderedPageBreak/>
        <w:t>Introduction</w:t>
      </w:r>
      <w:bookmarkEnd w:id="6"/>
    </w:p>
    <w:p w14:paraId="7970615B" w14:textId="0AF136EF" w:rsidR="00F73C5E" w:rsidRPr="00FB6C32" w:rsidRDefault="00F73C5E" w:rsidP="00F73C5E">
      <w:pPr>
        <w:spacing w:after="0"/>
        <w:jc w:val="both"/>
        <w:rPr>
          <w:rFonts w:ascii="Avenir Next LT Pro" w:hAnsi="Avenir Next LT Pro" w:cs="Calibri"/>
          <w:sz w:val="20"/>
          <w:szCs w:val="20"/>
          <w:lang w:eastAsia="fr-FR"/>
        </w:rPr>
      </w:pPr>
      <w:r w:rsidRPr="00FB6C32">
        <w:rPr>
          <w:rFonts w:ascii="Avenir Next LT Pro" w:hAnsi="Avenir Next LT Pro" w:cs="Calibri"/>
          <w:sz w:val="20"/>
          <w:szCs w:val="20"/>
          <w:lang w:eastAsia="fr-FR"/>
        </w:rPr>
        <w:t>La République Démocratique du Congo (RDC) est dotée d’environ 152 millions d’hectares des forêts humides (10% de l’ensemble des forêts tropicales du monde et 67% du territoire national). Cette superficie représente plus de 60% des forêts du Bassin du Congo, qui est la deuxième plus vaste forêt tropicale de la planète. A cet énorme massif forestier s’ajoutent des vastes étendus de tourbières, couvrant 101.500 km² du territoire national. En tant que propriétaire et gardienne d’un potentiel environnemental recherché par le monde pour faire face aux enjeux du changement climatique, la RDC présente ses forêts, tourbières, mangroves, ressources en eaux douces et minerais stratégiques comme une « réponse naturelle » aux problèmes liés au climat faisant d’elle « un pays solution ».</w:t>
      </w:r>
    </w:p>
    <w:p w14:paraId="6753D385" w14:textId="77777777" w:rsidR="00F73C5E" w:rsidRPr="00FB6C32" w:rsidRDefault="00F73C5E" w:rsidP="00F73C5E">
      <w:pPr>
        <w:spacing w:after="0"/>
        <w:jc w:val="both"/>
        <w:rPr>
          <w:rFonts w:ascii="Avenir Next LT Pro" w:hAnsi="Avenir Next LT Pro" w:cs="Calibri"/>
          <w:sz w:val="20"/>
          <w:szCs w:val="20"/>
          <w:lang w:eastAsia="fr-FR"/>
        </w:rPr>
      </w:pPr>
    </w:p>
    <w:p w14:paraId="15E69213" w14:textId="29ADC137" w:rsidR="00F73C5E" w:rsidRPr="00FB6C32" w:rsidRDefault="00F73C5E" w:rsidP="00F73C5E">
      <w:pPr>
        <w:spacing w:after="0"/>
        <w:jc w:val="both"/>
        <w:rPr>
          <w:rFonts w:ascii="Avenir Next LT Pro" w:hAnsi="Avenir Next LT Pro" w:cs="Calibri"/>
          <w:sz w:val="20"/>
          <w:szCs w:val="20"/>
          <w:lang w:eastAsia="fr-FR"/>
        </w:rPr>
      </w:pPr>
      <w:r w:rsidRPr="00FB6C32">
        <w:rPr>
          <w:rFonts w:ascii="Avenir Next LT Pro" w:hAnsi="Avenir Next LT Pro" w:cs="Calibri"/>
          <w:sz w:val="20"/>
          <w:szCs w:val="20"/>
          <w:lang w:eastAsia="fr-FR"/>
        </w:rPr>
        <w:t xml:space="preserve">En dépit de son rôle stratégique dans la lutte contre les changements climatiques au niveau global, la RDC représente une source importante d’émission de GES due à la déforestation et dégradation des forêts. La déforestation se produit à un rythme relativement rapide, avec un taux moyen annuel estimé entre 0,2 et 0,3%. Les deux principales causes en sont l’agriculture itinérante sur brûlis et le recours à l’énergie-bois par la grande majorité des ménages par manque de développement de l’exploitation des énergies alternatives propres. Aussi est-il anticipé que, si rien n’est fait (scenario </w:t>
      </w:r>
      <w:r w:rsidR="00CE56D9" w:rsidRPr="00FB6C32">
        <w:rPr>
          <w:rFonts w:ascii="Avenir Next LT Pro" w:hAnsi="Avenir Next LT Pro" w:cs="Calibri"/>
          <w:sz w:val="20"/>
          <w:szCs w:val="20"/>
          <w:lang w:eastAsia="fr-FR"/>
        </w:rPr>
        <w:t>tendanciel</w:t>
      </w:r>
      <w:r w:rsidRPr="00FB6C32">
        <w:rPr>
          <w:rFonts w:ascii="Avenir Next LT Pro" w:hAnsi="Avenir Next LT Pro" w:cs="Calibri"/>
          <w:sz w:val="20"/>
          <w:szCs w:val="20"/>
          <w:lang w:eastAsia="fr-FR"/>
        </w:rPr>
        <w:t>), la RDC perdrait de 12 à 13 millions d’ha de forêts d’ici 2030, avec une émission annuelle de GES d’au moins 400 MtCO2eq</w:t>
      </w:r>
      <w:r w:rsidRPr="00FB6C32">
        <w:rPr>
          <w:rStyle w:val="Appelnotedebasdep"/>
          <w:rFonts w:ascii="Avenir Next LT Pro" w:hAnsi="Avenir Next LT Pro" w:cs="Calibri"/>
          <w:sz w:val="20"/>
          <w:szCs w:val="20"/>
          <w:lang w:eastAsia="fr-FR"/>
        </w:rPr>
        <w:footnoteReference w:id="4"/>
      </w:r>
      <w:r w:rsidRPr="00FB6C32">
        <w:rPr>
          <w:rFonts w:ascii="Avenir Next LT Pro" w:hAnsi="Avenir Next LT Pro" w:cs="Calibri"/>
          <w:sz w:val="20"/>
          <w:szCs w:val="20"/>
          <w:lang w:eastAsia="fr-FR"/>
        </w:rPr>
        <w:t xml:space="preserve">. </w:t>
      </w:r>
    </w:p>
    <w:p w14:paraId="497EA6F0" w14:textId="77777777" w:rsidR="00F73C5E" w:rsidRPr="00FB6C32" w:rsidRDefault="00F73C5E" w:rsidP="00F73C5E">
      <w:pPr>
        <w:spacing w:after="0"/>
        <w:jc w:val="both"/>
        <w:rPr>
          <w:rFonts w:ascii="Avenir Next LT Pro" w:hAnsi="Avenir Next LT Pro" w:cs="Calibri"/>
          <w:sz w:val="20"/>
          <w:szCs w:val="20"/>
          <w:lang w:eastAsia="fr-FR"/>
        </w:rPr>
      </w:pPr>
    </w:p>
    <w:p w14:paraId="1AD71C55" w14:textId="0FB6B5AB" w:rsidR="00F73C5E" w:rsidRPr="00FB6C32" w:rsidRDefault="00F73C5E" w:rsidP="00F73C5E">
      <w:pPr>
        <w:spacing w:after="0"/>
        <w:jc w:val="both"/>
        <w:rPr>
          <w:rFonts w:ascii="Avenir Next LT Pro" w:hAnsi="Avenir Next LT Pro" w:cs="Calibri"/>
          <w:sz w:val="20"/>
          <w:szCs w:val="20"/>
          <w:lang w:eastAsia="fr-FR"/>
        </w:rPr>
      </w:pPr>
      <w:r w:rsidRPr="00FB6C32">
        <w:rPr>
          <w:rFonts w:ascii="Avenir Next LT Pro" w:hAnsi="Avenir Next LT Pro" w:cs="Calibri"/>
          <w:sz w:val="20"/>
          <w:szCs w:val="20"/>
          <w:lang w:eastAsia="fr-FR"/>
        </w:rPr>
        <w:t xml:space="preserve">Afin de participer aux efforts globaux de lutte contre le changement climatique et plus précisément d’atténuation des émissions de GES, la RDC a ratifié l’Accord de Paris sur le Climat en décembre 2017, ayant préalablement soumis sa Contribution Déterminée au niveau National (CDN) en 2015 qui sera ensuite révisée en octobre 2021. La CDN constitue le référentiel des engagements de l’État Congolais à l’horizon 2030 en rapport avec ses efforts d’adaptation et d’atténuation des changements climatiques. La CDN révisée dont la nouvelle cible de réduction est fixée à 21 % (les </w:t>
      </w:r>
      <w:r w:rsidR="00C6315B" w:rsidRPr="00FB6C32">
        <w:rPr>
          <w:rFonts w:ascii="Avenir Next LT Pro" w:hAnsi="Avenir Next LT Pro" w:cs="Calibri"/>
          <w:sz w:val="20"/>
          <w:szCs w:val="20"/>
          <w:lang w:eastAsia="fr-FR"/>
        </w:rPr>
        <w:t xml:space="preserve">mesures </w:t>
      </w:r>
      <w:r w:rsidRPr="00FB6C32">
        <w:rPr>
          <w:rFonts w:ascii="Avenir Next LT Pro" w:hAnsi="Avenir Next LT Pro" w:cs="Calibri"/>
          <w:sz w:val="20"/>
          <w:szCs w:val="20"/>
          <w:lang w:eastAsia="fr-FR"/>
        </w:rPr>
        <w:t>conditionnelle et inconditionnelle représentant respectivement 19% et 2%), actualise et renforce les objectifs d'atténuation et d'adaptation. Son budget est estimé à $48,68 milliards, dont $25,60 milliards pour le volet atténuation et $23,08 milliards destinés aux mesures prioritaires d'adaptation.</w:t>
      </w:r>
    </w:p>
    <w:p w14:paraId="4966A5DF" w14:textId="77777777" w:rsidR="00F73C5E" w:rsidRPr="00FB6C32" w:rsidRDefault="00F73C5E" w:rsidP="00F73C5E">
      <w:pPr>
        <w:spacing w:after="0"/>
        <w:jc w:val="both"/>
        <w:rPr>
          <w:rFonts w:ascii="Avenir Next LT Pro" w:hAnsi="Avenir Next LT Pro" w:cs="Calibri"/>
          <w:sz w:val="20"/>
          <w:szCs w:val="20"/>
          <w:lang w:eastAsia="fr-FR"/>
        </w:rPr>
      </w:pPr>
    </w:p>
    <w:p w14:paraId="01F6304F" w14:textId="77777777" w:rsidR="00F73C5E" w:rsidRPr="00FB6C32" w:rsidRDefault="00F73C5E" w:rsidP="00F73C5E">
      <w:pPr>
        <w:spacing w:after="0"/>
        <w:jc w:val="both"/>
        <w:rPr>
          <w:rFonts w:ascii="Avenir Next LT Pro" w:hAnsi="Avenir Next LT Pro" w:cs="Calibri"/>
          <w:sz w:val="20"/>
          <w:szCs w:val="20"/>
          <w:lang w:eastAsia="fr-FR"/>
        </w:rPr>
      </w:pPr>
      <w:r w:rsidRPr="00FB6C32">
        <w:rPr>
          <w:rFonts w:ascii="Avenir Next LT Pro" w:hAnsi="Avenir Next LT Pro" w:cs="Calibri"/>
          <w:sz w:val="20"/>
          <w:szCs w:val="20"/>
          <w:lang w:eastAsia="fr-FR"/>
        </w:rPr>
        <w:t>L’atteinte de cet objectif ambitieux de réduction des émissions constitue un défi majeur pour la RDC, qui pour y parvenir, devra mobiliser des financements climatiques. Au vu de son riche potentiel en ressources naturelles et du rôle important qu’il joue dans la lutte contre le changement climatique, le pays souhaite se servir des opportunités offertes par les marchés du carbone dans le secteur forestier ainsi que dans d’autres secteurs comme une passerelle pour la mobilisation des capitaux d’envergure nécessaires pour mettre en œuvre la CDN et impulser sa transition verte effective à l’horizon 2030 ; Ces marchés offrant des opportunités de promouvoir des modes de production et de consommation durables, capables de réduire les émissions de GES et de générer des bénéfices socioéconomiques pour le pays.</w:t>
      </w:r>
    </w:p>
    <w:p w14:paraId="5CA80770" w14:textId="77777777" w:rsidR="00F73C5E" w:rsidRPr="00FB6C32" w:rsidRDefault="00F73C5E" w:rsidP="00F73C5E">
      <w:pPr>
        <w:spacing w:after="0"/>
        <w:jc w:val="both"/>
        <w:rPr>
          <w:rFonts w:ascii="Avenir Next LT Pro" w:hAnsi="Avenir Next LT Pro" w:cs="Calibri"/>
          <w:sz w:val="20"/>
          <w:szCs w:val="20"/>
          <w:lang w:eastAsia="fr-FR"/>
        </w:rPr>
      </w:pPr>
    </w:p>
    <w:p w14:paraId="35322B22" w14:textId="6F641352" w:rsidR="00F73C5E" w:rsidRPr="00FB6C32" w:rsidRDefault="00F73C5E" w:rsidP="00F73C5E">
      <w:pPr>
        <w:spacing w:after="0"/>
        <w:jc w:val="both"/>
        <w:rPr>
          <w:rFonts w:ascii="Avenir Next LT Pro" w:hAnsi="Avenir Next LT Pro" w:cs="Calibri"/>
          <w:sz w:val="20"/>
          <w:szCs w:val="20"/>
          <w:lang w:eastAsia="fr-FR"/>
        </w:rPr>
      </w:pPr>
      <w:r w:rsidRPr="00FB6C32">
        <w:rPr>
          <w:rFonts w:ascii="Avenir Next LT Pro" w:hAnsi="Avenir Next LT Pro" w:cs="Calibri"/>
          <w:sz w:val="20"/>
          <w:szCs w:val="20"/>
          <w:lang w:eastAsia="fr-FR"/>
        </w:rPr>
        <w:t xml:space="preserve">L‘objectif global du Projet est de contribuer à la réduction des émissions de GES issues de la déforestation et dégradation des forêts en RDC à travers le renforcement du cadre habilitant pour un accès effectif aux marchés du carbone pour la mobilisation des financements climatiques d’envergure permettant une mise en œuvre harmonieuse de la CDN. Spécifiquement, il entend contribuer à renforcer : i) le cadre de gouvernance - institutionnel, stratégique et politique – pour les marchés du carbone et la CDN ; ii) les capacités techniques et </w:t>
      </w:r>
      <w:r w:rsidR="00454821">
        <w:rPr>
          <w:rFonts w:ascii="Avenir Next LT Pro" w:hAnsi="Avenir Next LT Pro" w:cs="Calibri"/>
          <w:sz w:val="20"/>
          <w:szCs w:val="20"/>
          <w:lang w:eastAsia="fr-FR"/>
        </w:rPr>
        <w:t xml:space="preserve">infrastructurelles des institutions </w:t>
      </w:r>
      <w:r w:rsidR="007E231E">
        <w:rPr>
          <w:rFonts w:ascii="Avenir Next LT Pro" w:hAnsi="Avenir Next LT Pro" w:cs="Calibri"/>
          <w:sz w:val="20"/>
          <w:szCs w:val="20"/>
          <w:lang w:eastAsia="fr-FR"/>
        </w:rPr>
        <w:t>en charge de leur mise en œuvre</w:t>
      </w:r>
      <w:r w:rsidRPr="00FB6C32">
        <w:rPr>
          <w:rFonts w:ascii="Avenir Next LT Pro" w:hAnsi="Avenir Next LT Pro" w:cs="Calibri"/>
          <w:sz w:val="20"/>
          <w:szCs w:val="20"/>
          <w:lang w:eastAsia="fr-FR"/>
        </w:rPr>
        <w:t> ; et iii) l’information, la communication, la participation et le dialogue multi-acteurs entre les parties prenantes.</w:t>
      </w:r>
    </w:p>
    <w:p w14:paraId="60AD80DB" w14:textId="77777777" w:rsidR="00F73C5E" w:rsidRPr="00FB6C32" w:rsidRDefault="00F73C5E" w:rsidP="00F73C5E">
      <w:pPr>
        <w:spacing w:after="0"/>
        <w:jc w:val="both"/>
        <w:rPr>
          <w:rFonts w:ascii="Avenir Next LT Pro" w:hAnsi="Avenir Next LT Pro" w:cs="Calibri"/>
          <w:sz w:val="20"/>
          <w:szCs w:val="20"/>
          <w:lang w:eastAsia="fr-FR"/>
        </w:rPr>
      </w:pPr>
    </w:p>
    <w:p w14:paraId="7B3532AA" w14:textId="77777777" w:rsidR="00F73C5E" w:rsidRDefault="00F73C5E" w:rsidP="00F73C5E">
      <w:pPr>
        <w:spacing w:after="0"/>
        <w:jc w:val="both"/>
        <w:rPr>
          <w:rFonts w:cs="Calibri"/>
          <w:lang w:eastAsia="fr-FR"/>
        </w:rPr>
      </w:pPr>
      <w:r w:rsidRPr="00FB6C32">
        <w:rPr>
          <w:rFonts w:ascii="Avenir Next LT Pro" w:hAnsi="Avenir Next LT Pro" w:cs="Calibri"/>
          <w:sz w:val="20"/>
          <w:szCs w:val="20"/>
          <w:lang w:eastAsia="fr-FR"/>
        </w:rPr>
        <w:t xml:space="preserve">L'offre du PNUD proposée s’inscrit dans une démarche catalytique. Etant donnée que le niveau d’investissement requis dépasse largement les capacités uniques de tout partenaire de développement, il s’agit davantage, dans le cadre de ce Projet, de poser des fondations solides d’un </w:t>
      </w:r>
      <w:r w:rsidRPr="00FB6C32">
        <w:rPr>
          <w:rFonts w:ascii="Avenir Next LT Pro" w:hAnsi="Avenir Next LT Pro" w:cs="Calibri"/>
          <w:sz w:val="20"/>
          <w:szCs w:val="20"/>
          <w:lang w:eastAsia="fr-FR"/>
        </w:rPr>
        <w:lastRenderedPageBreak/>
        <w:t>cadre habilitant répondant aux besoins immédiats des différents acteurs pour le développement harmonieux des marchés du carbone pour le financement de la mise en œuvre de la CDN ainsi sa coordination et son suivi efficient.</w:t>
      </w:r>
    </w:p>
    <w:p w14:paraId="1277219F" w14:textId="42E58D2F" w:rsidR="00716216" w:rsidRDefault="00716216" w:rsidP="00E81799">
      <w:pPr>
        <w:spacing w:after="60"/>
        <w:jc w:val="both"/>
        <w:rPr>
          <w:rFonts w:ascii="Avenir Next LT Pro" w:hAnsi="Avenir Next LT Pro"/>
          <w:color w:val="3E762A" w:themeColor="accent1" w:themeShade="BF"/>
          <w:sz w:val="20"/>
          <w:szCs w:val="20"/>
          <w:lang w:eastAsia="fr-FR"/>
        </w:rPr>
      </w:pPr>
    </w:p>
    <w:p w14:paraId="611E9FAF" w14:textId="777EADF7" w:rsidR="008C0055" w:rsidRPr="00C345C4" w:rsidRDefault="008C0055" w:rsidP="0068302F">
      <w:pPr>
        <w:pStyle w:val="Titre1"/>
        <w:rPr>
          <w:rFonts w:ascii="Avenir Next LT Pro" w:hAnsi="Avenir Next LT Pro"/>
        </w:rPr>
      </w:pPr>
      <w:bookmarkStart w:id="7" w:name="_Toc163230359"/>
      <w:r w:rsidRPr="00C345C4">
        <w:rPr>
          <w:rFonts w:ascii="Avenir Next LT Pro" w:hAnsi="Avenir Next LT Pro"/>
        </w:rPr>
        <w:t>Analyse de situation</w:t>
      </w:r>
      <w:r w:rsidR="001E4B86" w:rsidRPr="00C345C4">
        <w:rPr>
          <w:rFonts w:ascii="Avenir Next LT Pro" w:hAnsi="Avenir Next LT Pro"/>
        </w:rPr>
        <w:t xml:space="preserve"> spécifique au contexte du projet</w:t>
      </w:r>
      <w:bookmarkEnd w:id="7"/>
    </w:p>
    <w:p w14:paraId="6ACB0C88" w14:textId="5E8B6DDA" w:rsidR="003C75A2" w:rsidRPr="00F470D1" w:rsidRDefault="003C75A2" w:rsidP="003C75A2">
      <w:pPr>
        <w:spacing w:after="0"/>
        <w:jc w:val="both"/>
        <w:rPr>
          <w:rFonts w:ascii="Avenir Next LT Pro" w:hAnsi="Avenir Next LT Pro" w:cs="Calibri"/>
          <w:sz w:val="20"/>
          <w:szCs w:val="20"/>
        </w:rPr>
      </w:pPr>
      <w:r w:rsidRPr="00F470D1">
        <w:rPr>
          <w:rFonts w:ascii="Avenir Next LT Pro" w:hAnsi="Avenir Next LT Pro" w:cs="Calibri"/>
          <w:sz w:val="20"/>
          <w:szCs w:val="20"/>
        </w:rPr>
        <w:t xml:space="preserve">La RDC s'est engagée à tirer profit de ses richesses naturelles pour </w:t>
      </w:r>
      <w:r w:rsidR="002E0B6E" w:rsidRPr="00F470D1">
        <w:rPr>
          <w:rFonts w:ascii="Avenir Next LT Pro" w:hAnsi="Avenir Next LT Pro" w:cs="Calibri"/>
          <w:sz w:val="20"/>
          <w:szCs w:val="20"/>
        </w:rPr>
        <w:t xml:space="preserve">impulser </w:t>
      </w:r>
      <w:r w:rsidRPr="00F470D1">
        <w:rPr>
          <w:rFonts w:ascii="Avenir Next LT Pro" w:hAnsi="Avenir Next LT Pro" w:cs="Calibri"/>
          <w:sz w:val="20"/>
          <w:szCs w:val="20"/>
        </w:rPr>
        <w:t>sa croissance économique en s'appuyant sur le développement de son potentiel d'atténuation du changement climatique. L'ambition du pays est matérialisée à travers sa CDN révisée avec des objectifs revus à la hausse</w:t>
      </w:r>
      <w:r w:rsidRPr="00F470D1">
        <w:rPr>
          <w:rFonts w:ascii="Avenir Next LT Pro" w:hAnsi="Avenir Next LT Pro"/>
          <w:sz w:val="20"/>
          <w:szCs w:val="20"/>
        </w:rPr>
        <w:t xml:space="preserve"> et </w:t>
      </w:r>
      <w:r w:rsidRPr="00F470D1">
        <w:rPr>
          <w:rFonts w:ascii="Avenir Next LT Pro" w:hAnsi="Avenir Next LT Pro" w:cs="Calibri"/>
          <w:sz w:val="20"/>
          <w:szCs w:val="20"/>
        </w:rPr>
        <w:t>essentiels pour contribuer à l’atteinte des objectifs climatiques mondiaux. Par ailleurs, le gouvernement ambitionne, au vu de l’</w:t>
      </w:r>
      <w:r w:rsidRPr="00F470D1">
        <w:rPr>
          <w:rFonts w:ascii="Avenir Next LT Pro" w:hAnsi="Avenir Next LT Pro" w:cstheme="minorHAnsi"/>
          <w:sz w:val="20"/>
          <w:szCs w:val="20"/>
          <w:lang w:eastAsia="fr-FR"/>
        </w:rPr>
        <w:t>immense potentiel de puits de carbone</w:t>
      </w:r>
      <w:r w:rsidRPr="00F470D1">
        <w:rPr>
          <w:rFonts w:ascii="Avenir Next LT Pro" w:hAnsi="Avenir Next LT Pro" w:cs="Calibri"/>
          <w:sz w:val="20"/>
          <w:szCs w:val="20"/>
        </w:rPr>
        <w:t xml:space="preserve"> du pays, de s’engager pleinement sur les marchés du carbone afin de mobiliser des capitaux pour financer la CDN. Toutefois, ces ambitions sont contrariées par un certain nombre de défis. </w:t>
      </w:r>
    </w:p>
    <w:p w14:paraId="0AACBF1C" w14:textId="77777777" w:rsidR="003C75A2" w:rsidRDefault="003C75A2" w:rsidP="003C75A2">
      <w:pPr>
        <w:spacing w:after="0"/>
        <w:jc w:val="both"/>
        <w:rPr>
          <w:rFonts w:cs="Calibri"/>
        </w:rPr>
      </w:pPr>
    </w:p>
    <w:p w14:paraId="202C58D6" w14:textId="3E355F61" w:rsidR="003C75A2" w:rsidRPr="00F470D1" w:rsidRDefault="003C75A2" w:rsidP="003C75A2">
      <w:pPr>
        <w:spacing w:after="0"/>
        <w:jc w:val="both"/>
        <w:rPr>
          <w:rFonts w:ascii="Avenir Next LT Pro" w:hAnsi="Avenir Next LT Pro" w:cs="Calibri"/>
          <w:sz w:val="20"/>
          <w:szCs w:val="20"/>
        </w:rPr>
      </w:pPr>
      <w:r w:rsidRPr="00F470D1">
        <w:rPr>
          <w:rFonts w:ascii="Avenir Next LT Pro" w:hAnsi="Avenir Next LT Pro" w:cs="Calibri"/>
          <w:sz w:val="20"/>
          <w:szCs w:val="20"/>
        </w:rPr>
        <w:t xml:space="preserve">Le cadre de gouvernance – institutionnel - actuel pour un accès effectif aux marchés du carbone et à une mise en œuvre consécutive de la CDN est relativement inopérant. En effet, la mise en œuvre harmonieuse des CDN appelle à la mise en place d’institutions solides. C’est dans cette logique que </w:t>
      </w:r>
      <w:bookmarkStart w:id="8" w:name="_Hlk170177425"/>
      <w:r w:rsidRPr="00F470D1">
        <w:rPr>
          <w:rFonts w:ascii="Avenir Next LT Pro" w:hAnsi="Avenir Next LT Pro" w:cs="Calibri"/>
          <w:sz w:val="20"/>
          <w:szCs w:val="20"/>
        </w:rPr>
        <w:t xml:space="preserve">l’Ordonnance-Loi No. 23/007 du 03 mars 2023 modifiant et complétant la Loi No. 11/009 du 09 juillet 2011 portant principes fondamentaux relatifs à la protection de l’environnement a respectivement créé le Conseil National de l’Environnement et du Développement Durable (Article 17). Sous l’autorité du Premier Ministre, ce Conseil est chargé du suivi et de l’évaluation de la CDN au niveau national. </w:t>
      </w:r>
    </w:p>
    <w:bookmarkEnd w:id="8"/>
    <w:p w14:paraId="6058BE0A" w14:textId="77777777" w:rsidR="003C75A2" w:rsidRDefault="003C75A2" w:rsidP="003C75A2">
      <w:pPr>
        <w:spacing w:after="0"/>
        <w:jc w:val="both"/>
        <w:rPr>
          <w:rFonts w:cs="Calibri"/>
        </w:rPr>
      </w:pPr>
    </w:p>
    <w:p w14:paraId="477F7D98" w14:textId="4AB8475C" w:rsidR="003C75A2" w:rsidRPr="00F470D1" w:rsidRDefault="003C75A2" w:rsidP="003C75A2">
      <w:pPr>
        <w:spacing w:after="0"/>
        <w:jc w:val="both"/>
        <w:rPr>
          <w:rFonts w:ascii="Avenir Next LT Pro" w:hAnsi="Avenir Next LT Pro" w:cstheme="minorHAnsi"/>
          <w:sz w:val="20"/>
          <w:szCs w:val="20"/>
          <w:lang w:eastAsia="fr-FR"/>
        </w:rPr>
      </w:pPr>
      <w:r w:rsidRPr="00F470D1">
        <w:rPr>
          <w:rFonts w:ascii="Avenir Next LT Pro" w:hAnsi="Avenir Next LT Pro" w:cstheme="minorHAnsi"/>
          <w:sz w:val="20"/>
          <w:szCs w:val="20"/>
          <w:lang w:eastAsia="fr-FR"/>
        </w:rPr>
        <w:t xml:space="preserve">Néanmoins, la plupart des administrations publiques sont </w:t>
      </w:r>
      <w:r w:rsidR="00E877FB">
        <w:rPr>
          <w:rFonts w:ascii="Avenir Next LT Pro" w:hAnsi="Avenir Next LT Pro" w:cstheme="minorHAnsi"/>
          <w:sz w:val="20"/>
          <w:szCs w:val="20"/>
          <w:lang w:eastAsia="fr-FR"/>
        </w:rPr>
        <w:t>faiblement outillé</w:t>
      </w:r>
      <w:r w:rsidR="003D7B18">
        <w:rPr>
          <w:rFonts w:ascii="Avenir Next LT Pro" w:hAnsi="Avenir Next LT Pro" w:cstheme="minorHAnsi"/>
          <w:sz w:val="20"/>
          <w:szCs w:val="20"/>
          <w:lang w:eastAsia="fr-FR"/>
        </w:rPr>
        <w:t>es</w:t>
      </w:r>
      <w:r w:rsidR="00E877FB">
        <w:rPr>
          <w:rFonts w:ascii="Avenir Next LT Pro" w:hAnsi="Avenir Next LT Pro" w:cstheme="minorHAnsi"/>
          <w:sz w:val="20"/>
          <w:szCs w:val="20"/>
          <w:lang w:eastAsia="fr-FR"/>
        </w:rPr>
        <w:t xml:space="preserve"> en ce qui concerne la prise en compte de la question climatique dans leur</w:t>
      </w:r>
      <w:r w:rsidR="003D7B18">
        <w:rPr>
          <w:rFonts w:ascii="Avenir Next LT Pro" w:hAnsi="Avenir Next LT Pro" w:cstheme="minorHAnsi"/>
          <w:sz w:val="20"/>
          <w:szCs w:val="20"/>
          <w:lang w:eastAsia="fr-FR"/>
        </w:rPr>
        <w:t>s</w:t>
      </w:r>
      <w:r w:rsidR="00E877FB">
        <w:rPr>
          <w:rFonts w:ascii="Avenir Next LT Pro" w:hAnsi="Avenir Next LT Pro" w:cstheme="minorHAnsi"/>
          <w:sz w:val="20"/>
          <w:szCs w:val="20"/>
          <w:lang w:eastAsia="fr-FR"/>
        </w:rPr>
        <w:t xml:space="preserve"> </w:t>
      </w:r>
      <w:r w:rsidR="003D7B18">
        <w:rPr>
          <w:rFonts w:ascii="Avenir Next LT Pro" w:hAnsi="Avenir Next LT Pro" w:cstheme="minorHAnsi"/>
          <w:sz w:val="20"/>
          <w:szCs w:val="20"/>
          <w:lang w:eastAsia="fr-FR"/>
        </w:rPr>
        <w:t xml:space="preserve">instruments et processus </w:t>
      </w:r>
      <w:r w:rsidR="00E877FB">
        <w:rPr>
          <w:rFonts w:ascii="Avenir Next LT Pro" w:hAnsi="Avenir Next LT Pro" w:cstheme="minorHAnsi"/>
          <w:sz w:val="20"/>
          <w:szCs w:val="20"/>
          <w:lang w:eastAsia="fr-FR"/>
        </w:rPr>
        <w:t xml:space="preserve">de planification, </w:t>
      </w:r>
      <w:r w:rsidR="003D7B18">
        <w:rPr>
          <w:rFonts w:ascii="Avenir Next LT Pro" w:hAnsi="Avenir Next LT Pro" w:cstheme="minorHAnsi"/>
          <w:sz w:val="20"/>
          <w:szCs w:val="20"/>
          <w:lang w:eastAsia="fr-FR"/>
        </w:rPr>
        <w:t xml:space="preserve">de programmation, </w:t>
      </w:r>
      <w:r w:rsidR="00E877FB">
        <w:rPr>
          <w:rFonts w:ascii="Avenir Next LT Pro" w:hAnsi="Avenir Next LT Pro" w:cstheme="minorHAnsi"/>
          <w:sz w:val="20"/>
          <w:szCs w:val="20"/>
          <w:lang w:eastAsia="fr-FR"/>
        </w:rPr>
        <w:t xml:space="preserve">de </w:t>
      </w:r>
      <w:r w:rsidR="00FF213B">
        <w:rPr>
          <w:rFonts w:ascii="Avenir Next LT Pro" w:hAnsi="Avenir Next LT Pro" w:cstheme="minorHAnsi"/>
          <w:sz w:val="20"/>
          <w:szCs w:val="20"/>
          <w:lang w:eastAsia="fr-FR"/>
        </w:rPr>
        <w:t>budgétisation</w:t>
      </w:r>
      <w:r w:rsidR="00E877FB">
        <w:rPr>
          <w:rFonts w:ascii="Avenir Next LT Pro" w:hAnsi="Avenir Next LT Pro" w:cstheme="minorHAnsi"/>
          <w:sz w:val="20"/>
          <w:szCs w:val="20"/>
          <w:lang w:eastAsia="fr-FR"/>
        </w:rPr>
        <w:t xml:space="preserve"> et de </w:t>
      </w:r>
      <w:r w:rsidR="00896804">
        <w:rPr>
          <w:rFonts w:ascii="Avenir Next LT Pro" w:hAnsi="Avenir Next LT Pro" w:cstheme="minorHAnsi"/>
          <w:sz w:val="20"/>
          <w:szCs w:val="20"/>
          <w:lang w:eastAsia="fr-FR"/>
        </w:rPr>
        <w:t>rapportage, ce</w:t>
      </w:r>
      <w:r w:rsidR="00E877FB">
        <w:rPr>
          <w:rFonts w:ascii="Avenir Next LT Pro" w:hAnsi="Avenir Next LT Pro" w:cstheme="minorHAnsi"/>
          <w:sz w:val="20"/>
          <w:szCs w:val="20"/>
          <w:lang w:eastAsia="fr-FR"/>
        </w:rPr>
        <w:t xml:space="preserve"> </w:t>
      </w:r>
      <w:r w:rsidRPr="00F470D1">
        <w:rPr>
          <w:rFonts w:ascii="Avenir Next LT Pro" w:hAnsi="Avenir Next LT Pro" w:cstheme="minorHAnsi"/>
          <w:sz w:val="20"/>
          <w:szCs w:val="20"/>
          <w:lang w:eastAsia="fr-FR"/>
        </w:rPr>
        <w:t xml:space="preserve">qui rend difficile l’exécution systématique et rigoureuse des politiques et programmes sectoriels en lien avec la CDN ainsi que leur suivi-évaluation, conduisant à un mécanisme redditionnel pas encore suffisamment transparent. Les capacités des organes, notamment la Direction du Développement Durable-DDD et la Cellule Technique d’appui à la mise en œuvre de la CDN du MEDD mises en place à cet effet demeurent insuffisantes pour leur permettre d’exercer pleinement leur fonction de coordination. Par ailleurs, l’établissement de cadres permanents de dialogue inclusif et de concertation avec l’implication de toutes les parties prenantes de la société civile et du secteur privé et des pouvoirs publics en vue d’initier des actions coordonnées en faveur du renforcement de l’intersectorialité et d’une gouvernance améliorée de la CDN constitue un défi. L’engagement des communautés y compris les jeunes et les femmes sont insuffisamment promu. </w:t>
      </w:r>
    </w:p>
    <w:p w14:paraId="010202A5" w14:textId="77777777" w:rsidR="003C75A2" w:rsidRPr="005D0B51" w:rsidRDefault="003C75A2" w:rsidP="003C75A2">
      <w:pPr>
        <w:spacing w:after="0"/>
        <w:jc w:val="both"/>
        <w:rPr>
          <w:rFonts w:cs="Calibri"/>
        </w:rPr>
      </w:pPr>
    </w:p>
    <w:p w14:paraId="452C1FED" w14:textId="21DA624B" w:rsidR="003C75A2" w:rsidRPr="00F470D1" w:rsidRDefault="003C75A2" w:rsidP="003C75A2">
      <w:pPr>
        <w:spacing w:after="0"/>
        <w:jc w:val="both"/>
        <w:rPr>
          <w:rFonts w:ascii="Avenir Next LT Pro" w:hAnsi="Avenir Next LT Pro" w:cstheme="minorHAnsi"/>
          <w:sz w:val="20"/>
          <w:szCs w:val="20"/>
          <w:lang w:eastAsia="fr-FR"/>
        </w:rPr>
      </w:pPr>
      <w:r w:rsidRPr="00F470D1">
        <w:rPr>
          <w:rFonts w:ascii="Avenir Next LT Pro" w:hAnsi="Avenir Next LT Pro" w:cstheme="minorHAnsi"/>
          <w:sz w:val="20"/>
          <w:szCs w:val="20"/>
          <w:lang w:eastAsia="fr-FR"/>
        </w:rPr>
        <w:t xml:space="preserve">Sur le plan de la mobilisation de ressources, le pays bénéficie d’un important potentiel pour générer des crédits « carbone » pour financer </w:t>
      </w:r>
      <w:r w:rsidR="00994604" w:rsidRPr="00F470D1">
        <w:rPr>
          <w:rFonts w:ascii="Avenir Next LT Pro" w:hAnsi="Avenir Next LT Pro" w:cstheme="minorHAnsi"/>
          <w:sz w:val="20"/>
          <w:szCs w:val="20"/>
          <w:lang w:eastAsia="fr-FR"/>
        </w:rPr>
        <w:t xml:space="preserve">la mise en œuvre effective de la </w:t>
      </w:r>
      <w:r w:rsidRPr="00F470D1">
        <w:rPr>
          <w:rFonts w:ascii="Avenir Next LT Pro" w:hAnsi="Avenir Next LT Pro" w:cstheme="minorHAnsi"/>
          <w:sz w:val="20"/>
          <w:szCs w:val="20"/>
          <w:lang w:eastAsia="fr-FR"/>
        </w:rPr>
        <w:t>CDN. Le gouvernement a pris une série de mesures depuis 2023 pour accélérer le déploiement des marchés du carbone en RDC. Cependant, l’évolution des marchés notamment dans le secteur forestier, fait face actuellement à des défis de transparence, d’équité et d’engagement de l’ensemble des parties prenantes. Certes la réglementation sur les marchés du carbone a été renforcée avec l’Ordonnance-Loi modifiant et complétant la Loi No. 11/009 de 2011, le Décret de création de l’ARMCA et l’Arrêté interministériel sur le partage de la quotité du bénéfice des crédits carbones revenant à l’Etat. Toutefois, le cadre juridique demeure incomplet et peu incitatif pour l’investissement pour les porteurs de projets carbone. Les dispositions relatives au mécanisme de partage des bénéfices, aux mesures de sauvegarde environnementale et sociale et aux droits de propriété notamment dans les réformes sectorielles en cours sur le régime foncier doivent être renforcées, et les textes y afférents promus au</w:t>
      </w:r>
      <w:r w:rsidR="00FF213B">
        <w:rPr>
          <w:rFonts w:ascii="Avenir Next LT Pro" w:hAnsi="Avenir Next LT Pro" w:cstheme="minorHAnsi"/>
          <w:sz w:val="20"/>
          <w:szCs w:val="20"/>
          <w:lang w:eastAsia="fr-FR"/>
        </w:rPr>
        <w:t>près</w:t>
      </w:r>
      <w:r w:rsidRPr="00F470D1">
        <w:rPr>
          <w:rFonts w:ascii="Avenir Next LT Pro" w:hAnsi="Avenir Next LT Pro" w:cstheme="minorHAnsi"/>
          <w:sz w:val="20"/>
          <w:szCs w:val="20"/>
          <w:lang w:eastAsia="fr-FR"/>
        </w:rPr>
        <w:t xml:space="preserve"> des acteurs. </w:t>
      </w:r>
    </w:p>
    <w:p w14:paraId="48D1927A" w14:textId="77777777" w:rsidR="003C75A2" w:rsidRDefault="003C75A2" w:rsidP="003C75A2">
      <w:pPr>
        <w:spacing w:after="0"/>
        <w:jc w:val="both"/>
        <w:rPr>
          <w:rFonts w:asciiTheme="minorHAnsi" w:hAnsiTheme="minorHAnsi" w:cstheme="minorHAnsi"/>
          <w:lang w:eastAsia="fr-FR"/>
        </w:rPr>
      </w:pPr>
    </w:p>
    <w:p w14:paraId="2AED2D49" w14:textId="4B838F58" w:rsidR="003C75A2" w:rsidRPr="00F470D1" w:rsidRDefault="003C75A2" w:rsidP="003C75A2">
      <w:pPr>
        <w:spacing w:after="0"/>
        <w:jc w:val="both"/>
        <w:rPr>
          <w:rFonts w:ascii="Avenir Next LT Pro" w:hAnsi="Avenir Next LT Pro" w:cstheme="minorHAnsi"/>
          <w:sz w:val="20"/>
          <w:szCs w:val="20"/>
          <w:lang w:eastAsia="fr-FR"/>
        </w:rPr>
      </w:pPr>
      <w:r w:rsidRPr="00F470D1">
        <w:rPr>
          <w:rFonts w:ascii="Avenir Next LT Pro" w:hAnsi="Avenir Next LT Pro" w:cstheme="minorHAnsi"/>
          <w:sz w:val="20"/>
          <w:szCs w:val="20"/>
          <w:lang w:eastAsia="fr-FR"/>
        </w:rPr>
        <w:t xml:space="preserve">Par ailleurs, l’ARMCA n’est pas encore opérationnelle pour encadrer les initiatives en cours dans le pays et les activités encore disparates </w:t>
      </w:r>
      <w:r w:rsidR="002671B5" w:rsidRPr="00F470D1">
        <w:rPr>
          <w:rFonts w:ascii="Avenir Next LT Pro" w:hAnsi="Avenir Next LT Pro" w:cstheme="minorHAnsi"/>
          <w:sz w:val="20"/>
          <w:szCs w:val="20"/>
          <w:lang w:eastAsia="fr-FR"/>
        </w:rPr>
        <w:t xml:space="preserve">ont lieu </w:t>
      </w:r>
      <w:r w:rsidRPr="00F470D1">
        <w:rPr>
          <w:rFonts w:ascii="Avenir Next LT Pro" w:hAnsi="Avenir Next LT Pro" w:cstheme="minorHAnsi"/>
          <w:sz w:val="20"/>
          <w:szCs w:val="20"/>
          <w:lang w:eastAsia="fr-FR"/>
        </w:rPr>
        <w:t>dans divers domaines de la finance carbone. Il s’agit entre autres d’activités insuffisamment quantifiées et réglementée</w:t>
      </w:r>
      <w:r w:rsidR="00167996" w:rsidRPr="00F470D1">
        <w:rPr>
          <w:rFonts w:ascii="Avenir Next LT Pro" w:hAnsi="Avenir Next LT Pro" w:cstheme="minorHAnsi"/>
          <w:sz w:val="20"/>
          <w:szCs w:val="20"/>
          <w:lang w:eastAsia="fr-FR"/>
        </w:rPr>
        <w:t>s</w:t>
      </w:r>
      <w:r w:rsidRPr="00F470D1">
        <w:rPr>
          <w:rFonts w:ascii="Avenir Next LT Pro" w:hAnsi="Avenir Next LT Pro" w:cstheme="minorHAnsi"/>
          <w:sz w:val="20"/>
          <w:szCs w:val="20"/>
          <w:lang w:eastAsia="fr-FR"/>
        </w:rPr>
        <w:t xml:space="preserve"> existant sur le marché volontaire. La RDC est aussi à pied d’œuvre pour lancer un programme national de paiement pour services </w:t>
      </w:r>
      <w:r w:rsidRPr="00F470D1">
        <w:rPr>
          <w:rFonts w:ascii="Avenir Next LT Pro" w:hAnsi="Avenir Next LT Pro" w:cstheme="minorHAnsi"/>
          <w:sz w:val="20"/>
          <w:szCs w:val="20"/>
          <w:lang w:eastAsia="fr-FR"/>
        </w:rPr>
        <w:lastRenderedPageBreak/>
        <w:t>écosystémiques (PSE), qui indemniserait les communautés locales, les propriétaires fonciers et les autres parties prenantes pour des pratiques durables d’utilisation des terres qui réduisent les impacts négatifs sur la biodiversité et les puits de carbone naturels.</w:t>
      </w:r>
      <w:r w:rsidRPr="00F470D1">
        <w:rPr>
          <w:rFonts w:ascii="Avenir Next LT Pro" w:hAnsi="Avenir Next LT Pro"/>
          <w:sz w:val="20"/>
          <w:szCs w:val="20"/>
        </w:rPr>
        <w:t xml:space="preserve"> Le pays explore aussi l’option de s’investir dans l</w:t>
      </w:r>
      <w:r w:rsidRPr="00F470D1">
        <w:rPr>
          <w:rFonts w:ascii="Avenir Next LT Pro" w:hAnsi="Avenir Next LT Pro" w:cstheme="minorHAnsi"/>
          <w:sz w:val="20"/>
          <w:szCs w:val="20"/>
          <w:lang w:eastAsia="fr-FR"/>
        </w:rPr>
        <w:t xml:space="preserve">e développement d’un marché international du carbone par le biais de l’article 6 de l’Accord de Paris </w:t>
      </w:r>
      <w:r w:rsidR="00650540" w:rsidRPr="00F470D1">
        <w:rPr>
          <w:rFonts w:ascii="Avenir Next LT Pro" w:hAnsi="Avenir Next LT Pro" w:cstheme="minorHAnsi"/>
          <w:sz w:val="20"/>
          <w:szCs w:val="20"/>
          <w:lang w:eastAsia="fr-FR"/>
        </w:rPr>
        <w:t xml:space="preserve">qui </w:t>
      </w:r>
      <w:r w:rsidRPr="00F470D1">
        <w:rPr>
          <w:rFonts w:ascii="Avenir Next LT Pro" w:hAnsi="Avenir Next LT Pro" w:cstheme="minorHAnsi"/>
          <w:sz w:val="20"/>
          <w:szCs w:val="20"/>
          <w:lang w:eastAsia="fr-FR"/>
        </w:rPr>
        <w:t xml:space="preserve">pourrait bientôt fournir </w:t>
      </w:r>
      <w:r w:rsidR="00650540" w:rsidRPr="00F470D1">
        <w:rPr>
          <w:rFonts w:ascii="Avenir Next LT Pro" w:hAnsi="Avenir Next LT Pro" w:cstheme="minorHAnsi"/>
          <w:sz w:val="20"/>
          <w:szCs w:val="20"/>
          <w:lang w:eastAsia="fr-FR"/>
        </w:rPr>
        <w:t>une opportunité</w:t>
      </w:r>
      <w:r w:rsidRPr="00F470D1">
        <w:rPr>
          <w:rFonts w:ascii="Avenir Next LT Pro" w:hAnsi="Avenir Next LT Pro" w:cstheme="minorHAnsi"/>
          <w:sz w:val="20"/>
          <w:szCs w:val="20"/>
          <w:lang w:eastAsia="fr-FR"/>
        </w:rPr>
        <w:t xml:space="preserve"> à la RDC pour </w:t>
      </w:r>
      <w:r w:rsidR="00FF213B">
        <w:rPr>
          <w:rFonts w:ascii="Avenir Next LT Pro" w:hAnsi="Avenir Next LT Pro" w:cstheme="minorHAnsi"/>
          <w:sz w:val="20"/>
          <w:szCs w:val="20"/>
          <w:lang w:eastAsia="fr-FR"/>
        </w:rPr>
        <w:t xml:space="preserve">initier </w:t>
      </w:r>
      <w:r w:rsidR="00FF213B" w:rsidRPr="00F470D1">
        <w:rPr>
          <w:rFonts w:ascii="Avenir Next LT Pro" w:hAnsi="Avenir Next LT Pro" w:cstheme="minorHAnsi"/>
          <w:sz w:val="20"/>
          <w:szCs w:val="20"/>
          <w:lang w:eastAsia="fr-FR"/>
        </w:rPr>
        <w:t xml:space="preserve"> </w:t>
      </w:r>
      <w:r w:rsidRPr="00F470D1">
        <w:rPr>
          <w:rFonts w:ascii="Avenir Next LT Pro" w:hAnsi="Avenir Next LT Pro" w:cstheme="minorHAnsi"/>
          <w:sz w:val="20"/>
          <w:szCs w:val="20"/>
          <w:lang w:eastAsia="fr-FR"/>
        </w:rPr>
        <w:t>des</w:t>
      </w:r>
      <w:r w:rsidR="00FF213B">
        <w:rPr>
          <w:rFonts w:ascii="Avenir Next LT Pro" w:hAnsi="Avenir Next LT Pro" w:cstheme="minorHAnsi"/>
          <w:sz w:val="20"/>
          <w:szCs w:val="20"/>
          <w:lang w:eastAsia="fr-FR"/>
        </w:rPr>
        <w:t xml:space="preserve"> transactions de </w:t>
      </w:r>
      <w:r w:rsidRPr="00F470D1">
        <w:rPr>
          <w:rFonts w:ascii="Avenir Next LT Pro" w:hAnsi="Avenir Next LT Pro" w:cstheme="minorHAnsi"/>
          <w:sz w:val="20"/>
          <w:szCs w:val="20"/>
          <w:lang w:eastAsia="fr-FR"/>
        </w:rPr>
        <w:t xml:space="preserve"> crédits carbones </w:t>
      </w:r>
      <w:r w:rsidR="00FF213B">
        <w:rPr>
          <w:rFonts w:ascii="Avenir Next LT Pro" w:hAnsi="Avenir Next LT Pro" w:cstheme="minorHAnsi"/>
          <w:sz w:val="20"/>
          <w:szCs w:val="20"/>
          <w:lang w:eastAsia="fr-FR"/>
        </w:rPr>
        <w:t xml:space="preserve"> avec </w:t>
      </w:r>
      <w:r w:rsidRPr="00F470D1">
        <w:rPr>
          <w:rFonts w:ascii="Avenir Next LT Pro" w:hAnsi="Avenir Next LT Pro" w:cstheme="minorHAnsi"/>
          <w:sz w:val="20"/>
          <w:szCs w:val="20"/>
          <w:lang w:eastAsia="fr-FR"/>
        </w:rPr>
        <w:t xml:space="preserve"> d’autres pays. </w:t>
      </w:r>
    </w:p>
    <w:p w14:paraId="67EF10A0" w14:textId="77777777" w:rsidR="003C75A2" w:rsidRDefault="003C75A2" w:rsidP="003C75A2">
      <w:pPr>
        <w:spacing w:after="0"/>
        <w:jc w:val="both"/>
        <w:rPr>
          <w:rFonts w:asciiTheme="minorHAnsi" w:hAnsiTheme="minorHAnsi" w:cstheme="minorHAnsi"/>
          <w:lang w:eastAsia="fr-FR"/>
        </w:rPr>
      </w:pPr>
    </w:p>
    <w:p w14:paraId="595DB26D" w14:textId="111F0E0B" w:rsidR="003C75A2" w:rsidRPr="00F470D1" w:rsidRDefault="003C75A2" w:rsidP="003C75A2">
      <w:pPr>
        <w:jc w:val="both"/>
        <w:rPr>
          <w:rFonts w:ascii="Avenir Next LT Pro" w:hAnsi="Avenir Next LT Pro" w:cstheme="minorHAnsi"/>
          <w:sz w:val="20"/>
          <w:szCs w:val="20"/>
          <w:lang w:eastAsia="fr-FR"/>
        </w:rPr>
      </w:pPr>
      <w:r w:rsidRPr="00F470D1">
        <w:rPr>
          <w:rFonts w:ascii="Avenir Next LT Pro" w:hAnsi="Avenir Next LT Pro" w:cstheme="minorHAnsi"/>
          <w:sz w:val="20"/>
          <w:szCs w:val="20"/>
          <w:lang w:eastAsia="fr-FR"/>
        </w:rPr>
        <w:t xml:space="preserve">Au-delà du besoin d’opérationnalisation effective de ces institutions et cadres légaux pour un déploiement effectif des marchés du carbone en vue de mobiliser des ressources pour financer la CDN de la RDC, il convient de relever l’importance d’établir des plateformes de concertation plus larges permettant d’assurer la pleine participation des acteurs étatiques au-delà du cadre gouvernemental au développement et à la mise en œuvre harmonieuse de cette stratégie de développement sobre en carbone qu’offre la CDN. Il s’agit entre autres des parlementaires et des autorités locales, mais également des acteurs non étatiques tels que le secteur privé et la société civile, les peuples autochtones et les autres membres des communautés y compris les jeunes et les femmes. C’est dans cette perspective que ce Projet se donne pour mission de poser les fondements solides d’un cadre de gouvernance habilitant pour un déploiement effectif des marchés du carbone et une mise en œuvre efficiente et efficace de la CDN dans le secteur forestier et les autres secteurs </w:t>
      </w:r>
      <w:r w:rsidR="00030E0B" w:rsidRPr="00F470D1">
        <w:rPr>
          <w:rFonts w:ascii="Avenir Next LT Pro" w:hAnsi="Avenir Next LT Pro" w:cstheme="minorHAnsi"/>
          <w:sz w:val="20"/>
          <w:szCs w:val="20"/>
          <w:lang w:eastAsia="fr-FR"/>
        </w:rPr>
        <w:t>connexes</w:t>
      </w:r>
      <w:r w:rsidRPr="00F470D1">
        <w:rPr>
          <w:rFonts w:ascii="Avenir Next LT Pro" w:hAnsi="Avenir Next LT Pro" w:cstheme="minorHAnsi"/>
          <w:sz w:val="20"/>
          <w:szCs w:val="20"/>
          <w:lang w:eastAsia="fr-FR"/>
        </w:rPr>
        <w:t xml:space="preserve">.  </w:t>
      </w:r>
    </w:p>
    <w:p w14:paraId="7237DEB5" w14:textId="1076D5EB" w:rsidR="003C75A2" w:rsidRPr="00F470D1" w:rsidRDefault="003C75A2" w:rsidP="003C75A2">
      <w:pPr>
        <w:spacing w:after="0"/>
        <w:jc w:val="both"/>
        <w:rPr>
          <w:rFonts w:ascii="Avenir Next LT Pro" w:hAnsi="Avenir Next LT Pro" w:cstheme="minorHAnsi"/>
          <w:sz w:val="20"/>
          <w:szCs w:val="20"/>
          <w:lang w:eastAsia="fr-FR"/>
        </w:rPr>
      </w:pPr>
      <w:r w:rsidRPr="00F470D1">
        <w:rPr>
          <w:rFonts w:ascii="Avenir Next LT Pro" w:hAnsi="Avenir Next LT Pro" w:cstheme="minorHAnsi"/>
          <w:sz w:val="20"/>
          <w:szCs w:val="20"/>
          <w:lang w:eastAsia="fr-FR"/>
        </w:rPr>
        <w:t xml:space="preserve">D’un autre côté, l’infrastructure de marché </w:t>
      </w:r>
      <w:r w:rsidR="00C4358A" w:rsidRPr="00F470D1">
        <w:rPr>
          <w:rFonts w:ascii="Avenir Next LT Pro" w:hAnsi="Avenir Next LT Pro" w:cstheme="minorHAnsi"/>
          <w:sz w:val="20"/>
          <w:szCs w:val="20"/>
          <w:lang w:eastAsia="fr-FR"/>
        </w:rPr>
        <w:t xml:space="preserve">est </w:t>
      </w:r>
      <w:r w:rsidRPr="00F470D1">
        <w:rPr>
          <w:rFonts w:ascii="Avenir Next LT Pro" w:hAnsi="Avenir Next LT Pro" w:cstheme="minorHAnsi"/>
          <w:sz w:val="20"/>
          <w:szCs w:val="20"/>
          <w:lang w:eastAsia="fr-FR"/>
        </w:rPr>
        <w:t xml:space="preserve">quasi inexistante pour garantir leur intégrité, efficacité et équité. Par exemple, il n’existe pas de registre carbone au niveau national et le registre REDD+ existant </w:t>
      </w:r>
      <w:r w:rsidR="000B021D" w:rsidRPr="00F470D1">
        <w:rPr>
          <w:rFonts w:ascii="Avenir Next LT Pro" w:hAnsi="Avenir Next LT Pro" w:cstheme="minorHAnsi"/>
          <w:sz w:val="20"/>
          <w:szCs w:val="20"/>
          <w:lang w:eastAsia="fr-FR"/>
        </w:rPr>
        <w:t>n’</w:t>
      </w:r>
      <w:r w:rsidRPr="00F470D1">
        <w:rPr>
          <w:rFonts w:ascii="Avenir Next LT Pro" w:hAnsi="Avenir Next LT Pro" w:cstheme="minorHAnsi"/>
          <w:sz w:val="20"/>
          <w:szCs w:val="20"/>
          <w:lang w:eastAsia="fr-FR"/>
        </w:rPr>
        <w:t xml:space="preserve">est </w:t>
      </w:r>
      <w:r w:rsidR="000B021D" w:rsidRPr="00F470D1">
        <w:rPr>
          <w:rFonts w:ascii="Avenir Next LT Pro" w:hAnsi="Avenir Next LT Pro" w:cstheme="minorHAnsi"/>
          <w:sz w:val="20"/>
          <w:szCs w:val="20"/>
          <w:lang w:eastAsia="fr-FR"/>
        </w:rPr>
        <w:t xml:space="preserve">pas encore </w:t>
      </w:r>
      <w:r w:rsidRPr="00F470D1">
        <w:rPr>
          <w:rFonts w:ascii="Avenir Next LT Pro" w:hAnsi="Avenir Next LT Pro" w:cstheme="minorHAnsi"/>
          <w:sz w:val="20"/>
          <w:szCs w:val="20"/>
          <w:lang w:eastAsia="fr-FR"/>
        </w:rPr>
        <w:t xml:space="preserve">opérationnel, ce qui entrave la transparence dans le suivi </w:t>
      </w:r>
      <w:r w:rsidR="008A18D7" w:rsidRPr="00F470D1">
        <w:rPr>
          <w:rFonts w:ascii="Avenir Next LT Pro" w:hAnsi="Avenir Next LT Pro" w:cstheme="minorHAnsi"/>
          <w:sz w:val="20"/>
          <w:szCs w:val="20"/>
          <w:lang w:eastAsia="fr-FR"/>
        </w:rPr>
        <w:t xml:space="preserve">des flux </w:t>
      </w:r>
      <w:r w:rsidR="00B4677E" w:rsidRPr="00F470D1">
        <w:rPr>
          <w:rFonts w:ascii="Avenir Next LT Pro" w:hAnsi="Avenir Next LT Pro" w:cstheme="minorHAnsi"/>
          <w:sz w:val="20"/>
          <w:szCs w:val="20"/>
          <w:lang w:eastAsia="fr-FR"/>
        </w:rPr>
        <w:t xml:space="preserve">des crédits carbones </w:t>
      </w:r>
      <w:r w:rsidRPr="00F470D1">
        <w:rPr>
          <w:rFonts w:ascii="Avenir Next LT Pro" w:hAnsi="Avenir Next LT Pro" w:cstheme="minorHAnsi"/>
          <w:sz w:val="20"/>
          <w:szCs w:val="20"/>
          <w:lang w:eastAsia="fr-FR"/>
        </w:rPr>
        <w:t xml:space="preserve">sur les marchés </w:t>
      </w:r>
      <w:r w:rsidR="00DB029E" w:rsidRPr="00F470D1">
        <w:rPr>
          <w:rFonts w:ascii="Avenir Next LT Pro" w:hAnsi="Avenir Next LT Pro" w:cstheme="minorHAnsi"/>
          <w:sz w:val="20"/>
          <w:szCs w:val="20"/>
          <w:lang w:eastAsia="fr-FR"/>
        </w:rPr>
        <w:t>du carbone</w:t>
      </w:r>
      <w:r w:rsidRPr="00F470D1">
        <w:rPr>
          <w:rFonts w:ascii="Avenir Next LT Pro" w:hAnsi="Avenir Next LT Pro" w:cstheme="minorHAnsi"/>
          <w:sz w:val="20"/>
          <w:szCs w:val="20"/>
          <w:lang w:eastAsia="fr-FR"/>
        </w:rPr>
        <w:t>. Par ailleurs, il n’existe aucune capacité de validation et de vérification des résultats en matière d'atténuation au niveau national, ce qui place le pays dans une situation de dépendance perpétuelle où tout cela doit être sous-traité avec l’extérieur.</w:t>
      </w:r>
    </w:p>
    <w:p w14:paraId="6467AA61" w14:textId="77777777" w:rsidR="003C75A2" w:rsidRDefault="003C75A2" w:rsidP="003C75A2">
      <w:pPr>
        <w:spacing w:after="0"/>
        <w:jc w:val="both"/>
        <w:rPr>
          <w:rFonts w:asciiTheme="minorHAnsi" w:hAnsiTheme="minorHAnsi" w:cstheme="minorHAnsi"/>
          <w:lang w:eastAsia="fr-FR"/>
        </w:rPr>
      </w:pPr>
    </w:p>
    <w:p w14:paraId="78004957" w14:textId="39F94780" w:rsidR="003C75A2" w:rsidRPr="00F470D1" w:rsidRDefault="003C75A2" w:rsidP="003C75A2">
      <w:pPr>
        <w:spacing w:after="0"/>
        <w:jc w:val="both"/>
        <w:rPr>
          <w:rFonts w:ascii="Avenir Next LT Pro" w:hAnsi="Avenir Next LT Pro" w:cstheme="minorHAnsi"/>
          <w:sz w:val="20"/>
          <w:szCs w:val="20"/>
          <w:lang w:eastAsia="fr-FR"/>
        </w:rPr>
      </w:pPr>
      <w:r w:rsidRPr="00F470D1">
        <w:rPr>
          <w:rFonts w:ascii="Avenir Next LT Pro" w:hAnsi="Avenir Next LT Pro" w:cstheme="minorHAnsi"/>
          <w:sz w:val="20"/>
          <w:szCs w:val="20"/>
          <w:lang w:eastAsia="fr-FR"/>
        </w:rPr>
        <w:t>Divers partenaires au développement (</w:t>
      </w:r>
      <w:r w:rsidR="00DB029E" w:rsidRPr="00F470D1">
        <w:rPr>
          <w:rFonts w:ascii="Avenir Next LT Pro" w:hAnsi="Avenir Next LT Pro" w:cstheme="minorHAnsi"/>
          <w:sz w:val="20"/>
          <w:szCs w:val="20"/>
          <w:lang w:eastAsia="fr-FR"/>
        </w:rPr>
        <w:t>USFS,</w:t>
      </w:r>
      <w:r w:rsidR="003D7B18">
        <w:rPr>
          <w:rFonts w:ascii="Avenir Next LT Pro" w:hAnsi="Avenir Next LT Pro" w:cstheme="minorHAnsi"/>
          <w:sz w:val="20"/>
          <w:szCs w:val="20"/>
          <w:lang w:eastAsia="fr-FR"/>
        </w:rPr>
        <w:t xml:space="preserve"> </w:t>
      </w:r>
      <w:r w:rsidR="00FF213B">
        <w:rPr>
          <w:rFonts w:ascii="Avenir Next LT Pro" w:hAnsi="Avenir Next LT Pro" w:cstheme="minorHAnsi"/>
          <w:sz w:val="20"/>
          <w:szCs w:val="20"/>
          <w:lang w:eastAsia="fr-FR"/>
        </w:rPr>
        <w:t>Banque Mondiale,</w:t>
      </w:r>
      <w:r w:rsidR="003D7B18">
        <w:rPr>
          <w:rFonts w:ascii="Avenir Next LT Pro" w:hAnsi="Avenir Next LT Pro" w:cstheme="minorHAnsi"/>
          <w:sz w:val="20"/>
          <w:szCs w:val="20"/>
          <w:lang w:eastAsia="fr-FR"/>
        </w:rPr>
        <w:t xml:space="preserve"> </w:t>
      </w:r>
      <w:r w:rsidRPr="00F470D1">
        <w:rPr>
          <w:rFonts w:ascii="Avenir Next LT Pro" w:hAnsi="Avenir Next LT Pro" w:cstheme="minorHAnsi"/>
          <w:sz w:val="20"/>
          <w:szCs w:val="20"/>
          <w:lang w:eastAsia="fr-FR"/>
        </w:rPr>
        <w:t xml:space="preserve">Africa Carbon </w:t>
      </w:r>
      <w:proofErr w:type="spellStart"/>
      <w:r w:rsidRPr="00F470D1">
        <w:rPr>
          <w:rFonts w:ascii="Avenir Next LT Pro" w:hAnsi="Avenir Next LT Pro" w:cstheme="minorHAnsi"/>
          <w:sz w:val="20"/>
          <w:szCs w:val="20"/>
          <w:lang w:eastAsia="fr-FR"/>
        </w:rPr>
        <w:t>Market</w:t>
      </w:r>
      <w:proofErr w:type="spellEnd"/>
      <w:r w:rsidRPr="00F470D1">
        <w:rPr>
          <w:rFonts w:ascii="Avenir Next LT Pro" w:hAnsi="Avenir Next LT Pro" w:cstheme="minorHAnsi"/>
          <w:sz w:val="20"/>
          <w:szCs w:val="20"/>
          <w:lang w:eastAsia="fr-FR"/>
        </w:rPr>
        <w:t xml:space="preserve"> Initiative, </w:t>
      </w:r>
      <w:proofErr w:type="spellStart"/>
      <w:r w:rsidRPr="00F470D1">
        <w:rPr>
          <w:rFonts w:ascii="Avenir Next LT Pro" w:hAnsi="Avenir Next LT Pro" w:cstheme="minorHAnsi"/>
          <w:sz w:val="20"/>
          <w:szCs w:val="20"/>
          <w:lang w:eastAsia="fr-FR"/>
        </w:rPr>
        <w:t>Woodwell</w:t>
      </w:r>
      <w:proofErr w:type="spellEnd"/>
      <w:r w:rsidRPr="00F470D1">
        <w:rPr>
          <w:rFonts w:ascii="Avenir Next LT Pro" w:hAnsi="Avenir Next LT Pro" w:cstheme="minorHAnsi"/>
          <w:sz w:val="20"/>
          <w:szCs w:val="20"/>
          <w:lang w:eastAsia="fr-FR"/>
        </w:rPr>
        <w:t xml:space="preserve"> Institute, Global Commission on Adaptation, etc.) apportent actuellement leur soutien sur différents aspects de la finance carbone et des marchés du carbone en RDC. Cependant, la coordination de ces différentes initiatives et le développement d’actions synergiques constituent un défi</w:t>
      </w:r>
      <w:r w:rsidR="003D7B18">
        <w:rPr>
          <w:rFonts w:ascii="Avenir Next LT Pro" w:hAnsi="Avenir Next LT Pro" w:cstheme="minorHAnsi"/>
          <w:sz w:val="20"/>
          <w:szCs w:val="20"/>
          <w:lang w:eastAsia="fr-FR"/>
        </w:rPr>
        <w:t xml:space="preserve"> pour assurer le développement du secteur</w:t>
      </w:r>
      <w:r w:rsidRPr="00F470D1">
        <w:rPr>
          <w:rFonts w:ascii="Avenir Next LT Pro" w:hAnsi="Avenir Next LT Pro" w:cstheme="minorHAnsi"/>
          <w:sz w:val="20"/>
          <w:szCs w:val="20"/>
          <w:lang w:eastAsia="fr-FR"/>
        </w:rPr>
        <w:t xml:space="preserve">. </w:t>
      </w:r>
      <w:r w:rsidR="000D1D9E" w:rsidRPr="000D1D9E">
        <w:rPr>
          <w:rFonts w:ascii="Avenir Next LT Pro" w:hAnsi="Avenir Next LT Pro" w:cstheme="minorHAnsi"/>
          <w:sz w:val="20"/>
          <w:szCs w:val="20"/>
          <w:lang w:eastAsia="fr-FR"/>
        </w:rPr>
        <w:t xml:space="preserve">Une action efficace nécessitera des investissements </w:t>
      </w:r>
      <w:r w:rsidR="000D1D9E">
        <w:rPr>
          <w:rFonts w:ascii="Avenir Next LT Pro" w:hAnsi="Avenir Next LT Pro" w:cstheme="minorHAnsi"/>
          <w:sz w:val="20"/>
          <w:szCs w:val="20"/>
          <w:lang w:eastAsia="fr-FR"/>
        </w:rPr>
        <w:t>coordonnés</w:t>
      </w:r>
      <w:r w:rsidR="000D1D9E" w:rsidRPr="000D1D9E">
        <w:rPr>
          <w:rFonts w:ascii="Avenir Next LT Pro" w:hAnsi="Avenir Next LT Pro" w:cstheme="minorHAnsi"/>
          <w:sz w:val="20"/>
          <w:szCs w:val="20"/>
          <w:lang w:eastAsia="fr-FR"/>
        </w:rPr>
        <w:t xml:space="preserve"> et concertés</w:t>
      </w:r>
      <w:r w:rsidR="000D1D9E">
        <w:rPr>
          <w:rFonts w:ascii="Avenir Next LT Pro" w:hAnsi="Avenir Next LT Pro" w:cstheme="minorHAnsi"/>
          <w:sz w:val="20"/>
          <w:szCs w:val="20"/>
          <w:lang w:eastAsia="fr-FR"/>
        </w:rPr>
        <w:t xml:space="preserve"> pour créer un environnement favorable au déploiement de ces instruments financiers verts en vue de permettre de mobiliser dans le pays des ressources conséquentes et</w:t>
      </w:r>
      <w:r w:rsidR="000D1D9E" w:rsidRPr="000D1D9E">
        <w:rPr>
          <w:rFonts w:ascii="Avenir Next LT Pro" w:hAnsi="Avenir Next LT Pro" w:cstheme="minorHAnsi"/>
          <w:sz w:val="20"/>
          <w:szCs w:val="20"/>
          <w:lang w:eastAsia="fr-FR"/>
        </w:rPr>
        <w:t xml:space="preserve"> </w:t>
      </w:r>
      <w:r w:rsidR="000D1D9E">
        <w:rPr>
          <w:rFonts w:ascii="Avenir Next LT Pro" w:hAnsi="Avenir Next LT Pro" w:cstheme="minorHAnsi"/>
          <w:sz w:val="20"/>
          <w:szCs w:val="20"/>
          <w:lang w:eastAsia="fr-FR"/>
        </w:rPr>
        <w:t xml:space="preserve">garantir le </w:t>
      </w:r>
      <w:r w:rsidR="000D1D9E" w:rsidRPr="000D1D9E">
        <w:rPr>
          <w:rFonts w:ascii="Avenir Next LT Pro" w:hAnsi="Avenir Next LT Pro" w:cstheme="minorHAnsi"/>
          <w:sz w:val="20"/>
          <w:szCs w:val="20"/>
          <w:lang w:eastAsia="fr-FR"/>
        </w:rPr>
        <w:t>finance</w:t>
      </w:r>
      <w:r w:rsidR="000D1D9E">
        <w:rPr>
          <w:rFonts w:ascii="Avenir Next LT Pro" w:hAnsi="Avenir Next LT Pro" w:cstheme="minorHAnsi"/>
          <w:sz w:val="20"/>
          <w:szCs w:val="20"/>
          <w:lang w:eastAsia="fr-FR"/>
        </w:rPr>
        <w:t xml:space="preserve">ment des </w:t>
      </w:r>
      <w:r w:rsidR="000D1D9E" w:rsidRPr="000D1D9E">
        <w:rPr>
          <w:rFonts w:ascii="Avenir Next LT Pro" w:hAnsi="Avenir Next LT Pro" w:cstheme="minorHAnsi"/>
          <w:sz w:val="20"/>
          <w:szCs w:val="20"/>
          <w:lang w:eastAsia="fr-FR"/>
        </w:rPr>
        <w:t>objectifs d'action climatique</w:t>
      </w:r>
      <w:r w:rsidR="000D1D9E">
        <w:rPr>
          <w:rFonts w:ascii="Avenir Next LT Pro" w:hAnsi="Avenir Next LT Pro" w:cstheme="minorHAnsi"/>
          <w:sz w:val="20"/>
          <w:szCs w:val="20"/>
          <w:lang w:eastAsia="fr-FR"/>
        </w:rPr>
        <w:t xml:space="preserve"> </w:t>
      </w:r>
      <w:r w:rsidR="000D1D9E" w:rsidRPr="000D1D9E">
        <w:rPr>
          <w:rFonts w:ascii="Avenir Next LT Pro" w:hAnsi="Avenir Next LT Pro" w:cstheme="minorHAnsi"/>
          <w:sz w:val="20"/>
          <w:szCs w:val="20"/>
          <w:lang w:eastAsia="fr-FR"/>
        </w:rPr>
        <w:t xml:space="preserve">tels que </w:t>
      </w:r>
      <w:r w:rsidR="000D1D9E">
        <w:rPr>
          <w:rFonts w:ascii="Avenir Next LT Pro" w:hAnsi="Avenir Next LT Pro" w:cstheme="minorHAnsi"/>
          <w:sz w:val="20"/>
          <w:szCs w:val="20"/>
          <w:lang w:eastAsia="fr-FR"/>
        </w:rPr>
        <w:t>déclinés dans la CDN.</w:t>
      </w:r>
    </w:p>
    <w:p w14:paraId="1C235374" w14:textId="77777777" w:rsidR="00A87F82" w:rsidRPr="00C345C4" w:rsidRDefault="00A87F82" w:rsidP="009340BA">
      <w:pPr>
        <w:spacing w:after="120"/>
        <w:rPr>
          <w:rFonts w:ascii="Avenir Next LT Pro" w:hAnsi="Avenir Next LT Pro"/>
          <w:lang w:eastAsia="fr-FR"/>
        </w:rPr>
      </w:pPr>
    </w:p>
    <w:p w14:paraId="364E2A64" w14:textId="7D2E8742" w:rsidR="008C0055" w:rsidRPr="00C345C4" w:rsidRDefault="008C0055" w:rsidP="0068302F">
      <w:pPr>
        <w:pStyle w:val="Titre1"/>
        <w:rPr>
          <w:rFonts w:ascii="Avenir Next LT Pro" w:hAnsi="Avenir Next LT Pro"/>
        </w:rPr>
      </w:pPr>
      <w:bookmarkStart w:id="9" w:name="_Toc163230363"/>
      <w:r w:rsidRPr="00C345C4">
        <w:rPr>
          <w:rFonts w:ascii="Avenir Next LT Pro" w:hAnsi="Avenir Next LT Pro"/>
        </w:rPr>
        <w:t xml:space="preserve">Stratégie du </w:t>
      </w:r>
      <w:r w:rsidR="004D153D" w:rsidRPr="00C345C4">
        <w:rPr>
          <w:rFonts w:ascii="Avenir Next LT Pro" w:hAnsi="Avenir Next LT Pro"/>
        </w:rPr>
        <w:t>p</w:t>
      </w:r>
      <w:r w:rsidR="00C420ED" w:rsidRPr="00C345C4">
        <w:rPr>
          <w:rFonts w:ascii="Avenir Next LT Pro" w:hAnsi="Avenir Next LT Pro"/>
        </w:rPr>
        <w:t>rojet</w:t>
      </w:r>
      <w:bookmarkEnd w:id="9"/>
    </w:p>
    <w:p w14:paraId="5634487F" w14:textId="2D639220" w:rsidR="00AC58F3" w:rsidRPr="00C345C4" w:rsidRDefault="00EF337F" w:rsidP="00823572">
      <w:pPr>
        <w:pStyle w:val="Titre2"/>
        <w:rPr>
          <w:rFonts w:ascii="Avenir Next LT Pro" w:hAnsi="Avenir Next LT Pro"/>
        </w:rPr>
      </w:pPr>
      <w:bookmarkStart w:id="10" w:name="_Toc163230364"/>
      <w:r w:rsidRPr="00C345C4">
        <w:rPr>
          <w:rFonts w:ascii="Avenir Next LT Pro" w:hAnsi="Avenir Next LT Pro"/>
        </w:rPr>
        <w:t>Initiatives passées et leçons apprises (nationales et internationales)</w:t>
      </w:r>
      <w:bookmarkEnd w:id="10"/>
    </w:p>
    <w:p w14:paraId="6C6F9D8E" w14:textId="3F835198" w:rsidR="00FF213B" w:rsidRDefault="00F470D1" w:rsidP="00F470D1">
      <w:pPr>
        <w:spacing w:after="0"/>
        <w:jc w:val="both"/>
        <w:rPr>
          <w:rFonts w:ascii="Avenir Next LT Pro" w:hAnsi="Avenir Next LT Pro" w:cstheme="minorHAnsi"/>
          <w:sz w:val="20"/>
          <w:szCs w:val="20"/>
        </w:rPr>
      </w:pPr>
      <w:r w:rsidRPr="00F470D1">
        <w:rPr>
          <w:rFonts w:ascii="Avenir Next LT Pro" w:hAnsi="Avenir Next LT Pro" w:cstheme="minorHAnsi"/>
          <w:sz w:val="20"/>
          <w:szCs w:val="20"/>
        </w:rPr>
        <w:t xml:space="preserve">Comme dans la plupart des pays en développement, les marchés du carbone ne sont pas encore suffisamment développés en RDC. </w:t>
      </w:r>
      <w:r w:rsidR="000F67AB" w:rsidRPr="00F470D1">
        <w:rPr>
          <w:rFonts w:ascii="Avenir Next LT Pro" w:hAnsi="Avenir Next LT Pro" w:cstheme="minorHAnsi"/>
          <w:sz w:val="20"/>
          <w:szCs w:val="20"/>
        </w:rPr>
        <w:t>Certes la RDC représente environ 12 % du total des crédits carbone émis en Afrique sur la période 2016-2021, mais ces marchés ne sont pas encore structurés au niveau national et les acteurs isolés opèrent dans le cadre des projets de génération des crédits-carbones et la vente sur le marché volontaire.</w:t>
      </w:r>
      <w:r w:rsidR="000F67AB">
        <w:rPr>
          <w:rFonts w:ascii="Avenir Next LT Pro" w:hAnsi="Avenir Next LT Pro" w:cstheme="minorHAnsi"/>
          <w:sz w:val="20"/>
          <w:szCs w:val="20"/>
        </w:rPr>
        <w:t xml:space="preserve"> Les</w:t>
      </w:r>
      <w:r w:rsidR="00FF213B">
        <w:rPr>
          <w:rFonts w:ascii="Avenir Next LT Pro" w:hAnsi="Avenir Next LT Pro" w:cstheme="minorHAnsi"/>
          <w:sz w:val="20"/>
          <w:szCs w:val="20"/>
        </w:rPr>
        <w:t xml:space="preserve"> premiers crédits carbones générer par les projets mis en œuvre en RDC datent de 2011. Jusqu’au 30 Avril </w:t>
      </w:r>
      <w:r w:rsidR="00561B51">
        <w:rPr>
          <w:rFonts w:ascii="Avenir Next LT Pro" w:hAnsi="Avenir Next LT Pro" w:cstheme="minorHAnsi"/>
          <w:sz w:val="20"/>
          <w:szCs w:val="20"/>
        </w:rPr>
        <w:t>2024, il</w:t>
      </w:r>
      <w:r w:rsidR="00FF213B">
        <w:rPr>
          <w:rFonts w:ascii="Avenir Next LT Pro" w:hAnsi="Avenir Next LT Pro" w:cstheme="minorHAnsi"/>
          <w:sz w:val="20"/>
          <w:szCs w:val="20"/>
        </w:rPr>
        <w:t xml:space="preserve"> a été recensé 44 initiatives ou projet carbone en RDC qui sont à des stades de développement ou de mise en œuvre </w:t>
      </w:r>
      <w:r w:rsidR="000F67AB">
        <w:rPr>
          <w:rFonts w:ascii="Avenir Next LT Pro" w:hAnsi="Avenir Next LT Pro" w:cstheme="minorHAnsi"/>
          <w:sz w:val="20"/>
          <w:szCs w:val="20"/>
        </w:rPr>
        <w:t>variés</w:t>
      </w:r>
      <w:r w:rsidR="00561B51">
        <w:rPr>
          <w:rFonts w:ascii="Avenir Next LT Pro" w:hAnsi="Avenir Next LT Pro" w:cstheme="minorHAnsi"/>
          <w:sz w:val="20"/>
          <w:szCs w:val="20"/>
        </w:rPr>
        <w:t>. Ces projets enregistrés dans les registres VERRA et Gold Standard couvrent différentes catégories allant de la REDD+ à l’énergie domestique en passant par l</w:t>
      </w:r>
      <w:r w:rsidR="000F67AB">
        <w:rPr>
          <w:rFonts w:ascii="Avenir Next LT Pro" w:hAnsi="Avenir Next LT Pro" w:cstheme="minorHAnsi"/>
          <w:sz w:val="20"/>
          <w:szCs w:val="20"/>
        </w:rPr>
        <w:t>’</w:t>
      </w:r>
      <w:r w:rsidR="00561B51">
        <w:rPr>
          <w:rFonts w:ascii="Avenir Next LT Pro" w:hAnsi="Avenir Next LT Pro" w:cstheme="minorHAnsi"/>
          <w:sz w:val="20"/>
          <w:szCs w:val="20"/>
        </w:rPr>
        <w:t>afforestation/reforestation, le gestion forestière améliorée</w:t>
      </w:r>
      <w:r w:rsidR="000F67AB">
        <w:rPr>
          <w:rFonts w:ascii="Avenir Next LT Pro" w:hAnsi="Avenir Next LT Pro" w:cstheme="minorHAnsi"/>
          <w:sz w:val="20"/>
          <w:szCs w:val="20"/>
        </w:rPr>
        <w:t>, l’éclairage solaire</w:t>
      </w:r>
      <w:r w:rsidR="00561B51">
        <w:rPr>
          <w:rFonts w:ascii="Avenir Next LT Pro" w:hAnsi="Avenir Next LT Pro" w:cstheme="minorHAnsi"/>
          <w:sz w:val="20"/>
          <w:szCs w:val="20"/>
        </w:rPr>
        <w:t xml:space="preserve"> et l’hydroélectricité. </w:t>
      </w:r>
    </w:p>
    <w:p w14:paraId="720310B9" w14:textId="77777777" w:rsidR="00561B51" w:rsidRDefault="00561B51" w:rsidP="00F470D1">
      <w:pPr>
        <w:spacing w:after="0"/>
        <w:jc w:val="both"/>
        <w:rPr>
          <w:rFonts w:ascii="Avenir Next LT Pro" w:hAnsi="Avenir Next LT Pro" w:cstheme="minorHAnsi"/>
          <w:sz w:val="20"/>
          <w:szCs w:val="20"/>
        </w:rPr>
      </w:pPr>
    </w:p>
    <w:p w14:paraId="122E075D" w14:textId="77777777" w:rsidR="00561B51" w:rsidRDefault="00561B51" w:rsidP="00F470D1">
      <w:pPr>
        <w:spacing w:after="0"/>
        <w:jc w:val="both"/>
        <w:rPr>
          <w:rFonts w:ascii="Avenir Next LT Pro" w:hAnsi="Avenir Next LT Pro" w:cstheme="minorHAnsi"/>
          <w:sz w:val="20"/>
          <w:szCs w:val="20"/>
        </w:rPr>
      </w:pPr>
    </w:p>
    <w:p w14:paraId="320B4872" w14:textId="77979D2E" w:rsidR="009A1ED5" w:rsidRPr="00896804" w:rsidRDefault="009A1ED5" w:rsidP="00896804">
      <w:pPr>
        <w:pStyle w:val="Lgende"/>
        <w:keepNext/>
        <w:jc w:val="both"/>
        <w:rPr>
          <w:i w:val="0"/>
          <w:iCs w:val="0"/>
        </w:rPr>
      </w:pPr>
      <w:bookmarkStart w:id="11" w:name="_Toc179238785"/>
      <w:r w:rsidRPr="00896804">
        <w:rPr>
          <w:i w:val="0"/>
          <w:iCs w:val="0"/>
          <w:sz w:val="22"/>
          <w:szCs w:val="22"/>
        </w:rPr>
        <w:t xml:space="preserve">Tableau </w:t>
      </w:r>
      <w:r w:rsidRPr="00896804">
        <w:rPr>
          <w:i w:val="0"/>
          <w:iCs w:val="0"/>
          <w:sz w:val="22"/>
          <w:szCs w:val="22"/>
        </w:rPr>
        <w:fldChar w:fldCharType="begin"/>
      </w:r>
      <w:r w:rsidRPr="00896804">
        <w:rPr>
          <w:i w:val="0"/>
          <w:iCs w:val="0"/>
          <w:sz w:val="22"/>
          <w:szCs w:val="22"/>
        </w:rPr>
        <w:instrText xml:space="preserve"> SEQ Tableau \* ARABIC </w:instrText>
      </w:r>
      <w:r w:rsidRPr="00896804">
        <w:rPr>
          <w:i w:val="0"/>
          <w:iCs w:val="0"/>
          <w:sz w:val="22"/>
          <w:szCs w:val="22"/>
        </w:rPr>
        <w:fldChar w:fldCharType="separate"/>
      </w:r>
      <w:r w:rsidR="0059639C">
        <w:rPr>
          <w:i w:val="0"/>
          <w:iCs w:val="0"/>
          <w:noProof/>
          <w:sz w:val="22"/>
          <w:szCs w:val="22"/>
        </w:rPr>
        <w:t>1</w:t>
      </w:r>
      <w:r w:rsidRPr="00896804">
        <w:rPr>
          <w:i w:val="0"/>
          <w:iCs w:val="0"/>
          <w:sz w:val="22"/>
          <w:szCs w:val="22"/>
        </w:rPr>
        <w:fldChar w:fldCharType="end"/>
      </w:r>
      <w:r w:rsidRPr="00896804">
        <w:rPr>
          <w:i w:val="0"/>
          <w:iCs w:val="0"/>
        </w:rPr>
        <w:t xml:space="preserve"> </w:t>
      </w:r>
      <w:r w:rsidRPr="00896804">
        <w:rPr>
          <w:rFonts w:ascii="Avenir Next LT Pro" w:hAnsi="Avenir Next LT Pro" w:cstheme="minorHAnsi"/>
          <w:i w:val="0"/>
          <w:iCs w:val="0"/>
          <w:sz w:val="20"/>
          <w:szCs w:val="20"/>
        </w:rPr>
        <w:t>Catégorie des projets carbone identifiés en RDC</w:t>
      </w:r>
      <w:bookmarkEnd w:id="11"/>
    </w:p>
    <w:p w14:paraId="353A78D5" w14:textId="77777777" w:rsidR="00561B51" w:rsidRPr="00896804" w:rsidRDefault="00561B51" w:rsidP="00F470D1">
      <w:pPr>
        <w:spacing w:after="0"/>
        <w:jc w:val="both"/>
        <w:rPr>
          <w:rFonts w:ascii="Avenir Next LT Pro" w:hAnsi="Avenir Next LT Pro" w:cstheme="minorHAnsi"/>
          <w:sz w:val="20"/>
          <w:szCs w:val="20"/>
          <w:lang w:val="fr-CH"/>
        </w:rPr>
      </w:pPr>
    </w:p>
    <w:tbl>
      <w:tblPr>
        <w:tblW w:w="4743" w:type="dxa"/>
        <w:jc w:val="center"/>
        <w:tblCellMar>
          <w:left w:w="70" w:type="dxa"/>
          <w:right w:w="70" w:type="dxa"/>
        </w:tblCellMar>
        <w:tblLook w:val="04A0" w:firstRow="1" w:lastRow="0" w:firstColumn="1" w:lastColumn="0" w:noHBand="0" w:noVBand="1"/>
      </w:tblPr>
      <w:tblGrid>
        <w:gridCol w:w="2643"/>
        <w:gridCol w:w="2100"/>
      </w:tblGrid>
      <w:tr w:rsidR="00561B51" w:rsidRPr="009A1ED5" w14:paraId="61746F75" w14:textId="77777777" w:rsidTr="00561B51">
        <w:trPr>
          <w:trHeight w:val="288"/>
          <w:jc w:val="center"/>
        </w:trPr>
        <w:tc>
          <w:tcPr>
            <w:tcW w:w="2643" w:type="dxa"/>
            <w:tcBorders>
              <w:top w:val="nil"/>
              <w:left w:val="nil"/>
              <w:bottom w:val="single" w:sz="4" w:space="0" w:color="44B3E1"/>
              <w:right w:val="nil"/>
            </w:tcBorders>
            <w:shd w:val="clear" w:color="C0E6F5" w:fill="C0E6F5"/>
            <w:noWrap/>
            <w:vAlign w:val="bottom"/>
            <w:hideMark/>
          </w:tcPr>
          <w:p w14:paraId="4A05A3FB" w14:textId="2AACA37D" w:rsidR="00561B51" w:rsidRPr="00896804" w:rsidRDefault="00561B51" w:rsidP="00561B51">
            <w:pPr>
              <w:spacing w:after="0"/>
              <w:rPr>
                <w:rFonts w:ascii="Avenir Next LT Pro" w:hAnsi="Avenir Next LT Pro" w:cstheme="minorHAnsi"/>
                <w:b/>
                <w:bCs/>
                <w:sz w:val="20"/>
                <w:szCs w:val="20"/>
              </w:rPr>
            </w:pPr>
            <w:r w:rsidRPr="00896804">
              <w:rPr>
                <w:rFonts w:ascii="Avenir Next LT Pro" w:hAnsi="Avenir Next LT Pro" w:cstheme="minorHAnsi"/>
                <w:b/>
                <w:bCs/>
                <w:sz w:val="20"/>
                <w:szCs w:val="20"/>
              </w:rPr>
              <w:lastRenderedPageBreak/>
              <w:t xml:space="preserve">Type de projet </w:t>
            </w:r>
          </w:p>
        </w:tc>
        <w:tc>
          <w:tcPr>
            <w:tcW w:w="2100" w:type="dxa"/>
            <w:tcBorders>
              <w:top w:val="nil"/>
              <w:left w:val="nil"/>
              <w:bottom w:val="single" w:sz="4" w:space="0" w:color="44B3E1"/>
              <w:right w:val="nil"/>
            </w:tcBorders>
            <w:shd w:val="clear" w:color="C0E6F5" w:fill="C0E6F5"/>
            <w:noWrap/>
            <w:vAlign w:val="bottom"/>
            <w:hideMark/>
          </w:tcPr>
          <w:p w14:paraId="5570BFA1" w14:textId="7C527E0C" w:rsidR="00561B51" w:rsidRPr="00896804" w:rsidRDefault="00561B51" w:rsidP="00561B51">
            <w:pPr>
              <w:spacing w:after="0"/>
              <w:rPr>
                <w:rFonts w:ascii="Avenir Next LT Pro" w:hAnsi="Avenir Next LT Pro" w:cstheme="minorHAnsi"/>
                <w:b/>
                <w:bCs/>
                <w:sz w:val="20"/>
                <w:szCs w:val="20"/>
              </w:rPr>
            </w:pPr>
            <w:r w:rsidRPr="00896804">
              <w:rPr>
                <w:rFonts w:ascii="Avenir Next LT Pro" w:hAnsi="Avenir Next LT Pro" w:cstheme="minorHAnsi"/>
                <w:b/>
                <w:bCs/>
                <w:sz w:val="20"/>
                <w:szCs w:val="20"/>
              </w:rPr>
              <w:t xml:space="preserve">Nombre </w:t>
            </w:r>
          </w:p>
        </w:tc>
      </w:tr>
      <w:tr w:rsidR="00561B51" w:rsidRPr="00561B51" w14:paraId="20BC7F50" w14:textId="77777777" w:rsidTr="00561B51">
        <w:trPr>
          <w:trHeight w:val="288"/>
          <w:jc w:val="center"/>
        </w:trPr>
        <w:tc>
          <w:tcPr>
            <w:tcW w:w="2643" w:type="dxa"/>
            <w:tcBorders>
              <w:top w:val="nil"/>
              <w:left w:val="nil"/>
              <w:bottom w:val="nil"/>
              <w:right w:val="nil"/>
            </w:tcBorders>
            <w:shd w:val="clear" w:color="auto" w:fill="auto"/>
            <w:noWrap/>
            <w:vAlign w:val="bottom"/>
            <w:hideMark/>
          </w:tcPr>
          <w:p w14:paraId="4AE4D1E4" w14:textId="77777777" w:rsidR="00561B51" w:rsidRPr="00896804" w:rsidRDefault="00561B51" w:rsidP="00561B51">
            <w:pPr>
              <w:spacing w:after="0"/>
              <w:rPr>
                <w:rFonts w:ascii="Avenir Next LT Pro" w:hAnsi="Avenir Next LT Pro" w:cstheme="minorHAnsi"/>
                <w:sz w:val="20"/>
                <w:szCs w:val="20"/>
              </w:rPr>
            </w:pPr>
            <w:r w:rsidRPr="00896804">
              <w:rPr>
                <w:rFonts w:ascii="Avenir Next LT Pro" w:hAnsi="Avenir Next LT Pro" w:cstheme="minorHAnsi"/>
                <w:sz w:val="20"/>
                <w:szCs w:val="20"/>
              </w:rPr>
              <w:t>Afforestation/Reforestation</w:t>
            </w:r>
          </w:p>
        </w:tc>
        <w:tc>
          <w:tcPr>
            <w:tcW w:w="2100" w:type="dxa"/>
            <w:tcBorders>
              <w:top w:val="nil"/>
              <w:left w:val="nil"/>
              <w:bottom w:val="nil"/>
              <w:right w:val="nil"/>
            </w:tcBorders>
            <w:shd w:val="clear" w:color="auto" w:fill="auto"/>
            <w:noWrap/>
            <w:vAlign w:val="bottom"/>
            <w:hideMark/>
          </w:tcPr>
          <w:p w14:paraId="4754F15E" w14:textId="77777777" w:rsidR="00561B51" w:rsidRPr="00896804" w:rsidRDefault="00561B51" w:rsidP="00561B51">
            <w:pPr>
              <w:spacing w:after="0"/>
              <w:jc w:val="right"/>
              <w:rPr>
                <w:rFonts w:ascii="Avenir Next LT Pro" w:hAnsi="Avenir Next LT Pro" w:cstheme="minorHAnsi"/>
                <w:sz w:val="20"/>
                <w:szCs w:val="20"/>
              </w:rPr>
            </w:pPr>
            <w:r w:rsidRPr="00896804">
              <w:rPr>
                <w:rFonts w:ascii="Avenir Next LT Pro" w:hAnsi="Avenir Next LT Pro" w:cstheme="minorHAnsi"/>
                <w:sz w:val="20"/>
                <w:szCs w:val="20"/>
              </w:rPr>
              <w:t>4</w:t>
            </w:r>
          </w:p>
        </w:tc>
      </w:tr>
      <w:tr w:rsidR="00561B51" w:rsidRPr="00561B51" w14:paraId="02460AD5" w14:textId="77777777" w:rsidTr="00561B51">
        <w:trPr>
          <w:trHeight w:val="288"/>
          <w:jc w:val="center"/>
        </w:trPr>
        <w:tc>
          <w:tcPr>
            <w:tcW w:w="2643" w:type="dxa"/>
            <w:tcBorders>
              <w:top w:val="nil"/>
              <w:left w:val="nil"/>
              <w:bottom w:val="nil"/>
              <w:right w:val="nil"/>
            </w:tcBorders>
            <w:shd w:val="clear" w:color="auto" w:fill="auto"/>
            <w:noWrap/>
            <w:vAlign w:val="bottom"/>
            <w:hideMark/>
          </w:tcPr>
          <w:p w14:paraId="7A6CE392" w14:textId="08AA8EB1" w:rsidR="00561B51" w:rsidRPr="00896804" w:rsidRDefault="00561B51" w:rsidP="00561B51">
            <w:pPr>
              <w:spacing w:after="0"/>
              <w:rPr>
                <w:rFonts w:ascii="Avenir Next LT Pro" w:hAnsi="Avenir Next LT Pro" w:cstheme="minorHAnsi"/>
                <w:sz w:val="20"/>
                <w:szCs w:val="20"/>
              </w:rPr>
            </w:pPr>
            <w:r w:rsidRPr="00896804">
              <w:rPr>
                <w:rFonts w:ascii="Avenir Next LT Pro" w:hAnsi="Avenir Next LT Pro" w:cstheme="minorHAnsi"/>
                <w:sz w:val="20"/>
                <w:szCs w:val="20"/>
              </w:rPr>
              <w:t xml:space="preserve">Foyers améliorés </w:t>
            </w:r>
          </w:p>
        </w:tc>
        <w:tc>
          <w:tcPr>
            <w:tcW w:w="2100" w:type="dxa"/>
            <w:tcBorders>
              <w:top w:val="nil"/>
              <w:left w:val="nil"/>
              <w:bottom w:val="nil"/>
              <w:right w:val="nil"/>
            </w:tcBorders>
            <w:shd w:val="clear" w:color="auto" w:fill="auto"/>
            <w:noWrap/>
            <w:vAlign w:val="bottom"/>
            <w:hideMark/>
          </w:tcPr>
          <w:p w14:paraId="3E634B21" w14:textId="77777777" w:rsidR="00561B51" w:rsidRPr="00896804" w:rsidRDefault="00561B51" w:rsidP="00561B51">
            <w:pPr>
              <w:spacing w:after="0"/>
              <w:jc w:val="right"/>
              <w:rPr>
                <w:rFonts w:ascii="Avenir Next LT Pro" w:hAnsi="Avenir Next LT Pro" w:cstheme="minorHAnsi"/>
                <w:sz w:val="20"/>
                <w:szCs w:val="20"/>
              </w:rPr>
            </w:pPr>
            <w:r w:rsidRPr="00896804">
              <w:rPr>
                <w:rFonts w:ascii="Avenir Next LT Pro" w:hAnsi="Avenir Next LT Pro" w:cstheme="minorHAnsi"/>
                <w:sz w:val="20"/>
                <w:szCs w:val="20"/>
              </w:rPr>
              <w:t>24</w:t>
            </w:r>
          </w:p>
        </w:tc>
      </w:tr>
      <w:tr w:rsidR="00561B51" w:rsidRPr="00561B51" w14:paraId="76BD28BE" w14:textId="77777777" w:rsidTr="00561B51">
        <w:trPr>
          <w:trHeight w:val="288"/>
          <w:jc w:val="center"/>
        </w:trPr>
        <w:tc>
          <w:tcPr>
            <w:tcW w:w="2643" w:type="dxa"/>
            <w:tcBorders>
              <w:top w:val="nil"/>
              <w:left w:val="nil"/>
              <w:bottom w:val="nil"/>
              <w:right w:val="nil"/>
            </w:tcBorders>
            <w:shd w:val="clear" w:color="auto" w:fill="auto"/>
            <w:noWrap/>
            <w:vAlign w:val="bottom"/>
            <w:hideMark/>
          </w:tcPr>
          <w:p w14:paraId="541A38B0" w14:textId="329BA9F4" w:rsidR="00561B51" w:rsidRPr="00896804" w:rsidRDefault="00561B51" w:rsidP="00561B51">
            <w:pPr>
              <w:spacing w:after="0"/>
              <w:rPr>
                <w:rFonts w:ascii="Avenir Next LT Pro" w:hAnsi="Avenir Next LT Pro" w:cstheme="minorHAnsi"/>
                <w:sz w:val="20"/>
                <w:szCs w:val="20"/>
              </w:rPr>
            </w:pPr>
            <w:r w:rsidRPr="00896804">
              <w:rPr>
                <w:rFonts w:ascii="Avenir Next LT Pro" w:hAnsi="Avenir Next LT Pro" w:cstheme="minorHAnsi"/>
                <w:sz w:val="20"/>
                <w:szCs w:val="20"/>
              </w:rPr>
              <w:t xml:space="preserve">Hydro électricité </w:t>
            </w:r>
          </w:p>
        </w:tc>
        <w:tc>
          <w:tcPr>
            <w:tcW w:w="2100" w:type="dxa"/>
            <w:tcBorders>
              <w:top w:val="nil"/>
              <w:left w:val="nil"/>
              <w:bottom w:val="nil"/>
              <w:right w:val="nil"/>
            </w:tcBorders>
            <w:shd w:val="clear" w:color="auto" w:fill="auto"/>
            <w:noWrap/>
            <w:vAlign w:val="bottom"/>
            <w:hideMark/>
          </w:tcPr>
          <w:p w14:paraId="0CFD9155" w14:textId="77777777" w:rsidR="00561B51" w:rsidRPr="00896804" w:rsidRDefault="00561B51" w:rsidP="00561B51">
            <w:pPr>
              <w:spacing w:after="0"/>
              <w:jc w:val="right"/>
              <w:rPr>
                <w:rFonts w:ascii="Avenir Next LT Pro" w:hAnsi="Avenir Next LT Pro" w:cstheme="minorHAnsi"/>
                <w:sz w:val="20"/>
                <w:szCs w:val="20"/>
              </w:rPr>
            </w:pPr>
            <w:r w:rsidRPr="00896804">
              <w:rPr>
                <w:rFonts w:ascii="Avenir Next LT Pro" w:hAnsi="Avenir Next LT Pro" w:cstheme="minorHAnsi"/>
                <w:sz w:val="20"/>
                <w:szCs w:val="20"/>
              </w:rPr>
              <w:t>3</w:t>
            </w:r>
          </w:p>
        </w:tc>
      </w:tr>
      <w:tr w:rsidR="00561B51" w:rsidRPr="00561B51" w14:paraId="522444F0" w14:textId="77777777" w:rsidTr="00561B51">
        <w:trPr>
          <w:trHeight w:val="288"/>
          <w:jc w:val="center"/>
        </w:trPr>
        <w:tc>
          <w:tcPr>
            <w:tcW w:w="2643" w:type="dxa"/>
            <w:tcBorders>
              <w:top w:val="nil"/>
              <w:left w:val="nil"/>
              <w:bottom w:val="nil"/>
              <w:right w:val="nil"/>
            </w:tcBorders>
            <w:shd w:val="clear" w:color="auto" w:fill="auto"/>
            <w:noWrap/>
            <w:vAlign w:val="bottom"/>
            <w:hideMark/>
          </w:tcPr>
          <w:p w14:paraId="51D0EA12" w14:textId="7B7D44C7" w:rsidR="00561B51" w:rsidRPr="00896804" w:rsidRDefault="00561B51" w:rsidP="00561B51">
            <w:pPr>
              <w:spacing w:after="0"/>
              <w:rPr>
                <w:rFonts w:ascii="Avenir Next LT Pro" w:hAnsi="Avenir Next LT Pro" w:cstheme="minorHAnsi"/>
                <w:sz w:val="20"/>
                <w:szCs w:val="20"/>
              </w:rPr>
            </w:pPr>
            <w:r w:rsidRPr="00896804">
              <w:rPr>
                <w:rFonts w:ascii="Avenir Next LT Pro" w:hAnsi="Avenir Next LT Pro" w:cstheme="minorHAnsi"/>
                <w:sz w:val="20"/>
                <w:szCs w:val="20"/>
              </w:rPr>
              <w:t>Gestion Forestière améliorée</w:t>
            </w:r>
          </w:p>
        </w:tc>
        <w:tc>
          <w:tcPr>
            <w:tcW w:w="2100" w:type="dxa"/>
            <w:tcBorders>
              <w:top w:val="nil"/>
              <w:left w:val="nil"/>
              <w:bottom w:val="nil"/>
              <w:right w:val="nil"/>
            </w:tcBorders>
            <w:shd w:val="clear" w:color="auto" w:fill="auto"/>
            <w:noWrap/>
            <w:vAlign w:val="bottom"/>
            <w:hideMark/>
          </w:tcPr>
          <w:p w14:paraId="56B0A7DA" w14:textId="77777777" w:rsidR="00561B51" w:rsidRPr="00896804" w:rsidRDefault="00561B51" w:rsidP="00561B51">
            <w:pPr>
              <w:spacing w:after="0"/>
              <w:jc w:val="right"/>
              <w:rPr>
                <w:rFonts w:ascii="Avenir Next LT Pro" w:hAnsi="Avenir Next LT Pro" w:cstheme="minorHAnsi"/>
                <w:sz w:val="20"/>
                <w:szCs w:val="20"/>
              </w:rPr>
            </w:pPr>
            <w:r w:rsidRPr="00896804">
              <w:rPr>
                <w:rFonts w:ascii="Avenir Next LT Pro" w:hAnsi="Avenir Next LT Pro" w:cstheme="minorHAnsi"/>
                <w:sz w:val="20"/>
                <w:szCs w:val="20"/>
              </w:rPr>
              <w:t>1</w:t>
            </w:r>
          </w:p>
        </w:tc>
      </w:tr>
      <w:tr w:rsidR="00561B51" w:rsidRPr="00561B51" w14:paraId="51FF9C59" w14:textId="77777777" w:rsidTr="00561B51">
        <w:trPr>
          <w:trHeight w:val="288"/>
          <w:jc w:val="center"/>
        </w:trPr>
        <w:tc>
          <w:tcPr>
            <w:tcW w:w="2643" w:type="dxa"/>
            <w:tcBorders>
              <w:top w:val="nil"/>
              <w:left w:val="nil"/>
              <w:bottom w:val="nil"/>
              <w:right w:val="nil"/>
            </w:tcBorders>
            <w:shd w:val="clear" w:color="auto" w:fill="auto"/>
            <w:noWrap/>
            <w:vAlign w:val="bottom"/>
            <w:hideMark/>
          </w:tcPr>
          <w:p w14:paraId="547596DC" w14:textId="77777777" w:rsidR="00561B51" w:rsidRPr="00896804" w:rsidRDefault="00561B51" w:rsidP="00561B51">
            <w:pPr>
              <w:spacing w:after="0"/>
              <w:rPr>
                <w:rFonts w:ascii="Avenir Next LT Pro" w:hAnsi="Avenir Next LT Pro" w:cstheme="minorHAnsi"/>
                <w:sz w:val="20"/>
                <w:szCs w:val="20"/>
              </w:rPr>
            </w:pPr>
            <w:r w:rsidRPr="00896804">
              <w:rPr>
                <w:rFonts w:ascii="Avenir Next LT Pro" w:hAnsi="Avenir Next LT Pro" w:cstheme="minorHAnsi"/>
                <w:sz w:val="20"/>
                <w:szCs w:val="20"/>
              </w:rPr>
              <w:t>REDD+</w:t>
            </w:r>
          </w:p>
        </w:tc>
        <w:tc>
          <w:tcPr>
            <w:tcW w:w="2100" w:type="dxa"/>
            <w:tcBorders>
              <w:top w:val="nil"/>
              <w:left w:val="nil"/>
              <w:bottom w:val="nil"/>
              <w:right w:val="nil"/>
            </w:tcBorders>
            <w:shd w:val="clear" w:color="auto" w:fill="auto"/>
            <w:noWrap/>
            <w:vAlign w:val="bottom"/>
            <w:hideMark/>
          </w:tcPr>
          <w:p w14:paraId="3E295070" w14:textId="77777777" w:rsidR="00561B51" w:rsidRPr="00896804" w:rsidRDefault="00561B51" w:rsidP="00561B51">
            <w:pPr>
              <w:spacing w:after="0"/>
              <w:jc w:val="right"/>
              <w:rPr>
                <w:rFonts w:ascii="Avenir Next LT Pro" w:hAnsi="Avenir Next LT Pro" w:cstheme="minorHAnsi"/>
                <w:sz w:val="20"/>
                <w:szCs w:val="20"/>
              </w:rPr>
            </w:pPr>
            <w:r w:rsidRPr="00896804">
              <w:rPr>
                <w:rFonts w:ascii="Avenir Next LT Pro" w:hAnsi="Avenir Next LT Pro" w:cstheme="minorHAnsi"/>
                <w:sz w:val="20"/>
                <w:szCs w:val="20"/>
              </w:rPr>
              <w:t>10</w:t>
            </w:r>
          </w:p>
        </w:tc>
      </w:tr>
      <w:tr w:rsidR="00561B51" w:rsidRPr="00561B51" w14:paraId="5CAD7437" w14:textId="77777777" w:rsidTr="00561B51">
        <w:trPr>
          <w:trHeight w:val="288"/>
          <w:jc w:val="center"/>
        </w:trPr>
        <w:tc>
          <w:tcPr>
            <w:tcW w:w="2643" w:type="dxa"/>
            <w:tcBorders>
              <w:top w:val="nil"/>
              <w:left w:val="nil"/>
              <w:bottom w:val="nil"/>
              <w:right w:val="nil"/>
            </w:tcBorders>
            <w:shd w:val="clear" w:color="auto" w:fill="auto"/>
            <w:noWrap/>
            <w:vAlign w:val="bottom"/>
            <w:hideMark/>
          </w:tcPr>
          <w:p w14:paraId="561DDCFF" w14:textId="5487CDD1" w:rsidR="00561B51" w:rsidRPr="00896804" w:rsidRDefault="00561B51" w:rsidP="00561B51">
            <w:pPr>
              <w:spacing w:after="0"/>
              <w:rPr>
                <w:rFonts w:ascii="Avenir Next LT Pro" w:hAnsi="Avenir Next LT Pro" w:cstheme="minorHAnsi"/>
                <w:sz w:val="20"/>
                <w:szCs w:val="20"/>
              </w:rPr>
            </w:pPr>
            <w:r w:rsidRPr="00896804">
              <w:rPr>
                <w:rFonts w:ascii="Avenir Next LT Pro" w:hAnsi="Avenir Next LT Pro" w:cstheme="minorHAnsi"/>
                <w:sz w:val="20"/>
                <w:szCs w:val="20"/>
              </w:rPr>
              <w:t xml:space="preserve">Eclairage solaire </w:t>
            </w:r>
          </w:p>
        </w:tc>
        <w:tc>
          <w:tcPr>
            <w:tcW w:w="2100" w:type="dxa"/>
            <w:tcBorders>
              <w:top w:val="nil"/>
              <w:left w:val="nil"/>
              <w:bottom w:val="nil"/>
              <w:right w:val="nil"/>
            </w:tcBorders>
            <w:shd w:val="clear" w:color="auto" w:fill="auto"/>
            <w:noWrap/>
            <w:vAlign w:val="bottom"/>
            <w:hideMark/>
          </w:tcPr>
          <w:p w14:paraId="52B3F43C" w14:textId="77777777" w:rsidR="00561B51" w:rsidRPr="00896804" w:rsidRDefault="00561B51" w:rsidP="00561B51">
            <w:pPr>
              <w:spacing w:after="0"/>
              <w:jc w:val="right"/>
              <w:rPr>
                <w:rFonts w:ascii="Avenir Next LT Pro" w:hAnsi="Avenir Next LT Pro" w:cstheme="minorHAnsi"/>
                <w:sz w:val="20"/>
                <w:szCs w:val="20"/>
              </w:rPr>
            </w:pPr>
            <w:r w:rsidRPr="00896804">
              <w:rPr>
                <w:rFonts w:ascii="Avenir Next LT Pro" w:hAnsi="Avenir Next LT Pro" w:cstheme="minorHAnsi"/>
                <w:sz w:val="20"/>
                <w:szCs w:val="20"/>
              </w:rPr>
              <w:t>2</w:t>
            </w:r>
          </w:p>
        </w:tc>
      </w:tr>
      <w:tr w:rsidR="00561B51" w:rsidRPr="00561B51" w14:paraId="72FDF9B5" w14:textId="77777777" w:rsidTr="00561B51">
        <w:trPr>
          <w:trHeight w:val="288"/>
          <w:jc w:val="center"/>
        </w:trPr>
        <w:tc>
          <w:tcPr>
            <w:tcW w:w="2643" w:type="dxa"/>
            <w:tcBorders>
              <w:top w:val="single" w:sz="4" w:space="0" w:color="44B3E1"/>
              <w:left w:val="nil"/>
              <w:bottom w:val="nil"/>
              <w:right w:val="nil"/>
            </w:tcBorders>
            <w:shd w:val="clear" w:color="C0E6F5" w:fill="C0E6F5"/>
            <w:noWrap/>
            <w:vAlign w:val="bottom"/>
            <w:hideMark/>
          </w:tcPr>
          <w:p w14:paraId="05505AB2" w14:textId="77777777" w:rsidR="00561B51" w:rsidRPr="00896804" w:rsidRDefault="00561B51" w:rsidP="00561B51">
            <w:pPr>
              <w:spacing w:after="0"/>
              <w:rPr>
                <w:rFonts w:ascii="Avenir Next LT Pro" w:hAnsi="Avenir Next LT Pro" w:cstheme="minorHAnsi"/>
                <w:sz w:val="20"/>
                <w:szCs w:val="20"/>
              </w:rPr>
            </w:pPr>
            <w:r w:rsidRPr="00896804">
              <w:rPr>
                <w:rFonts w:ascii="Avenir Next LT Pro" w:hAnsi="Avenir Next LT Pro" w:cstheme="minorHAnsi"/>
                <w:sz w:val="20"/>
                <w:szCs w:val="20"/>
              </w:rPr>
              <w:t>Grand Total</w:t>
            </w:r>
          </w:p>
        </w:tc>
        <w:tc>
          <w:tcPr>
            <w:tcW w:w="2100" w:type="dxa"/>
            <w:tcBorders>
              <w:top w:val="single" w:sz="4" w:space="0" w:color="44B3E1"/>
              <w:left w:val="nil"/>
              <w:bottom w:val="nil"/>
              <w:right w:val="nil"/>
            </w:tcBorders>
            <w:shd w:val="clear" w:color="C0E6F5" w:fill="C0E6F5"/>
            <w:noWrap/>
            <w:vAlign w:val="bottom"/>
            <w:hideMark/>
          </w:tcPr>
          <w:p w14:paraId="76B403AD" w14:textId="77777777" w:rsidR="00561B51" w:rsidRPr="00896804" w:rsidRDefault="00561B51" w:rsidP="00561B51">
            <w:pPr>
              <w:spacing w:after="0"/>
              <w:jc w:val="right"/>
              <w:rPr>
                <w:rFonts w:ascii="Avenir Next LT Pro" w:hAnsi="Avenir Next LT Pro" w:cstheme="minorHAnsi"/>
                <w:sz w:val="20"/>
                <w:szCs w:val="20"/>
              </w:rPr>
            </w:pPr>
            <w:r w:rsidRPr="00896804">
              <w:rPr>
                <w:rFonts w:ascii="Avenir Next LT Pro" w:hAnsi="Avenir Next LT Pro" w:cstheme="minorHAnsi"/>
                <w:sz w:val="20"/>
                <w:szCs w:val="20"/>
              </w:rPr>
              <w:t>44</w:t>
            </w:r>
          </w:p>
        </w:tc>
      </w:tr>
    </w:tbl>
    <w:p w14:paraId="4D8AA14F" w14:textId="77777777" w:rsidR="00561B51" w:rsidRDefault="00561B51" w:rsidP="00F470D1">
      <w:pPr>
        <w:spacing w:after="0"/>
        <w:jc w:val="both"/>
        <w:rPr>
          <w:rFonts w:ascii="Avenir Next LT Pro" w:hAnsi="Avenir Next LT Pro" w:cstheme="minorHAnsi"/>
          <w:sz w:val="20"/>
          <w:szCs w:val="20"/>
        </w:rPr>
      </w:pPr>
    </w:p>
    <w:p w14:paraId="01F559BF" w14:textId="162F3557" w:rsidR="00561B51" w:rsidRDefault="00561B51" w:rsidP="00F470D1">
      <w:pPr>
        <w:spacing w:after="0"/>
        <w:jc w:val="both"/>
        <w:rPr>
          <w:rFonts w:ascii="Avenir Next LT Pro" w:hAnsi="Avenir Next LT Pro" w:cstheme="minorHAnsi"/>
          <w:sz w:val="20"/>
          <w:szCs w:val="20"/>
        </w:rPr>
      </w:pPr>
      <w:r>
        <w:rPr>
          <w:rFonts w:ascii="Avenir Next LT Pro" w:hAnsi="Avenir Next LT Pro" w:cstheme="minorHAnsi"/>
          <w:sz w:val="20"/>
          <w:szCs w:val="20"/>
        </w:rPr>
        <w:t xml:space="preserve">Parmi les projets </w:t>
      </w:r>
      <w:r w:rsidR="00FA33A9">
        <w:rPr>
          <w:rFonts w:ascii="Avenir Next LT Pro" w:hAnsi="Avenir Next LT Pro" w:cstheme="minorHAnsi"/>
          <w:sz w:val="20"/>
          <w:szCs w:val="20"/>
        </w:rPr>
        <w:t>identifiés, on</w:t>
      </w:r>
      <w:r>
        <w:rPr>
          <w:rFonts w:ascii="Avenir Next LT Pro" w:hAnsi="Avenir Next LT Pro" w:cstheme="minorHAnsi"/>
          <w:sz w:val="20"/>
          <w:szCs w:val="20"/>
        </w:rPr>
        <w:t xml:space="preserve"> dénombre 06 projets déjà certifiés sous Gold Standard et 04 projets déjà enregistré sous le registre VERRA</w:t>
      </w:r>
      <w:r w:rsidR="00FA33A9">
        <w:rPr>
          <w:rFonts w:ascii="Avenir Next LT Pro" w:hAnsi="Avenir Next LT Pro" w:cstheme="minorHAnsi"/>
          <w:sz w:val="20"/>
          <w:szCs w:val="20"/>
        </w:rPr>
        <w:t>, aussi il existe 19 projets en cours de développement sous Gold Standard et une dizaine en cours de développement sous VERRA. Il est à noter que 02 projets REDD+ listé dans le registre VERRA ont été rejeté par l’administration et un autre projet REDD+ à savoir le projet ISANGI</w:t>
      </w:r>
      <w:r w:rsidR="000F67AB">
        <w:rPr>
          <w:rFonts w:ascii="Avenir Next LT Pro" w:hAnsi="Avenir Next LT Pro" w:cstheme="minorHAnsi"/>
          <w:sz w:val="20"/>
          <w:szCs w:val="20"/>
        </w:rPr>
        <w:t>/</w:t>
      </w:r>
      <w:proofErr w:type="spellStart"/>
      <w:r w:rsidR="000F67AB">
        <w:rPr>
          <w:rFonts w:ascii="Avenir Next LT Pro" w:hAnsi="Avenir Next LT Pro" w:cstheme="minorHAnsi"/>
          <w:sz w:val="20"/>
          <w:szCs w:val="20"/>
        </w:rPr>
        <w:t>Jadora</w:t>
      </w:r>
      <w:proofErr w:type="spellEnd"/>
      <w:r w:rsidR="00FA33A9">
        <w:rPr>
          <w:rFonts w:ascii="Avenir Next LT Pro" w:hAnsi="Avenir Next LT Pro" w:cstheme="minorHAnsi"/>
          <w:sz w:val="20"/>
          <w:szCs w:val="20"/>
        </w:rPr>
        <w:t xml:space="preserve"> REDD+ a été retiré du registre après avoir générer des crédits carbones entre 2015 et 2021 (Voir Fig.1)</w:t>
      </w:r>
      <w:r>
        <w:rPr>
          <w:rFonts w:ascii="Avenir Next LT Pro" w:hAnsi="Avenir Next LT Pro" w:cstheme="minorHAnsi"/>
          <w:sz w:val="20"/>
          <w:szCs w:val="20"/>
        </w:rPr>
        <w:t xml:space="preserve">. </w:t>
      </w:r>
    </w:p>
    <w:p w14:paraId="71E3775C" w14:textId="77777777" w:rsidR="00561B51" w:rsidRDefault="00561B51" w:rsidP="00F470D1">
      <w:pPr>
        <w:spacing w:after="0"/>
        <w:jc w:val="both"/>
        <w:rPr>
          <w:rFonts w:ascii="Avenir Next LT Pro" w:hAnsi="Avenir Next LT Pro" w:cstheme="minorHAnsi"/>
          <w:sz w:val="20"/>
          <w:szCs w:val="20"/>
        </w:rPr>
      </w:pPr>
    </w:p>
    <w:p w14:paraId="2890E38F" w14:textId="784A2C4C" w:rsidR="00561B51" w:rsidRDefault="00561B51" w:rsidP="00FA33A9">
      <w:pPr>
        <w:spacing w:after="0"/>
        <w:jc w:val="center"/>
        <w:rPr>
          <w:rFonts w:ascii="Avenir Next LT Pro" w:hAnsi="Avenir Next LT Pro" w:cstheme="minorHAnsi"/>
          <w:sz w:val="20"/>
          <w:szCs w:val="20"/>
        </w:rPr>
      </w:pPr>
      <w:r>
        <w:rPr>
          <w:noProof/>
        </w:rPr>
        <w:drawing>
          <wp:inline distT="0" distB="0" distL="0" distR="0" wp14:anchorId="50925505" wp14:editId="18D492EF">
            <wp:extent cx="4572000" cy="2743200"/>
            <wp:effectExtent l="0" t="0" r="0" b="0"/>
            <wp:docPr id="1743124342" name="Chart 1">
              <a:extLst xmlns:a="http://schemas.openxmlformats.org/drawingml/2006/main">
                <a:ext uri="{FF2B5EF4-FFF2-40B4-BE49-F238E27FC236}">
                  <a16:creationId xmlns:a16="http://schemas.microsoft.com/office/drawing/2014/main" id="{8A661B62-3DBE-1BBA-AE7E-E9EF707D34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2677805" w14:textId="72FA6AB8" w:rsidR="00561B51" w:rsidRPr="00896804" w:rsidRDefault="009A1ED5" w:rsidP="00896804">
      <w:pPr>
        <w:pStyle w:val="Lgende"/>
        <w:jc w:val="center"/>
        <w:rPr>
          <w:rFonts w:ascii="Avenir Next LT Pro" w:hAnsi="Avenir Next LT Pro" w:cstheme="minorHAnsi"/>
          <w:sz w:val="24"/>
          <w:szCs w:val="24"/>
        </w:rPr>
      </w:pPr>
      <w:r w:rsidRPr="00896804">
        <w:rPr>
          <w:i w:val="0"/>
          <w:iCs w:val="0"/>
          <w:sz w:val="22"/>
          <w:szCs w:val="22"/>
        </w:rPr>
        <w:t xml:space="preserve">Figure </w:t>
      </w:r>
      <w:r w:rsidRPr="00896804">
        <w:rPr>
          <w:i w:val="0"/>
          <w:iCs w:val="0"/>
          <w:sz w:val="22"/>
          <w:szCs w:val="22"/>
        </w:rPr>
        <w:fldChar w:fldCharType="begin"/>
      </w:r>
      <w:r w:rsidRPr="00896804">
        <w:rPr>
          <w:i w:val="0"/>
          <w:iCs w:val="0"/>
          <w:sz w:val="22"/>
          <w:szCs w:val="22"/>
        </w:rPr>
        <w:instrText xml:space="preserve"> SEQ Figure \* ARABIC </w:instrText>
      </w:r>
      <w:r w:rsidRPr="00896804">
        <w:rPr>
          <w:i w:val="0"/>
          <w:iCs w:val="0"/>
          <w:sz w:val="22"/>
          <w:szCs w:val="22"/>
        </w:rPr>
        <w:fldChar w:fldCharType="separate"/>
      </w:r>
      <w:r w:rsidR="0059639C">
        <w:rPr>
          <w:i w:val="0"/>
          <w:iCs w:val="0"/>
          <w:noProof/>
          <w:sz w:val="22"/>
          <w:szCs w:val="22"/>
        </w:rPr>
        <w:t>1</w:t>
      </w:r>
      <w:r w:rsidRPr="00896804">
        <w:rPr>
          <w:i w:val="0"/>
          <w:iCs w:val="0"/>
          <w:sz w:val="22"/>
          <w:szCs w:val="22"/>
        </w:rPr>
        <w:fldChar w:fldCharType="end"/>
      </w:r>
      <w:r w:rsidRPr="00896804">
        <w:rPr>
          <w:i w:val="0"/>
          <w:iCs w:val="0"/>
          <w:sz w:val="22"/>
          <w:szCs w:val="22"/>
        </w:rPr>
        <w:t xml:space="preserve"> Statut des projets carbone existant en RDC</w:t>
      </w:r>
    </w:p>
    <w:p w14:paraId="6290D3CD" w14:textId="00A9D043" w:rsidR="00D3054F" w:rsidRPr="0016601A" w:rsidRDefault="000F67AB" w:rsidP="000F67AB">
      <w:pPr>
        <w:spacing w:after="0"/>
        <w:jc w:val="both"/>
        <w:rPr>
          <w:rFonts w:ascii="Avenir Next LT Pro" w:hAnsi="Avenir Next LT Pro" w:cstheme="minorHAnsi"/>
          <w:sz w:val="20"/>
          <w:szCs w:val="20"/>
        </w:rPr>
      </w:pPr>
      <w:r>
        <w:rPr>
          <w:rFonts w:ascii="Avenir Next LT Pro" w:hAnsi="Avenir Next LT Pro" w:cstheme="minorHAnsi"/>
          <w:sz w:val="20"/>
          <w:szCs w:val="20"/>
        </w:rPr>
        <w:t>Les projets carbones</w:t>
      </w:r>
      <w:r w:rsidR="00FA33A9">
        <w:rPr>
          <w:rFonts w:ascii="Avenir Next LT Pro" w:hAnsi="Avenir Next LT Pro" w:cstheme="minorHAnsi"/>
          <w:sz w:val="20"/>
          <w:szCs w:val="20"/>
        </w:rPr>
        <w:t xml:space="preserve"> identifiés en RDC, </w:t>
      </w:r>
      <w:r>
        <w:rPr>
          <w:rFonts w:ascii="Avenir Next LT Pro" w:hAnsi="Avenir Next LT Pro" w:cstheme="minorHAnsi"/>
          <w:sz w:val="20"/>
          <w:szCs w:val="20"/>
        </w:rPr>
        <w:t>ont</w:t>
      </w:r>
      <w:r w:rsidR="00FA33A9">
        <w:rPr>
          <w:rFonts w:ascii="Avenir Next LT Pro" w:hAnsi="Avenir Next LT Pro" w:cstheme="minorHAnsi"/>
          <w:sz w:val="20"/>
          <w:szCs w:val="20"/>
        </w:rPr>
        <w:t xml:space="preserve"> pu générer </w:t>
      </w:r>
      <w:r w:rsidRPr="000F67AB">
        <w:rPr>
          <w:rFonts w:ascii="Avenir Next LT Pro" w:hAnsi="Avenir Next LT Pro" w:cstheme="minorHAnsi"/>
          <w:sz w:val="20"/>
          <w:szCs w:val="20"/>
        </w:rPr>
        <w:t>33,961,351</w:t>
      </w:r>
      <w:r>
        <w:rPr>
          <w:rFonts w:ascii="Avenir Next LT Pro" w:hAnsi="Avenir Next LT Pro" w:cstheme="minorHAnsi"/>
          <w:sz w:val="20"/>
          <w:szCs w:val="20"/>
        </w:rPr>
        <w:t xml:space="preserve"> t CO</w:t>
      </w:r>
      <w:r w:rsidRPr="000F67AB">
        <w:rPr>
          <w:rFonts w:ascii="Avenir Next LT Pro" w:hAnsi="Avenir Next LT Pro" w:cstheme="minorHAnsi"/>
          <w:sz w:val="20"/>
          <w:szCs w:val="20"/>
          <w:vertAlign w:val="subscript"/>
        </w:rPr>
        <w:t>2</w:t>
      </w:r>
      <w:r>
        <w:rPr>
          <w:rFonts w:ascii="Avenir Next LT Pro" w:hAnsi="Avenir Next LT Pro" w:cstheme="minorHAnsi"/>
          <w:sz w:val="20"/>
          <w:szCs w:val="20"/>
          <w:vertAlign w:val="subscript"/>
        </w:rPr>
        <w:t xml:space="preserve"> </w:t>
      </w:r>
      <w:r>
        <w:rPr>
          <w:rFonts w:ascii="Avenir Next LT Pro" w:hAnsi="Avenir Next LT Pro" w:cstheme="minorHAnsi"/>
          <w:sz w:val="20"/>
          <w:szCs w:val="20"/>
        </w:rPr>
        <w:t xml:space="preserve">eq entre 2011 et 2024. La quasi-totalité des crédits générer sont attribuables aux projets de type REDD+ et notamment le projet </w:t>
      </w:r>
      <w:proofErr w:type="spellStart"/>
      <w:r>
        <w:rPr>
          <w:rFonts w:ascii="Avenir Next LT Pro" w:hAnsi="Avenir Next LT Pro" w:cstheme="minorHAnsi"/>
          <w:sz w:val="20"/>
          <w:szCs w:val="20"/>
        </w:rPr>
        <w:t>MaÏ-Ndombé</w:t>
      </w:r>
      <w:proofErr w:type="spellEnd"/>
      <w:r>
        <w:rPr>
          <w:rFonts w:ascii="Avenir Next LT Pro" w:hAnsi="Avenir Next LT Pro" w:cstheme="minorHAnsi"/>
          <w:sz w:val="20"/>
          <w:szCs w:val="20"/>
        </w:rPr>
        <w:t xml:space="preserve">. Le tableau ci-dessous présente les volumes de crédits générer par type de projet. </w:t>
      </w:r>
    </w:p>
    <w:p w14:paraId="326FEECA" w14:textId="68C3BF6A" w:rsidR="009A1ED5" w:rsidRPr="00896804" w:rsidRDefault="009A1ED5" w:rsidP="00896804">
      <w:pPr>
        <w:pStyle w:val="Lgende"/>
        <w:keepNext/>
        <w:jc w:val="both"/>
        <w:rPr>
          <w:rFonts w:ascii="Avenir Next LT Pro" w:eastAsia="Calibri" w:hAnsi="Avenir Next LT Pro" w:cstheme="minorHAnsi"/>
          <w:i w:val="0"/>
          <w:iCs w:val="0"/>
          <w:color w:val="auto"/>
          <w:sz w:val="20"/>
          <w:szCs w:val="20"/>
          <w:lang w:val="fr-FR" w:eastAsia="en-US"/>
        </w:rPr>
      </w:pPr>
      <w:bookmarkStart w:id="12" w:name="_Toc179238786"/>
      <w:r w:rsidRPr="00896804">
        <w:rPr>
          <w:rFonts w:ascii="Avenir Next LT Pro" w:eastAsia="Calibri" w:hAnsi="Avenir Next LT Pro" w:cstheme="minorHAnsi"/>
          <w:i w:val="0"/>
          <w:iCs w:val="0"/>
          <w:color w:val="auto"/>
          <w:sz w:val="20"/>
          <w:szCs w:val="20"/>
          <w:lang w:val="fr-FR" w:eastAsia="en-US"/>
        </w:rPr>
        <w:t xml:space="preserve">Tableau </w:t>
      </w:r>
      <w:r w:rsidRPr="00896804">
        <w:rPr>
          <w:rFonts w:ascii="Avenir Next LT Pro" w:eastAsia="Calibri" w:hAnsi="Avenir Next LT Pro" w:cstheme="minorHAnsi"/>
          <w:i w:val="0"/>
          <w:iCs w:val="0"/>
          <w:color w:val="auto"/>
          <w:sz w:val="20"/>
          <w:szCs w:val="20"/>
          <w:lang w:val="fr-FR" w:eastAsia="en-US"/>
        </w:rPr>
        <w:fldChar w:fldCharType="begin"/>
      </w:r>
      <w:r w:rsidRPr="00896804">
        <w:rPr>
          <w:rFonts w:ascii="Avenir Next LT Pro" w:eastAsia="Calibri" w:hAnsi="Avenir Next LT Pro" w:cstheme="minorHAnsi"/>
          <w:i w:val="0"/>
          <w:iCs w:val="0"/>
          <w:color w:val="auto"/>
          <w:sz w:val="20"/>
          <w:szCs w:val="20"/>
          <w:lang w:val="fr-FR" w:eastAsia="en-US"/>
        </w:rPr>
        <w:instrText xml:space="preserve"> SEQ Tableau \* ARABIC </w:instrText>
      </w:r>
      <w:r w:rsidRPr="00896804">
        <w:rPr>
          <w:rFonts w:ascii="Avenir Next LT Pro" w:eastAsia="Calibri" w:hAnsi="Avenir Next LT Pro" w:cstheme="minorHAnsi"/>
          <w:i w:val="0"/>
          <w:iCs w:val="0"/>
          <w:color w:val="auto"/>
          <w:sz w:val="20"/>
          <w:szCs w:val="20"/>
          <w:lang w:val="fr-FR" w:eastAsia="en-US"/>
        </w:rPr>
        <w:fldChar w:fldCharType="separate"/>
      </w:r>
      <w:r w:rsidR="0059639C">
        <w:rPr>
          <w:rFonts w:ascii="Avenir Next LT Pro" w:eastAsia="Calibri" w:hAnsi="Avenir Next LT Pro" w:cstheme="minorHAnsi"/>
          <w:i w:val="0"/>
          <w:iCs w:val="0"/>
          <w:noProof/>
          <w:color w:val="auto"/>
          <w:sz w:val="20"/>
          <w:szCs w:val="20"/>
          <w:lang w:val="fr-FR" w:eastAsia="en-US"/>
        </w:rPr>
        <w:t>2</w:t>
      </w:r>
      <w:r w:rsidRPr="00896804">
        <w:rPr>
          <w:rFonts w:ascii="Avenir Next LT Pro" w:eastAsia="Calibri" w:hAnsi="Avenir Next LT Pro" w:cstheme="minorHAnsi"/>
          <w:i w:val="0"/>
          <w:iCs w:val="0"/>
          <w:color w:val="auto"/>
          <w:sz w:val="20"/>
          <w:szCs w:val="20"/>
          <w:lang w:val="fr-FR" w:eastAsia="en-US"/>
        </w:rPr>
        <w:fldChar w:fldCharType="end"/>
      </w:r>
      <w:r w:rsidRPr="00896804">
        <w:rPr>
          <w:rFonts w:ascii="Avenir Next LT Pro" w:eastAsia="Calibri" w:hAnsi="Avenir Next LT Pro" w:cstheme="minorHAnsi"/>
          <w:i w:val="0"/>
          <w:iCs w:val="0"/>
          <w:color w:val="auto"/>
          <w:sz w:val="20"/>
          <w:szCs w:val="20"/>
          <w:lang w:val="fr-FR" w:eastAsia="en-US"/>
        </w:rPr>
        <w:t xml:space="preserve"> Volume de </w:t>
      </w:r>
      <w:r w:rsidR="0016601A" w:rsidRPr="00896804">
        <w:rPr>
          <w:rFonts w:ascii="Avenir Next LT Pro" w:eastAsia="Calibri" w:hAnsi="Avenir Next LT Pro" w:cstheme="minorHAnsi"/>
          <w:i w:val="0"/>
          <w:iCs w:val="0"/>
          <w:color w:val="auto"/>
          <w:sz w:val="20"/>
          <w:szCs w:val="20"/>
          <w:lang w:val="fr-FR" w:eastAsia="en-US"/>
        </w:rPr>
        <w:t>crédits</w:t>
      </w:r>
      <w:r w:rsidRPr="00896804">
        <w:rPr>
          <w:rFonts w:ascii="Avenir Next LT Pro" w:eastAsia="Calibri" w:hAnsi="Avenir Next LT Pro" w:cstheme="minorHAnsi"/>
          <w:i w:val="0"/>
          <w:iCs w:val="0"/>
          <w:color w:val="auto"/>
          <w:sz w:val="20"/>
          <w:szCs w:val="20"/>
          <w:lang w:val="fr-FR" w:eastAsia="en-US"/>
        </w:rPr>
        <w:t xml:space="preserve"> générer par type de projet</w:t>
      </w:r>
      <w:bookmarkEnd w:id="12"/>
    </w:p>
    <w:p w14:paraId="48ACE525" w14:textId="6B873CA5" w:rsidR="00FA33A9" w:rsidRDefault="00FA33A9" w:rsidP="00F470D1">
      <w:pPr>
        <w:spacing w:after="0"/>
        <w:jc w:val="both"/>
        <w:rPr>
          <w:rFonts w:ascii="Avenir Next LT Pro" w:hAnsi="Avenir Next LT Pro" w:cstheme="minorHAnsi"/>
          <w:sz w:val="20"/>
          <w:szCs w:val="20"/>
        </w:rPr>
      </w:pPr>
    </w:p>
    <w:tbl>
      <w:tblPr>
        <w:tblW w:w="4740" w:type="dxa"/>
        <w:jc w:val="center"/>
        <w:tblCellMar>
          <w:left w:w="70" w:type="dxa"/>
          <w:right w:w="70" w:type="dxa"/>
        </w:tblCellMar>
        <w:tblLook w:val="04A0" w:firstRow="1" w:lastRow="0" w:firstColumn="1" w:lastColumn="0" w:noHBand="0" w:noVBand="1"/>
      </w:tblPr>
      <w:tblGrid>
        <w:gridCol w:w="1820"/>
        <w:gridCol w:w="2920"/>
      </w:tblGrid>
      <w:tr w:rsidR="000F67AB" w:rsidRPr="000F67AB" w14:paraId="6C548C70" w14:textId="77777777" w:rsidTr="000F67AB">
        <w:trPr>
          <w:trHeight w:val="288"/>
          <w:jc w:val="center"/>
        </w:trPr>
        <w:tc>
          <w:tcPr>
            <w:tcW w:w="1820" w:type="dxa"/>
            <w:tcBorders>
              <w:top w:val="nil"/>
              <w:left w:val="nil"/>
              <w:bottom w:val="nil"/>
              <w:right w:val="nil"/>
            </w:tcBorders>
            <w:shd w:val="clear" w:color="auto" w:fill="auto"/>
            <w:noWrap/>
            <w:vAlign w:val="bottom"/>
            <w:hideMark/>
          </w:tcPr>
          <w:p w14:paraId="663704FF" w14:textId="77777777" w:rsidR="000F67AB" w:rsidRPr="000F67AB" w:rsidRDefault="000F67AB" w:rsidP="000F67AB">
            <w:pPr>
              <w:spacing w:after="0"/>
              <w:rPr>
                <w:rFonts w:ascii="Avenir Next LT Pro" w:hAnsi="Avenir Next LT Pro" w:cstheme="minorHAnsi"/>
                <w:sz w:val="20"/>
                <w:szCs w:val="20"/>
              </w:rPr>
            </w:pPr>
            <w:r w:rsidRPr="000F67AB">
              <w:rPr>
                <w:rFonts w:ascii="Avenir Next LT Pro" w:hAnsi="Avenir Next LT Pro" w:cstheme="minorHAnsi"/>
                <w:sz w:val="20"/>
                <w:szCs w:val="20"/>
              </w:rPr>
              <w:t>AR</w:t>
            </w:r>
          </w:p>
        </w:tc>
        <w:tc>
          <w:tcPr>
            <w:tcW w:w="2920" w:type="dxa"/>
            <w:tcBorders>
              <w:top w:val="nil"/>
              <w:left w:val="nil"/>
              <w:bottom w:val="nil"/>
              <w:right w:val="nil"/>
            </w:tcBorders>
            <w:shd w:val="clear" w:color="auto" w:fill="auto"/>
            <w:noWrap/>
            <w:vAlign w:val="bottom"/>
            <w:hideMark/>
          </w:tcPr>
          <w:p w14:paraId="67C7855F" w14:textId="77777777" w:rsidR="000F67AB" w:rsidRPr="000F67AB" w:rsidRDefault="000F67AB" w:rsidP="000F67AB">
            <w:pPr>
              <w:spacing w:after="0"/>
              <w:jc w:val="right"/>
              <w:rPr>
                <w:rFonts w:ascii="Avenir Next LT Pro" w:hAnsi="Avenir Next LT Pro" w:cstheme="minorHAnsi"/>
                <w:sz w:val="20"/>
                <w:szCs w:val="20"/>
              </w:rPr>
            </w:pPr>
            <w:r w:rsidRPr="000F67AB">
              <w:rPr>
                <w:rFonts w:ascii="Avenir Next LT Pro" w:hAnsi="Avenir Next LT Pro" w:cstheme="minorHAnsi"/>
                <w:sz w:val="20"/>
                <w:szCs w:val="20"/>
              </w:rPr>
              <w:t>224,018</w:t>
            </w:r>
          </w:p>
        </w:tc>
      </w:tr>
      <w:tr w:rsidR="000F67AB" w:rsidRPr="000F67AB" w14:paraId="2C51849A" w14:textId="77777777" w:rsidTr="000F67AB">
        <w:trPr>
          <w:trHeight w:val="288"/>
          <w:jc w:val="center"/>
        </w:trPr>
        <w:tc>
          <w:tcPr>
            <w:tcW w:w="1820" w:type="dxa"/>
            <w:tcBorders>
              <w:top w:val="nil"/>
              <w:left w:val="nil"/>
              <w:bottom w:val="nil"/>
              <w:right w:val="nil"/>
            </w:tcBorders>
            <w:shd w:val="clear" w:color="auto" w:fill="auto"/>
            <w:noWrap/>
            <w:vAlign w:val="bottom"/>
            <w:hideMark/>
          </w:tcPr>
          <w:p w14:paraId="029C995B" w14:textId="77777777" w:rsidR="000F67AB" w:rsidRPr="000F67AB" w:rsidRDefault="000F67AB" w:rsidP="000F67AB">
            <w:pPr>
              <w:spacing w:after="0"/>
              <w:rPr>
                <w:rFonts w:ascii="Avenir Next LT Pro" w:hAnsi="Avenir Next LT Pro" w:cstheme="minorHAnsi"/>
                <w:sz w:val="20"/>
                <w:szCs w:val="20"/>
              </w:rPr>
            </w:pPr>
            <w:r w:rsidRPr="000F67AB">
              <w:rPr>
                <w:rFonts w:ascii="Avenir Next LT Pro" w:hAnsi="Avenir Next LT Pro" w:cstheme="minorHAnsi"/>
                <w:sz w:val="20"/>
                <w:szCs w:val="20"/>
              </w:rPr>
              <w:t>REDD+</w:t>
            </w:r>
          </w:p>
        </w:tc>
        <w:tc>
          <w:tcPr>
            <w:tcW w:w="2920" w:type="dxa"/>
            <w:tcBorders>
              <w:top w:val="nil"/>
              <w:left w:val="nil"/>
              <w:bottom w:val="nil"/>
              <w:right w:val="nil"/>
            </w:tcBorders>
            <w:shd w:val="clear" w:color="auto" w:fill="auto"/>
            <w:noWrap/>
            <w:vAlign w:val="bottom"/>
            <w:hideMark/>
          </w:tcPr>
          <w:p w14:paraId="4CB3E47E" w14:textId="77777777" w:rsidR="000F67AB" w:rsidRPr="000F67AB" w:rsidRDefault="000F67AB" w:rsidP="000F67AB">
            <w:pPr>
              <w:spacing w:after="0"/>
              <w:jc w:val="right"/>
              <w:rPr>
                <w:rFonts w:ascii="Avenir Next LT Pro" w:hAnsi="Avenir Next LT Pro" w:cstheme="minorHAnsi"/>
                <w:sz w:val="20"/>
                <w:szCs w:val="20"/>
              </w:rPr>
            </w:pPr>
            <w:r w:rsidRPr="000F67AB">
              <w:rPr>
                <w:rFonts w:ascii="Avenir Next LT Pro" w:hAnsi="Avenir Next LT Pro" w:cstheme="minorHAnsi"/>
                <w:sz w:val="20"/>
                <w:szCs w:val="20"/>
              </w:rPr>
              <w:t>32,736,538</w:t>
            </w:r>
          </w:p>
        </w:tc>
      </w:tr>
      <w:tr w:rsidR="000F67AB" w:rsidRPr="000F67AB" w14:paraId="7FFDA04A" w14:textId="77777777" w:rsidTr="000F67AB">
        <w:trPr>
          <w:trHeight w:val="288"/>
          <w:jc w:val="center"/>
        </w:trPr>
        <w:tc>
          <w:tcPr>
            <w:tcW w:w="1820" w:type="dxa"/>
            <w:tcBorders>
              <w:top w:val="nil"/>
              <w:left w:val="nil"/>
              <w:bottom w:val="nil"/>
              <w:right w:val="nil"/>
            </w:tcBorders>
            <w:shd w:val="clear" w:color="auto" w:fill="auto"/>
            <w:noWrap/>
            <w:vAlign w:val="bottom"/>
            <w:hideMark/>
          </w:tcPr>
          <w:p w14:paraId="4E58D5B8" w14:textId="5E3C2FCD" w:rsidR="000F67AB" w:rsidRPr="000F67AB" w:rsidRDefault="000F67AB" w:rsidP="000F67AB">
            <w:pPr>
              <w:spacing w:after="0"/>
              <w:rPr>
                <w:rFonts w:ascii="Avenir Next LT Pro" w:hAnsi="Avenir Next LT Pro" w:cstheme="minorHAnsi"/>
                <w:sz w:val="20"/>
                <w:szCs w:val="20"/>
              </w:rPr>
            </w:pPr>
            <w:r w:rsidRPr="000F67AB">
              <w:rPr>
                <w:rFonts w:ascii="Avenir Next LT Pro" w:hAnsi="Avenir Next LT Pro" w:cstheme="minorHAnsi"/>
                <w:sz w:val="20"/>
                <w:szCs w:val="20"/>
              </w:rPr>
              <w:t xml:space="preserve">Foyers améliorés </w:t>
            </w:r>
          </w:p>
        </w:tc>
        <w:tc>
          <w:tcPr>
            <w:tcW w:w="2920" w:type="dxa"/>
            <w:tcBorders>
              <w:top w:val="nil"/>
              <w:left w:val="nil"/>
              <w:bottom w:val="nil"/>
              <w:right w:val="nil"/>
            </w:tcBorders>
            <w:shd w:val="clear" w:color="auto" w:fill="auto"/>
            <w:noWrap/>
            <w:vAlign w:val="bottom"/>
            <w:hideMark/>
          </w:tcPr>
          <w:p w14:paraId="410BE283" w14:textId="77777777" w:rsidR="000F67AB" w:rsidRPr="000F67AB" w:rsidRDefault="000F67AB" w:rsidP="000F67AB">
            <w:pPr>
              <w:spacing w:after="0"/>
              <w:jc w:val="right"/>
              <w:rPr>
                <w:rFonts w:ascii="Avenir Next LT Pro" w:hAnsi="Avenir Next LT Pro" w:cstheme="minorHAnsi"/>
                <w:sz w:val="20"/>
                <w:szCs w:val="20"/>
              </w:rPr>
            </w:pPr>
            <w:r w:rsidRPr="000F67AB">
              <w:rPr>
                <w:rFonts w:ascii="Avenir Next LT Pro" w:hAnsi="Avenir Next LT Pro" w:cstheme="minorHAnsi"/>
                <w:sz w:val="20"/>
                <w:szCs w:val="20"/>
              </w:rPr>
              <w:t>838,392</w:t>
            </w:r>
          </w:p>
        </w:tc>
      </w:tr>
      <w:tr w:rsidR="000F67AB" w:rsidRPr="000F67AB" w14:paraId="22C56406" w14:textId="77777777" w:rsidTr="000F67AB">
        <w:trPr>
          <w:trHeight w:val="288"/>
          <w:jc w:val="center"/>
        </w:trPr>
        <w:tc>
          <w:tcPr>
            <w:tcW w:w="1820" w:type="dxa"/>
            <w:tcBorders>
              <w:top w:val="nil"/>
              <w:left w:val="nil"/>
              <w:bottom w:val="nil"/>
              <w:right w:val="nil"/>
            </w:tcBorders>
            <w:shd w:val="clear" w:color="auto" w:fill="auto"/>
            <w:noWrap/>
            <w:vAlign w:val="bottom"/>
            <w:hideMark/>
          </w:tcPr>
          <w:p w14:paraId="3FFB3BE2" w14:textId="657C6BA4" w:rsidR="000F67AB" w:rsidRPr="000F67AB" w:rsidRDefault="000F67AB" w:rsidP="000F67AB">
            <w:pPr>
              <w:spacing w:after="0"/>
              <w:rPr>
                <w:rFonts w:ascii="Avenir Next LT Pro" w:hAnsi="Avenir Next LT Pro" w:cstheme="minorHAnsi"/>
                <w:sz w:val="20"/>
                <w:szCs w:val="20"/>
              </w:rPr>
            </w:pPr>
            <w:r w:rsidRPr="000F67AB">
              <w:rPr>
                <w:rFonts w:ascii="Avenir Next LT Pro" w:hAnsi="Avenir Next LT Pro" w:cstheme="minorHAnsi"/>
                <w:sz w:val="20"/>
                <w:szCs w:val="20"/>
              </w:rPr>
              <w:t xml:space="preserve">Hydroélectricité </w:t>
            </w:r>
          </w:p>
        </w:tc>
        <w:tc>
          <w:tcPr>
            <w:tcW w:w="2920" w:type="dxa"/>
            <w:tcBorders>
              <w:top w:val="nil"/>
              <w:left w:val="nil"/>
              <w:bottom w:val="nil"/>
              <w:right w:val="nil"/>
            </w:tcBorders>
            <w:shd w:val="clear" w:color="auto" w:fill="auto"/>
            <w:noWrap/>
            <w:vAlign w:val="bottom"/>
            <w:hideMark/>
          </w:tcPr>
          <w:p w14:paraId="24351077" w14:textId="77777777" w:rsidR="000F67AB" w:rsidRPr="000F67AB" w:rsidRDefault="000F67AB" w:rsidP="000F67AB">
            <w:pPr>
              <w:spacing w:after="0"/>
              <w:jc w:val="right"/>
              <w:rPr>
                <w:rFonts w:ascii="Avenir Next LT Pro" w:hAnsi="Avenir Next LT Pro" w:cstheme="minorHAnsi"/>
                <w:sz w:val="20"/>
                <w:szCs w:val="20"/>
              </w:rPr>
            </w:pPr>
            <w:r w:rsidRPr="000F67AB">
              <w:rPr>
                <w:rFonts w:ascii="Avenir Next LT Pro" w:hAnsi="Avenir Next LT Pro" w:cstheme="minorHAnsi"/>
                <w:sz w:val="20"/>
                <w:szCs w:val="20"/>
              </w:rPr>
              <w:t>162,403</w:t>
            </w:r>
          </w:p>
        </w:tc>
      </w:tr>
      <w:tr w:rsidR="000F67AB" w:rsidRPr="000F67AB" w14:paraId="3C87ADC1" w14:textId="77777777" w:rsidTr="000F67AB">
        <w:trPr>
          <w:trHeight w:val="288"/>
          <w:jc w:val="center"/>
        </w:trPr>
        <w:tc>
          <w:tcPr>
            <w:tcW w:w="1820" w:type="dxa"/>
            <w:tcBorders>
              <w:top w:val="nil"/>
              <w:left w:val="nil"/>
              <w:bottom w:val="nil"/>
              <w:right w:val="nil"/>
            </w:tcBorders>
            <w:shd w:val="clear" w:color="auto" w:fill="auto"/>
            <w:noWrap/>
            <w:vAlign w:val="bottom"/>
            <w:hideMark/>
          </w:tcPr>
          <w:p w14:paraId="099AF5E7" w14:textId="01C71C6A" w:rsidR="000F67AB" w:rsidRPr="000F67AB" w:rsidRDefault="000F67AB" w:rsidP="000F67AB">
            <w:pPr>
              <w:spacing w:after="0"/>
              <w:rPr>
                <w:rFonts w:ascii="Aptos Narrow" w:eastAsia="Times New Roman" w:hAnsi="Aptos Narrow"/>
                <w:color w:val="000000"/>
                <w:lang w:eastAsia="fr-FR"/>
              </w:rPr>
            </w:pPr>
            <w:r>
              <w:rPr>
                <w:rFonts w:ascii="Aptos Narrow" w:eastAsia="Times New Roman" w:hAnsi="Aptos Narrow"/>
                <w:color w:val="000000"/>
                <w:lang w:eastAsia="fr-FR"/>
              </w:rPr>
              <w:t xml:space="preserve">Total </w:t>
            </w:r>
          </w:p>
        </w:tc>
        <w:tc>
          <w:tcPr>
            <w:tcW w:w="2920" w:type="dxa"/>
            <w:tcBorders>
              <w:top w:val="nil"/>
              <w:left w:val="nil"/>
              <w:bottom w:val="nil"/>
              <w:right w:val="nil"/>
            </w:tcBorders>
            <w:shd w:val="clear" w:color="auto" w:fill="auto"/>
            <w:noWrap/>
            <w:vAlign w:val="bottom"/>
            <w:hideMark/>
          </w:tcPr>
          <w:p w14:paraId="18D8497B" w14:textId="77777777" w:rsidR="000F67AB" w:rsidRPr="000F67AB" w:rsidRDefault="000F67AB" w:rsidP="000F67AB">
            <w:pPr>
              <w:spacing w:after="0"/>
              <w:jc w:val="right"/>
              <w:rPr>
                <w:rFonts w:ascii="Avenir Next LT Pro" w:hAnsi="Avenir Next LT Pro" w:cstheme="minorHAnsi"/>
                <w:sz w:val="20"/>
                <w:szCs w:val="20"/>
              </w:rPr>
            </w:pPr>
            <w:r w:rsidRPr="000F67AB">
              <w:rPr>
                <w:rFonts w:ascii="Avenir Next LT Pro" w:hAnsi="Avenir Next LT Pro" w:cstheme="minorHAnsi"/>
                <w:sz w:val="20"/>
                <w:szCs w:val="20"/>
              </w:rPr>
              <w:t>33,961,351</w:t>
            </w:r>
          </w:p>
        </w:tc>
      </w:tr>
    </w:tbl>
    <w:p w14:paraId="6FF3AC81" w14:textId="77777777" w:rsidR="000F67AB" w:rsidRDefault="000F67AB" w:rsidP="00F470D1">
      <w:pPr>
        <w:spacing w:after="0"/>
        <w:jc w:val="both"/>
        <w:rPr>
          <w:rFonts w:ascii="Avenir Next LT Pro" w:hAnsi="Avenir Next LT Pro" w:cstheme="minorHAnsi"/>
          <w:sz w:val="20"/>
          <w:szCs w:val="20"/>
        </w:rPr>
      </w:pPr>
    </w:p>
    <w:p w14:paraId="064676CF" w14:textId="77777777" w:rsidR="00FA33A9" w:rsidRDefault="00FA33A9" w:rsidP="00F470D1">
      <w:pPr>
        <w:spacing w:after="0"/>
        <w:jc w:val="both"/>
        <w:rPr>
          <w:rFonts w:ascii="Avenir Next LT Pro" w:hAnsi="Avenir Next LT Pro" w:cstheme="minorHAnsi"/>
          <w:sz w:val="20"/>
          <w:szCs w:val="20"/>
        </w:rPr>
      </w:pPr>
    </w:p>
    <w:p w14:paraId="614E2861" w14:textId="77777777" w:rsidR="00FA33A9" w:rsidRDefault="00FA33A9" w:rsidP="00F470D1">
      <w:pPr>
        <w:spacing w:after="0"/>
        <w:jc w:val="both"/>
        <w:rPr>
          <w:rFonts w:ascii="Avenir Next LT Pro" w:hAnsi="Avenir Next LT Pro" w:cstheme="minorHAnsi"/>
          <w:sz w:val="20"/>
          <w:szCs w:val="20"/>
        </w:rPr>
      </w:pPr>
    </w:p>
    <w:p w14:paraId="50B13D97" w14:textId="77777777" w:rsidR="00FA33A9" w:rsidRDefault="00FA33A9" w:rsidP="00F470D1">
      <w:pPr>
        <w:spacing w:after="0"/>
        <w:jc w:val="both"/>
        <w:rPr>
          <w:rFonts w:ascii="Avenir Next LT Pro" w:hAnsi="Avenir Next LT Pro" w:cstheme="minorHAnsi"/>
          <w:sz w:val="20"/>
          <w:szCs w:val="20"/>
        </w:rPr>
      </w:pPr>
    </w:p>
    <w:p w14:paraId="7209839B" w14:textId="2B38DD02" w:rsidR="00F470D1" w:rsidRPr="00F470D1" w:rsidRDefault="00F470D1" w:rsidP="00F470D1">
      <w:pPr>
        <w:spacing w:after="0"/>
        <w:jc w:val="both"/>
        <w:rPr>
          <w:rFonts w:ascii="Avenir Next LT Pro" w:hAnsi="Avenir Next LT Pro" w:cstheme="minorHAnsi"/>
          <w:sz w:val="20"/>
          <w:szCs w:val="20"/>
        </w:rPr>
      </w:pPr>
      <w:r w:rsidRPr="00F470D1">
        <w:rPr>
          <w:rFonts w:ascii="Avenir Next LT Pro" w:hAnsi="Avenir Next LT Pro" w:cstheme="minorHAnsi"/>
          <w:sz w:val="20"/>
          <w:szCs w:val="20"/>
        </w:rPr>
        <w:lastRenderedPageBreak/>
        <w:t>Une description de quelques projets menés ou en cours de mis en œuvre en RDC est donnée ci-dessous :</w:t>
      </w:r>
    </w:p>
    <w:p w14:paraId="720AC705" w14:textId="77777777" w:rsidR="00F470D1" w:rsidRPr="00F470D1" w:rsidRDefault="00F470D1" w:rsidP="00F470D1">
      <w:pPr>
        <w:spacing w:after="0"/>
        <w:jc w:val="both"/>
        <w:rPr>
          <w:rFonts w:ascii="Avenir Next LT Pro" w:hAnsi="Avenir Next LT Pro" w:cstheme="minorHAnsi"/>
          <w:sz w:val="20"/>
          <w:szCs w:val="20"/>
        </w:rPr>
      </w:pPr>
    </w:p>
    <w:p w14:paraId="2281F272" w14:textId="77777777" w:rsidR="00F470D1" w:rsidRPr="00F470D1" w:rsidRDefault="00F470D1" w:rsidP="00487A95">
      <w:pPr>
        <w:pStyle w:val="Paragraphedeliste"/>
        <w:numPr>
          <w:ilvl w:val="0"/>
          <w:numId w:val="43"/>
        </w:numPr>
        <w:spacing w:after="0" w:line="240" w:lineRule="auto"/>
        <w:jc w:val="both"/>
        <w:rPr>
          <w:rFonts w:ascii="Avenir Next LT Pro" w:hAnsi="Avenir Next LT Pro" w:cstheme="minorHAnsi"/>
          <w:b/>
          <w:bCs/>
          <w:sz w:val="20"/>
          <w:szCs w:val="20"/>
        </w:rPr>
      </w:pPr>
      <w:r w:rsidRPr="00F470D1">
        <w:rPr>
          <w:rFonts w:ascii="Avenir Next LT Pro" w:hAnsi="Avenir Next LT Pro" w:cstheme="minorHAnsi"/>
          <w:b/>
          <w:bCs/>
          <w:sz w:val="20"/>
          <w:szCs w:val="20"/>
        </w:rPr>
        <w:t xml:space="preserve">Le projet </w:t>
      </w:r>
      <w:proofErr w:type="spellStart"/>
      <w:r w:rsidRPr="00F470D1">
        <w:rPr>
          <w:rFonts w:ascii="Avenir Next LT Pro" w:hAnsi="Avenir Next LT Pro" w:cstheme="minorHAnsi"/>
          <w:b/>
          <w:bCs/>
          <w:sz w:val="20"/>
          <w:szCs w:val="20"/>
        </w:rPr>
        <w:t>Jadora</w:t>
      </w:r>
      <w:proofErr w:type="spellEnd"/>
    </w:p>
    <w:p w14:paraId="6E3EBAFB" w14:textId="77777777" w:rsidR="00F470D1" w:rsidRPr="00F470D1" w:rsidRDefault="00F470D1" w:rsidP="00F470D1">
      <w:pPr>
        <w:pStyle w:val="Paragraphedeliste"/>
        <w:spacing w:after="0" w:line="240" w:lineRule="auto"/>
        <w:ind w:left="0"/>
        <w:jc w:val="both"/>
        <w:rPr>
          <w:rFonts w:ascii="Avenir Next LT Pro" w:hAnsi="Avenir Next LT Pro" w:cstheme="minorHAnsi"/>
          <w:b/>
          <w:bCs/>
          <w:sz w:val="20"/>
          <w:szCs w:val="20"/>
        </w:rPr>
      </w:pPr>
    </w:p>
    <w:p w14:paraId="77981888" w14:textId="468ADAB3" w:rsidR="00F470D1" w:rsidRPr="00F470D1" w:rsidRDefault="00F470D1" w:rsidP="00F470D1">
      <w:pPr>
        <w:spacing w:after="0"/>
        <w:jc w:val="both"/>
        <w:rPr>
          <w:rFonts w:ascii="Avenir Next LT Pro" w:hAnsi="Avenir Next LT Pro" w:cstheme="minorHAnsi"/>
          <w:sz w:val="20"/>
          <w:szCs w:val="20"/>
          <w:shd w:val="clear" w:color="auto" w:fill="FFFFFF"/>
        </w:rPr>
      </w:pPr>
      <w:r w:rsidRPr="00F470D1">
        <w:rPr>
          <w:rFonts w:ascii="Avenir Next LT Pro" w:hAnsi="Avenir Next LT Pro" w:cstheme="minorHAnsi"/>
          <w:sz w:val="20"/>
          <w:szCs w:val="20"/>
        </w:rPr>
        <w:t>L’objectif du projet est de protéger la biodiversité et de lutter contre la déforestation et le changement climatique, notamment grâce à la vente des crédits</w:t>
      </w:r>
      <w:r w:rsidR="00842C8E">
        <w:rPr>
          <w:rFonts w:ascii="Avenir Next LT Pro" w:hAnsi="Avenir Next LT Pro" w:cstheme="minorHAnsi"/>
          <w:sz w:val="20"/>
          <w:szCs w:val="20"/>
        </w:rPr>
        <w:t xml:space="preserve"> </w:t>
      </w:r>
      <w:r w:rsidRPr="00F470D1">
        <w:rPr>
          <w:rFonts w:ascii="Avenir Next LT Pro" w:hAnsi="Avenir Next LT Pro" w:cstheme="minorHAnsi"/>
          <w:sz w:val="20"/>
          <w:szCs w:val="20"/>
        </w:rPr>
        <w:t>carbone</w:t>
      </w:r>
      <w:r w:rsidR="00842C8E">
        <w:rPr>
          <w:rFonts w:ascii="Avenir Next LT Pro" w:hAnsi="Avenir Next LT Pro" w:cstheme="minorHAnsi"/>
          <w:sz w:val="20"/>
          <w:szCs w:val="20"/>
        </w:rPr>
        <w:t>s</w:t>
      </w:r>
      <w:r w:rsidRPr="00F470D1">
        <w:rPr>
          <w:rFonts w:ascii="Avenir Next LT Pro" w:hAnsi="Avenir Next LT Pro" w:cstheme="minorHAnsi"/>
          <w:sz w:val="20"/>
          <w:szCs w:val="20"/>
        </w:rPr>
        <w:t xml:space="preserve">, en améliorant la qualité de vie des ménages et en réduisant la pauvreté des communautés locales qui habitent dans la zone du projet où on dénombre environ une trentaine de villages. De plus, le projet vise à renforcer l’accès à une éducation de qualité, l’amélioration des pratiques de santé publique, la promotion du développement économique et </w:t>
      </w:r>
      <w:r w:rsidR="003972D3">
        <w:rPr>
          <w:rFonts w:ascii="Avenir Next LT Pro" w:hAnsi="Avenir Next LT Pro" w:cstheme="minorHAnsi"/>
          <w:sz w:val="20"/>
          <w:szCs w:val="20"/>
        </w:rPr>
        <w:t>d</w:t>
      </w:r>
      <w:r w:rsidRPr="00F470D1">
        <w:rPr>
          <w:rFonts w:ascii="Avenir Next LT Pro" w:hAnsi="Avenir Next LT Pro" w:cstheme="minorHAnsi"/>
          <w:sz w:val="20"/>
          <w:szCs w:val="20"/>
        </w:rPr>
        <w:t>es pratiques agricoles durables. Il vise également le maintien de la valeur des services de l’écosystème dont les communautés dépendent tout en aidant ces dernières à maintenir leurs identités traditionnels, culturelles et spirituelles</w:t>
      </w:r>
      <w:r w:rsidRPr="00F470D1">
        <w:rPr>
          <w:rStyle w:val="Appelnotedebasdep"/>
          <w:rFonts w:ascii="Avenir Next LT Pro" w:hAnsi="Avenir Next LT Pro" w:cstheme="minorHAnsi"/>
          <w:sz w:val="20"/>
          <w:szCs w:val="20"/>
        </w:rPr>
        <w:footnoteReference w:id="5"/>
      </w:r>
      <w:r w:rsidRPr="00F470D1">
        <w:rPr>
          <w:rFonts w:ascii="Avenir Next LT Pro" w:hAnsi="Avenir Next LT Pro" w:cstheme="minorHAnsi"/>
          <w:sz w:val="20"/>
          <w:szCs w:val="20"/>
        </w:rPr>
        <w:t xml:space="preserve">. </w:t>
      </w:r>
      <w:r w:rsidRPr="00F470D1">
        <w:rPr>
          <w:rFonts w:ascii="Avenir Next LT Pro" w:hAnsi="Avenir Next LT Pro" w:cstheme="minorHAnsi"/>
          <w:sz w:val="20"/>
          <w:szCs w:val="20"/>
          <w:shd w:val="clear" w:color="auto" w:fill="FFFFFF"/>
        </w:rPr>
        <w:t>Le projet est situé dans le secteur de Yangambi, territoire d’</w:t>
      </w:r>
      <w:proofErr w:type="spellStart"/>
      <w:r w:rsidRPr="00F470D1">
        <w:rPr>
          <w:rFonts w:ascii="Avenir Next LT Pro" w:hAnsi="Avenir Next LT Pro" w:cstheme="minorHAnsi"/>
          <w:sz w:val="20"/>
          <w:szCs w:val="20"/>
          <w:shd w:val="clear" w:color="auto" w:fill="FFFFFF"/>
        </w:rPr>
        <w:t>Isangi</w:t>
      </w:r>
      <w:proofErr w:type="spellEnd"/>
      <w:r w:rsidRPr="00F470D1">
        <w:rPr>
          <w:rFonts w:ascii="Avenir Next LT Pro" w:hAnsi="Avenir Next LT Pro" w:cstheme="minorHAnsi"/>
          <w:sz w:val="20"/>
          <w:szCs w:val="20"/>
          <w:shd w:val="clear" w:color="auto" w:fill="FFFFFF"/>
        </w:rPr>
        <w:t xml:space="preserve"> dans la Province de la Tshopo et permettra d’éviter le rejet de plus de 20 millions de tonnes de carbone sur </w:t>
      </w:r>
      <w:r w:rsidR="00F47D56">
        <w:rPr>
          <w:rFonts w:ascii="Avenir Next LT Pro" w:hAnsi="Avenir Next LT Pro" w:cstheme="minorHAnsi"/>
          <w:sz w:val="20"/>
          <w:szCs w:val="20"/>
          <w:shd w:val="clear" w:color="auto" w:fill="FFFFFF"/>
        </w:rPr>
        <w:t>une période de</w:t>
      </w:r>
      <w:r w:rsidR="00F47D56" w:rsidRPr="00F470D1">
        <w:rPr>
          <w:rFonts w:ascii="Avenir Next LT Pro" w:hAnsi="Avenir Next LT Pro" w:cstheme="minorHAnsi"/>
          <w:sz w:val="20"/>
          <w:szCs w:val="20"/>
          <w:shd w:val="clear" w:color="auto" w:fill="FFFFFF"/>
        </w:rPr>
        <w:t xml:space="preserve"> </w:t>
      </w:r>
      <w:r w:rsidRPr="00F470D1">
        <w:rPr>
          <w:rFonts w:ascii="Avenir Next LT Pro" w:hAnsi="Avenir Next LT Pro" w:cstheme="minorHAnsi"/>
          <w:sz w:val="20"/>
          <w:szCs w:val="20"/>
          <w:shd w:val="clear" w:color="auto" w:fill="FFFFFF"/>
        </w:rPr>
        <w:t xml:space="preserve">trente ans (Aout 2009 – juillet 2039). </w:t>
      </w:r>
    </w:p>
    <w:p w14:paraId="20F2023C" w14:textId="77777777" w:rsidR="00F470D1" w:rsidRPr="00F470D1" w:rsidRDefault="00F470D1" w:rsidP="00F470D1">
      <w:pPr>
        <w:spacing w:after="0"/>
        <w:jc w:val="both"/>
        <w:rPr>
          <w:rFonts w:ascii="Avenir Next LT Pro" w:hAnsi="Avenir Next LT Pro" w:cstheme="minorHAnsi"/>
          <w:sz w:val="20"/>
          <w:szCs w:val="20"/>
          <w:shd w:val="clear" w:color="auto" w:fill="FFFFFF"/>
        </w:rPr>
      </w:pPr>
    </w:p>
    <w:p w14:paraId="7F4C6FC4" w14:textId="57F4E768" w:rsidR="00F470D1" w:rsidRPr="00F470D1" w:rsidRDefault="00F470D1" w:rsidP="00F470D1">
      <w:pPr>
        <w:spacing w:after="0"/>
        <w:jc w:val="both"/>
        <w:rPr>
          <w:rFonts w:ascii="Avenir Next LT Pro" w:hAnsi="Avenir Next LT Pro" w:cstheme="minorHAnsi"/>
          <w:sz w:val="20"/>
          <w:szCs w:val="20"/>
          <w:shd w:val="clear" w:color="auto" w:fill="FFFFFF"/>
        </w:rPr>
      </w:pPr>
      <w:r w:rsidRPr="00F470D1">
        <w:rPr>
          <w:rFonts w:ascii="Avenir Next LT Pro" w:hAnsi="Avenir Next LT Pro" w:cstheme="minorHAnsi"/>
          <w:sz w:val="20"/>
          <w:szCs w:val="20"/>
          <w:shd w:val="clear" w:color="auto" w:fill="FFFFFF"/>
        </w:rPr>
        <w:t>Le projet a vendu près de 780 000 crédits</w:t>
      </w:r>
      <w:r w:rsidR="006B0B0F">
        <w:rPr>
          <w:rFonts w:ascii="Avenir Next LT Pro" w:hAnsi="Avenir Next LT Pro" w:cstheme="minorHAnsi"/>
          <w:sz w:val="20"/>
          <w:szCs w:val="20"/>
          <w:shd w:val="clear" w:color="auto" w:fill="FFFFFF"/>
        </w:rPr>
        <w:t xml:space="preserve"> </w:t>
      </w:r>
      <w:r w:rsidRPr="00F470D1">
        <w:rPr>
          <w:rFonts w:ascii="Avenir Next LT Pro" w:hAnsi="Avenir Next LT Pro" w:cstheme="minorHAnsi"/>
          <w:sz w:val="20"/>
          <w:szCs w:val="20"/>
          <w:shd w:val="clear" w:color="auto" w:fill="FFFFFF"/>
        </w:rPr>
        <w:t>carbones sur le marché volontaire jusqu’en 2020</w:t>
      </w:r>
      <w:r w:rsidRPr="00F470D1">
        <w:rPr>
          <w:rStyle w:val="Appelnotedebasdep"/>
          <w:rFonts w:ascii="Avenir Next LT Pro" w:hAnsi="Avenir Next LT Pro" w:cstheme="minorHAnsi"/>
          <w:sz w:val="20"/>
          <w:szCs w:val="20"/>
          <w:shd w:val="clear" w:color="auto" w:fill="FFFFFF"/>
        </w:rPr>
        <w:footnoteReference w:id="6"/>
      </w:r>
      <w:r w:rsidRPr="00F470D1">
        <w:rPr>
          <w:rFonts w:ascii="Avenir Next LT Pro" w:hAnsi="Avenir Next LT Pro" w:cstheme="minorHAnsi"/>
          <w:sz w:val="20"/>
          <w:szCs w:val="20"/>
          <w:shd w:val="clear" w:color="auto" w:fill="FFFFFF"/>
        </w:rPr>
        <w:t xml:space="preserve">, avec comme plus gros clients la compagnie américaine Delta Air Lines et l’entreprise italienne d’hydrocarbures </w:t>
      </w:r>
      <w:proofErr w:type="spellStart"/>
      <w:r w:rsidRPr="00F470D1">
        <w:rPr>
          <w:rFonts w:ascii="Avenir Next LT Pro" w:hAnsi="Avenir Next LT Pro" w:cstheme="minorHAnsi"/>
          <w:sz w:val="20"/>
          <w:szCs w:val="20"/>
          <w:shd w:val="clear" w:color="auto" w:fill="FFFFFF"/>
        </w:rPr>
        <w:t>Enir</w:t>
      </w:r>
      <w:proofErr w:type="spellEnd"/>
      <w:r w:rsidRPr="00F470D1">
        <w:rPr>
          <w:rFonts w:ascii="Avenir Next LT Pro" w:hAnsi="Avenir Next LT Pro" w:cstheme="minorHAnsi"/>
          <w:sz w:val="20"/>
          <w:szCs w:val="20"/>
          <w:shd w:val="clear" w:color="auto" w:fill="FFFFFF"/>
        </w:rPr>
        <w:t>. Cependant, fort est de constater que ce projet est à l’arrêt depuis 2022, treize ans après son lancement. Le projet fait face aux problèmes de certification et d’homologation depuis 2019.</w:t>
      </w:r>
    </w:p>
    <w:p w14:paraId="3268A658" w14:textId="77777777" w:rsidR="00F470D1" w:rsidRPr="00F470D1" w:rsidRDefault="00F470D1" w:rsidP="00F470D1">
      <w:pPr>
        <w:spacing w:after="0"/>
        <w:jc w:val="both"/>
        <w:rPr>
          <w:rFonts w:ascii="Avenir Next LT Pro" w:hAnsi="Avenir Next LT Pro" w:cstheme="minorHAnsi"/>
          <w:sz w:val="20"/>
          <w:szCs w:val="20"/>
        </w:rPr>
      </w:pPr>
    </w:p>
    <w:p w14:paraId="73C2466C" w14:textId="77777777" w:rsidR="00F470D1" w:rsidRPr="00F470D1" w:rsidRDefault="00F470D1" w:rsidP="00487A95">
      <w:pPr>
        <w:pStyle w:val="Paragraphedeliste"/>
        <w:numPr>
          <w:ilvl w:val="0"/>
          <w:numId w:val="42"/>
        </w:numPr>
        <w:spacing w:after="0" w:line="240" w:lineRule="auto"/>
        <w:jc w:val="both"/>
        <w:rPr>
          <w:rFonts w:ascii="Avenir Next LT Pro" w:hAnsi="Avenir Next LT Pro" w:cstheme="minorHAnsi"/>
          <w:b/>
          <w:bCs/>
          <w:sz w:val="20"/>
          <w:szCs w:val="20"/>
        </w:rPr>
      </w:pPr>
      <w:r w:rsidRPr="00F470D1">
        <w:rPr>
          <w:rFonts w:ascii="Avenir Next LT Pro" w:hAnsi="Avenir Next LT Pro" w:cstheme="minorHAnsi"/>
          <w:b/>
          <w:bCs/>
          <w:sz w:val="20"/>
          <w:szCs w:val="20"/>
        </w:rPr>
        <w:t>Le projet ERA Congo</w:t>
      </w:r>
    </w:p>
    <w:p w14:paraId="7F148FDF" w14:textId="77777777" w:rsidR="00F470D1" w:rsidRPr="00F470D1" w:rsidRDefault="00F470D1" w:rsidP="00F470D1">
      <w:pPr>
        <w:pStyle w:val="Paragraphedeliste"/>
        <w:spacing w:after="0" w:line="240" w:lineRule="auto"/>
        <w:ind w:left="142"/>
        <w:jc w:val="both"/>
        <w:rPr>
          <w:rFonts w:ascii="Avenir Next LT Pro" w:hAnsi="Avenir Next LT Pro" w:cstheme="minorHAnsi"/>
          <w:b/>
          <w:bCs/>
          <w:sz w:val="20"/>
          <w:szCs w:val="20"/>
        </w:rPr>
      </w:pPr>
    </w:p>
    <w:p w14:paraId="52E05AEB" w14:textId="77777777" w:rsidR="00F470D1" w:rsidRPr="00F470D1" w:rsidRDefault="00F470D1" w:rsidP="00F470D1">
      <w:pPr>
        <w:spacing w:after="0"/>
        <w:jc w:val="both"/>
        <w:rPr>
          <w:rFonts w:ascii="Avenir Next LT Pro" w:hAnsi="Avenir Next LT Pro" w:cstheme="minorHAnsi"/>
          <w:sz w:val="20"/>
          <w:szCs w:val="20"/>
          <w:shd w:val="clear" w:color="auto" w:fill="FFFFFF"/>
        </w:rPr>
      </w:pPr>
      <w:proofErr w:type="spellStart"/>
      <w:r w:rsidRPr="00F470D1">
        <w:rPr>
          <w:rFonts w:ascii="Avenir Next LT Pro" w:hAnsi="Avenir Next LT Pro" w:cstheme="minorHAnsi"/>
          <w:sz w:val="20"/>
          <w:szCs w:val="20"/>
          <w:shd w:val="clear" w:color="auto" w:fill="FFFFFF"/>
        </w:rPr>
        <w:t>Ecosystem</w:t>
      </w:r>
      <w:proofErr w:type="spellEnd"/>
      <w:r w:rsidRPr="00F470D1">
        <w:rPr>
          <w:rFonts w:ascii="Avenir Next LT Pro" w:hAnsi="Avenir Next LT Pro" w:cstheme="minorHAnsi"/>
          <w:sz w:val="20"/>
          <w:szCs w:val="20"/>
          <w:shd w:val="clear" w:color="auto" w:fill="FFFFFF"/>
        </w:rPr>
        <w:t xml:space="preserve"> </w:t>
      </w:r>
      <w:proofErr w:type="spellStart"/>
      <w:r w:rsidRPr="00F470D1">
        <w:rPr>
          <w:rFonts w:ascii="Avenir Next LT Pro" w:hAnsi="Avenir Next LT Pro" w:cstheme="minorHAnsi"/>
          <w:sz w:val="20"/>
          <w:szCs w:val="20"/>
          <w:shd w:val="clear" w:color="auto" w:fill="FFFFFF"/>
        </w:rPr>
        <w:t>Restoration</w:t>
      </w:r>
      <w:proofErr w:type="spellEnd"/>
      <w:r w:rsidRPr="00F470D1">
        <w:rPr>
          <w:rFonts w:ascii="Avenir Next LT Pro" w:hAnsi="Avenir Next LT Pro" w:cstheme="minorHAnsi"/>
          <w:sz w:val="20"/>
          <w:szCs w:val="20"/>
          <w:shd w:val="clear" w:color="auto" w:fill="FFFFFF"/>
        </w:rPr>
        <w:t xml:space="preserve"> Associates Congo (ERA Congo) est un projet de </w:t>
      </w:r>
      <w:proofErr w:type="spellStart"/>
      <w:r w:rsidRPr="00F470D1">
        <w:rPr>
          <w:rFonts w:ascii="Avenir Next LT Pro" w:hAnsi="Avenir Next LT Pro" w:cstheme="minorHAnsi"/>
          <w:sz w:val="20"/>
          <w:szCs w:val="20"/>
          <w:shd w:val="clear" w:color="auto" w:fill="FFFFFF"/>
        </w:rPr>
        <w:t>Wildlife</w:t>
      </w:r>
      <w:proofErr w:type="spellEnd"/>
      <w:r w:rsidRPr="00F470D1">
        <w:rPr>
          <w:rFonts w:ascii="Avenir Next LT Pro" w:hAnsi="Avenir Next LT Pro" w:cstheme="minorHAnsi"/>
          <w:sz w:val="20"/>
          <w:szCs w:val="20"/>
          <w:shd w:val="clear" w:color="auto" w:fill="FFFFFF"/>
        </w:rPr>
        <w:t xml:space="preserve"> Works Carbon LLC qui œuvre dans le domaine de la conservation des forêts et de la reforestation dans la province de Maï-Ndombe. L’objectif de ce projet est la production et la monétisation des crédits carbones au bénéfice notamment de peuples autochtones et communautés locales, du gouvernement central, ainsi que du gouvernement provincial de Maï-Ndombe. D'un point de vue économique et commercial, ERA Congo est un courtier qui travaille avec d'autres courtiers au niveau international pour vendre des crédits carbones et répondre aux besoins de la société et des populations. Les bénéfices pour les peuples autochtones et les populations locales incluent la construction d’écoles, la distribution des boutures améliorées à la population, la contribution à l’intensification de l’agriculture, etc.</w:t>
      </w:r>
    </w:p>
    <w:p w14:paraId="040CBB6C" w14:textId="77777777" w:rsidR="00F470D1" w:rsidRPr="00F470D1" w:rsidRDefault="00F470D1" w:rsidP="00F470D1">
      <w:pPr>
        <w:spacing w:after="0"/>
        <w:jc w:val="both"/>
        <w:rPr>
          <w:rFonts w:ascii="Avenir Next LT Pro" w:hAnsi="Avenir Next LT Pro" w:cstheme="minorHAnsi"/>
          <w:sz w:val="20"/>
          <w:szCs w:val="20"/>
          <w:shd w:val="clear" w:color="auto" w:fill="FFFFFF"/>
        </w:rPr>
      </w:pPr>
    </w:p>
    <w:p w14:paraId="777ECDBC" w14:textId="695E6D93" w:rsidR="00F470D1" w:rsidRPr="00F470D1" w:rsidRDefault="00F470D1" w:rsidP="00F470D1">
      <w:pPr>
        <w:spacing w:after="0"/>
        <w:jc w:val="both"/>
        <w:rPr>
          <w:rStyle w:val="lev"/>
          <w:rFonts w:ascii="Avenir Next LT Pro" w:hAnsi="Avenir Next LT Pro" w:cstheme="minorHAnsi"/>
          <w:b w:val="0"/>
          <w:bCs w:val="0"/>
          <w:sz w:val="20"/>
          <w:szCs w:val="20"/>
        </w:rPr>
      </w:pPr>
      <w:r w:rsidRPr="00F470D1">
        <w:rPr>
          <w:rFonts w:ascii="Avenir Next LT Pro" w:hAnsi="Avenir Next LT Pro" w:cstheme="minorHAnsi"/>
          <w:sz w:val="20"/>
          <w:szCs w:val="20"/>
          <w:shd w:val="clear" w:color="auto" w:fill="FFFFFF"/>
        </w:rPr>
        <w:t>Entre 2011 et 2017, ERA Congo a vendu au total 12,5 millions de tonnes de crédits</w:t>
      </w:r>
      <w:r w:rsidR="00E3012E">
        <w:rPr>
          <w:rFonts w:ascii="Avenir Next LT Pro" w:hAnsi="Avenir Next LT Pro" w:cstheme="minorHAnsi"/>
          <w:sz w:val="20"/>
          <w:szCs w:val="20"/>
          <w:shd w:val="clear" w:color="auto" w:fill="FFFFFF"/>
        </w:rPr>
        <w:t xml:space="preserve"> </w:t>
      </w:r>
      <w:r w:rsidRPr="00F470D1">
        <w:rPr>
          <w:rFonts w:ascii="Avenir Next LT Pro" w:hAnsi="Avenir Next LT Pro" w:cstheme="minorHAnsi"/>
          <w:sz w:val="20"/>
          <w:szCs w:val="20"/>
          <w:shd w:val="clear" w:color="auto" w:fill="FFFFFF"/>
        </w:rPr>
        <w:t>carbones, à raison de 2,5 millions en 2011 et 10 millions en 2016</w:t>
      </w:r>
      <w:r w:rsidRPr="00F470D1">
        <w:rPr>
          <w:rStyle w:val="Appelnotedebasdep"/>
          <w:rFonts w:ascii="Avenir Next LT Pro" w:hAnsi="Avenir Next LT Pro" w:cstheme="minorHAnsi"/>
          <w:sz w:val="20"/>
          <w:szCs w:val="20"/>
          <w:shd w:val="clear" w:color="auto" w:fill="FFFFFF"/>
        </w:rPr>
        <w:footnoteReference w:id="7"/>
      </w:r>
      <w:r w:rsidRPr="00F470D1">
        <w:rPr>
          <w:rFonts w:ascii="Avenir Next LT Pro" w:hAnsi="Avenir Next LT Pro" w:cstheme="minorHAnsi"/>
          <w:sz w:val="20"/>
          <w:szCs w:val="20"/>
          <w:shd w:val="clear" w:color="auto" w:fill="FFFFFF"/>
        </w:rPr>
        <w:t xml:space="preserve">. En 2020, ERA Congo a produit 6.984.597 tonnes de </w:t>
      </w:r>
      <w:r w:rsidR="00BB6EA9">
        <w:rPr>
          <w:rFonts w:ascii="Avenir Next LT Pro" w:hAnsi="Avenir Next LT Pro" w:cstheme="minorHAnsi"/>
          <w:sz w:val="20"/>
          <w:szCs w:val="20"/>
          <w:shd w:val="clear" w:color="auto" w:fill="FFFFFF"/>
        </w:rPr>
        <w:t xml:space="preserve">crédits </w:t>
      </w:r>
      <w:r w:rsidRPr="00F470D1">
        <w:rPr>
          <w:rFonts w:ascii="Avenir Next LT Pro" w:hAnsi="Avenir Next LT Pro" w:cstheme="minorHAnsi"/>
          <w:sz w:val="20"/>
          <w:szCs w:val="20"/>
          <w:shd w:val="clear" w:color="auto" w:fill="FFFFFF"/>
        </w:rPr>
        <w:t>carbone</w:t>
      </w:r>
      <w:r w:rsidR="00BB6EA9">
        <w:rPr>
          <w:rFonts w:ascii="Avenir Next LT Pro" w:hAnsi="Avenir Next LT Pro" w:cstheme="minorHAnsi"/>
          <w:sz w:val="20"/>
          <w:szCs w:val="20"/>
          <w:shd w:val="clear" w:color="auto" w:fill="FFFFFF"/>
        </w:rPr>
        <w:t>s</w:t>
      </w:r>
      <w:r w:rsidRPr="00F470D1">
        <w:rPr>
          <w:rStyle w:val="Appelnotedebasdep"/>
          <w:rFonts w:ascii="Avenir Next LT Pro" w:hAnsi="Avenir Next LT Pro" w:cstheme="minorHAnsi"/>
          <w:sz w:val="20"/>
          <w:szCs w:val="20"/>
          <w:shd w:val="clear" w:color="auto" w:fill="FFFFFF"/>
        </w:rPr>
        <w:footnoteReference w:id="8"/>
      </w:r>
      <w:r w:rsidRPr="00F470D1">
        <w:rPr>
          <w:rFonts w:ascii="Avenir Next LT Pro" w:hAnsi="Avenir Next LT Pro" w:cstheme="minorHAnsi"/>
          <w:sz w:val="20"/>
          <w:szCs w:val="20"/>
          <w:shd w:val="clear" w:color="auto" w:fill="FFFFFF"/>
        </w:rPr>
        <w:t xml:space="preserve">. </w:t>
      </w:r>
      <w:r w:rsidRPr="00F470D1">
        <w:rPr>
          <w:rStyle w:val="lev"/>
          <w:rFonts w:ascii="Avenir Next LT Pro" w:hAnsi="Avenir Next LT Pro" w:cstheme="minorHAnsi"/>
          <w:sz w:val="20"/>
          <w:szCs w:val="20"/>
        </w:rPr>
        <w:t>Après le succès récolté dans la province du Mai Ndombe, où l’impact du projet est palpable, la société vient d’établir les liens avec les gouverneurs de la Tshopo, Nord Ubangi, Sud Ubangi et Equateur, pour y démarrer ses activités de conservation</w:t>
      </w:r>
      <w:r w:rsidRPr="00F470D1">
        <w:rPr>
          <w:rStyle w:val="Appelnotedebasdep"/>
          <w:rFonts w:ascii="Avenir Next LT Pro" w:hAnsi="Avenir Next LT Pro" w:cstheme="minorHAnsi"/>
          <w:sz w:val="20"/>
          <w:szCs w:val="20"/>
          <w:shd w:val="clear" w:color="auto" w:fill="FFFFFF"/>
        </w:rPr>
        <w:footnoteReference w:id="9"/>
      </w:r>
      <w:r w:rsidRPr="00F470D1">
        <w:rPr>
          <w:rStyle w:val="lev"/>
          <w:rFonts w:ascii="Avenir Next LT Pro" w:hAnsi="Avenir Next LT Pro" w:cstheme="minorHAnsi"/>
          <w:sz w:val="20"/>
          <w:szCs w:val="20"/>
        </w:rPr>
        <w:t>.</w:t>
      </w:r>
    </w:p>
    <w:p w14:paraId="56A7ABA4" w14:textId="77777777" w:rsidR="00F470D1" w:rsidRPr="00F470D1" w:rsidRDefault="00F470D1" w:rsidP="00F470D1">
      <w:pPr>
        <w:spacing w:after="0"/>
        <w:jc w:val="both"/>
        <w:rPr>
          <w:rStyle w:val="lev"/>
          <w:rFonts w:ascii="Avenir Next LT Pro" w:hAnsi="Avenir Next LT Pro" w:cstheme="minorHAnsi"/>
          <w:b w:val="0"/>
          <w:bCs w:val="0"/>
          <w:sz w:val="20"/>
          <w:szCs w:val="20"/>
        </w:rPr>
      </w:pPr>
    </w:p>
    <w:p w14:paraId="7970A6A4" w14:textId="77777777" w:rsidR="00F470D1" w:rsidRPr="00A7032D" w:rsidRDefault="00F470D1" w:rsidP="00487A95">
      <w:pPr>
        <w:pStyle w:val="Paragraphedeliste"/>
        <w:numPr>
          <w:ilvl w:val="0"/>
          <w:numId w:val="41"/>
        </w:numPr>
        <w:spacing w:after="0" w:line="240" w:lineRule="auto"/>
        <w:jc w:val="both"/>
        <w:rPr>
          <w:rFonts w:ascii="Avenir Next LT Pro" w:hAnsi="Avenir Next LT Pro" w:cstheme="minorHAnsi"/>
          <w:b/>
          <w:bCs/>
          <w:sz w:val="20"/>
          <w:szCs w:val="20"/>
        </w:rPr>
      </w:pPr>
      <w:r w:rsidRPr="00A7032D">
        <w:rPr>
          <w:rFonts w:ascii="Avenir Next LT Pro" w:hAnsi="Avenir Next LT Pro" w:cstheme="minorHAnsi"/>
          <w:b/>
          <w:bCs/>
          <w:sz w:val="20"/>
          <w:szCs w:val="20"/>
        </w:rPr>
        <w:t xml:space="preserve">Projet </w:t>
      </w:r>
      <w:proofErr w:type="spellStart"/>
      <w:r w:rsidRPr="00A7032D">
        <w:rPr>
          <w:rFonts w:ascii="Avenir Next LT Pro" w:hAnsi="Avenir Next LT Pro" w:cstheme="minorHAnsi"/>
          <w:b/>
          <w:bCs/>
          <w:sz w:val="20"/>
          <w:szCs w:val="20"/>
        </w:rPr>
        <w:t>EcoMakala</w:t>
      </w:r>
      <w:proofErr w:type="spellEnd"/>
    </w:p>
    <w:p w14:paraId="71B5C947" w14:textId="77777777" w:rsidR="00F470D1" w:rsidRPr="00F470D1" w:rsidRDefault="00F470D1" w:rsidP="00F470D1">
      <w:pPr>
        <w:pStyle w:val="Paragraphedeliste"/>
        <w:spacing w:after="0" w:line="240" w:lineRule="auto"/>
        <w:ind w:left="142"/>
        <w:jc w:val="both"/>
        <w:rPr>
          <w:rFonts w:ascii="Avenir Next LT Pro" w:hAnsi="Avenir Next LT Pro" w:cstheme="minorHAnsi"/>
          <w:b/>
          <w:bCs/>
          <w:sz w:val="20"/>
          <w:szCs w:val="20"/>
        </w:rPr>
      </w:pPr>
    </w:p>
    <w:p w14:paraId="65F7919E" w14:textId="77777777" w:rsidR="00F470D1" w:rsidRPr="00F470D1" w:rsidRDefault="00F470D1" w:rsidP="00F470D1">
      <w:pPr>
        <w:spacing w:after="0"/>
        <w:jc w:val="both"/>
        <w:rPr>
          <w:rFonts w:ascii="Avenir Next LT Pro" w:hAnsi="Avenir Next LT Pro" w:cstheme="minorHAnsi"/>
          <w:sz w:val="20"/>
          <w:szCs w:val="20"/>
          <w:shd w:val="clear" w:color="auto" w:fill="FFFFFF"/>
        </w:rPr>
      </w:pPr>
      <w:r w:rsidRPr="00F470D1">
        <w:rPr>
          <w:rFonts w:ascii="Avenir Next LT Pro" w:hAnsi="Avenir Next LT Pro" w:cstheme="minorHAnsi"/>
          <w:sz w:val="20"/>
          <w:szCs w:val="20"/>
          <w:shd w:val="clear" w:color="auto" w:fill="FFFFFF"/>
        </w:rPr>
        <w:t xml:space="preserve">Le projet </w:t>
      </w:r>
      <w:proofErr w:type="spellStart"/>
      <w:r w:rsidRPr="00F470D1">
        <w:rPr>
          <w:rFonts w:ascii="Avenir Next LT Pro" w:hAnsi="Avenir Next LT Pro" w:cstheme="minorHAnsi"/>
          <w:sz w:val="20"/>
          <w:szCs w:val="20"/>
          <w:shd w:val="clear" w:color="auto" w:fill="FFFFFF"/>
        </w:rPr>
        <w:t>EcoMakala</w:t>
      </w:r>
      <w:proofErr w:type="spellEnd"/>
      <w:r w:rsidRPr="00F470D1">
        <w:rPr>
          <w:rFonts w:ascii="Avenir Next LT Pro" w:hAnsi="Avenir Next LT Pro" w:cstheme="minorHAnsi"/>
          <w:sz w:val="20"/>
          <w:szCs w:val="20"/>
          <w:shd w:val="clear" w:color="auto" w:fill="FFFFFF"/>
        </w:rPr>
        <w:t xml:space="preserve"> est un projet qui a été lancé en 2007 avec le soutien de WWF-Belgique dans l’objectif de lutter contre les pressions anthropiques sur les forêts du Parc National de Virunga dans </w:t>
      </w:r>
      <w:r w:rsidRPr="00F470D1">
        <w:rPr>
          <w:rFonts w:ascii="Avenir Next LT Pro" w:hAnsi="Avenir Next LT Pro" w:cstheme="minorHAnsi"/>
          <w:sz w:val="20"/>
          <w:szCs w:val="20"/>
          <w:shd w:val="clear" w:color="auto" w:fill="FFFFFF"/>
        </w:rPr>
        <w:lastRenderedPageBreak/>
        <w:t>la Province du Nord Kivu. Le projet vise la production du charbon de bois « vert » à partir d’arbres plantés et donc d’empêcher l’exploitation illicite du bois provenant du parc pour la cuisson des aliments. L’initiative consiste essentiellement à planter les arbres autour du Parc National de Virunga et à les utiliser pour la production du charbon de bois, en lieu et place des arbres des forêts du parc. La capacité de séquestration du carbone est estimée entre 130 et 190 tonnes de dioxyde de carbone équivalent (</w:t>
      </w:r>
      <w:proofErr w:type="spellStart"/>
      <w:r w:rsidRPr="00F470D1">
        <w:rPr>
          <w:rFonts w:ascii="Avenir Next LT Pro" w:hAnsi="Avenir Next LT Pro" w:cstheme="minorHAnsi"/>
          <w:sz w:val="20"/>
          <w:szCs w:val="20"/>
          <w:shd w:val="clear" w:color="auto" w:fill="FFFFFF"/>
        </w:rPr>
        <w:t>tCO</w:t>
      </w:r>
      <w:r w:rsidRPr="00F470D1">
        <w:rPr>
          <w:rFonts w:ascii="Cambria Math" w:hAnsi="Cambria Math" w:cs="Cambria Math"/>
          <w:sz w:val="20"/>
          <w:szCs w:val="20"/>
          <w:shd w:val="clear" w:color="auto" w:fill="FFFFFF"/>
        </w:rPr>
        <w:t>₂</w:t>
      </w:r>
      <w:r w:rsidRPr="00F470D1">
        <w:rPr>
          <w:rFonts w:ascii="Avenir Next LT Pro" w:hAnsi="Avenir Next LT Pro" w:cstheme="minorHAnsi"/>
          <w:sz w:val="20"/>
          <w:szCs w:val="20"/>
          <w:shd w:val="clear" w:color="auto" w:fill="FFFFFF"/>
        </w:rPr>
        <w:t>e</w:t>
      </w:r>
      <w:proofErr w:type="spellEnd"/>
      <w:r w:rsidRPr="00F470D1">
        <w:rPr>
          <w:rFonts w:ascii="Avenir Next LT Pro" w:hAnsi="Avenir Next LT Pro" w:cstheme="minorHAnsi"/>
          <w:sz w:val="20"/>
          <w:szCs w:val="20"/>
          <w:shd w:val="clear" w:color="auto" w:fill="FFFFFF"/>
        </w:rPr>
        <w:t>).</w:t>
      </w:r>
    </w:p>
    <w:p w14:paraId="659A38BB" w14:textId="77777777" w:rsidR="00F470D1" w:rsidRPr="00F470D1" w:rsidRDefault="00F470D1" w:rsidP="00F470D1">
      <w:pPr>
        <w:spacing w:after="0"/>
        <w:jc w:val="both"/>
        <w:rPr>
          <w:rFonts w:ascii="Avenir Next LT Pro" w:hAnsi="Avenir Next LT Pro" w:cstheme="minorHAnsi"/>
          <w:sz w:val="20"/>
          <w:szCs w:val="20"/>
          <w:shd w:val="clear" w:color="auto" w:fill="FFFFFF"/>
        </w:rPr>
      </w:pPr>
    </w:p>
    <w:p w14:paraId="687F5212" w14:textId="77777777" w:rsidR="00F470D1" w:rsidRPr="00F470D1" w:rsidRDefault="00F470D1" w:rsidP="00F470D1">
      <w:pPr>
        <w:spacing w:after="0"/>
        <w:jc w:val="both"/>
        <w:rPr>
          <w:rFonts w:ascii="Avenir Next LT Pro" w:hAnsi="Avenir Next LT Pro" w:cstheme="minorHAnsi"/>
          <w:sz w:val="20"/>
          <w:szCs w:val="20"/>
          <w:shd w:val="clear" w:color="auto" w:fill="FFFFFF"/>
        </w:rPr>
      </w:pPr>
      <w:r w:rsidRPr="00F470D1">
        <w:rPr>
          <w:rFonts w:ascii="Avenir Next LT Pro" w:hAnsi="Avenir Next LT Pro" w:cstheme="minorHAnsi"/>
          <w:sz w:val="20"/>
          <w:szCs w:val="20"/>
        </w:rPr>
        <w:t>La contribution à la réduction des émissions de CO</w:t>
      </w:r>
      <w:r w:rsidRPr="00F470D1">
        <w:rPr>
          <w:rFonts w:ascii="Cambria Math" w:hAnsi="Cambria Math" w:cs="Cambria Math"/>
          <w:sz w:val="20"/>
          <w:szCs w:val="20"/>
        </w:rPr>
        <w:t>₂</w:t>
      </w:r>
      <w:r w:rsidRPr="00F470D1">
        <w:rPr>
          <w:rFonts w:ascii="Avenir Next LT Pro" w:hAnsi="Avenir Next LT Pro" w:cstheme="minorHAnsi"/>
          <w:sz w:val="20"/>
          <w:szCs w:val="20"/>
        </w:rPr>
        <w:t xml:space="preserve"> a </w:t>
      </w:r>
      <w:r w:rsidRPr="00F470D1">
        <w:rPr>
          <w:rFonts w:ascii="Avenir Next LT Pro" w:hAnsi="Avenir Next LT Pro" w:cs="Avenir Next LT Pro"/>
          <w:sz w:val="20"/>
          <w:szCs w:val="20"/>
        </w:rPr>
        <w:t>é</w:t>
      </w:r>
      <w:r w:rsidRPr="00F470D1">
        <w:rPr>
          <w:rFonts w:ascii="Avenir Next LT Pro" w:hAnsi="Avenir Next LT Pro" w:cstheme="minorHAnsi"/>
          <w:sz w:val="20"/>
          <w:szCs w:val="20"/>
        </w:rPr>
        <w:t>t</w:t>
      </w:r>
      <w:r w:rsidRPr="00F470D1">
        <w:rPr>
          <w:rFonts w:ascii="Avenir Next LT Pro" w:hAnsi="Avenir Next LT Pro" w:cs="Avenir Next LT Pro"/>
          <w:sz w:val="20"/>
          <w:szCs w:val="20"/>
        </w:rPr>
        <w:t>é</w:t>
      </w:r>
      <w:r w:rsidRPr="00F470D1">
        <w:rPr>
          <w:rFonts w:ascii="Avenir Next LT Pro" w:hAnsi="Avenir Next LT Pro" w:cstheme="minorHAnsi"/>
          <w:sz w:val="20"/>
          <w:szCs w:val="20"/>
        </w:rPr>
        <w:t xml:space="preserve"> renforc</w:t>
      </w:r>
      <w:r w:rsidRPr="00F470D1">
        <w:rPr>
          <w:rFonts w:ascii="Avenir Next LT Pro" w:hAnsi="Avenir Next LT Pro" w:cs="Avenir Next LT Pro"/>
          <w:sz w:val="20"/>
          <w:szCs w:val="20"/>
        </w:rPr>
        <w:t>é</w:t>
      </w:r>
      <w:r w:rsidRPr="00F470D1">
        <w:rPr>
          <w:rFonts w:ascii="Avenir Next LT Pro" w:hAnsi="Avenir Next LT Pro" w:cstheme="minorHAnsi"/>
          <w:sz w:val="20"/>
          <w:szCs w:val="20"/>
        </w:rPr>
        <w:t>e par le lancement en 2009 de la production des foyers culinaires am</w:t>
      </w:r>
      <w:r w:rsidRPr="00F470D1">
        <w:rPr>
          <w:rFonts w:ascii="Avenir Next LT Pro" w:hAnsi="Avenir Next LT Pro" w:cs="Avenir Next LT Pro"/>
          <w:sz w:val="20"/>
          <w:szCs w:val="20"/>
        </w:rPr>
        <w:t>é</w:t>
      </w:r>
      <w:r w:rsidRPr="00F470D1">
        <w:rPr>
          <w:rFonts w:ascii="Avenir Next LT Pro" w:hAnsi="Avenir Next LT Pro" w:cstheme="minorHAnsi"/>
          <w:sz w:val="20"/>
          <w:szCs w:val="20"/>
        </w:rPr>
        <w:t>lior</w:t>
      </w:r>
      <w:r w:rsidRPr="00F470D1">
        <w:rPr>
          <w:rFonts w:ascii="Avenir Next LT Pro" w:hAnsi="Avenir Next LT Pro" w:cs="Avenir Next LT Pro"/>
          <w:sz w:val="20"/>
          <w:szCs w:val="20"/>
        </w:rPr>
        <w:t>é</w:t>
      </w:r>
      <w:r w:rsidRPr="00F470D1">
        <w:rPr>
          <w:rFonts w:ascii="Avenir Next LT Pro" w:hAnsi="Avenir Next LT Pro" w:cstheme="minorHAnsi"/>
          <w:sz w:val="20"/>
          <w:szCs w:val="20"/>
        </w:rPr>
        <w:t xml:space="preserve">s, qui consomment deux fois </w:t>
      </w:r>
      <w:r w:rsidRPr="00F470D1">
        <w:rPr>
          <w:rFonts w:ascii="Avenir Next LT Pro" w:hAnsi="Avenir Next LT Pro" w:cstheme="minorHAnsi"/>
          <w:sz w:val="20"/>
          <w:szCs w:val="20"/>
          <w:shd w:val="clear" w:color="auto" w:fill="FFFFFF"/>
        </w:rPr>
        <w:t>moins de charbon de bois que les foyers ordinaires. La Province du Nord Kivu a bénéficié de 1,3 millions de dollars. Les vérifications sont faites sur un cycle de 5 ans pour le reboisement et sur une base annuelle pour les foyers améliorés</w:t>
      </w:r>
      <w:r w:rsidRPr="00F470D1">
        <w:rPr>
          <w:rStyle w:val="Appelnotedebasdep"/>
          <w:rFonts w:ascii="Avenir Next LT Pro" w:hAnsi="Avenir Next LT Pro" w:cstheme="minorHAnsi"/>
          <w:sz w:val="20"/>
          <w:szCs w:val="20"/>
          <w:shd w:val="clear" w:color="auto" w:fill="FFFFFF"/>
        </w:rPr>
        <w:footnoteReference w:id="10"/>
      </w:r>
      <w:r w:rsidRPr="00F470D1">
        <w:rPr>
          <w:rFonts w:ascii="Avenir Next LT Pro" w:hAnsi="Avenir Next LT Pro" w:cstheme="minorHAnsi"/>
          <w:sz w:val="20"/>
          <w:szCs w:val="20"/>
          <w:shd w:val="clear" w:color="auto" w:fill="FFFFFF"/>
        </w:rPr>
        <w:t>.</w:t>
      </w:r>
    </w:p>
    <w:p w14:paraId="777C6B35" w14:textId="77777777" w:rsidR="00F470D1" w:rsidRPr="00F470D1" w:rsidRDefault="00F470D1" w:rsidP="00F470D1">
      <w:pPr>
        <w:spacing w:after="0"/>
        <w:jc w:val="both"/>
        <w:rPr>
          <w:rFonts w:ascii="Avenir Next LT Pro" w:hAnsi="Avenir Next LT Pro" w:cstheme="minorHAnsi"/>
          <w:sz w:val="20"/>
          <w:szCs w:val="20"/>
        </w:rPr>
      </w:pPr>
    </w:p>
    <w:p w14:paraId="7B29B4F4" w14:textId="77777777" w:rsidR="00F470D1" w:rsidRPr="00F470D1" w:rsidRDefault="00F470D1" w:rsidP="00487A95">
      <w:pPr>
        <w:pStyle w:val="Paragraphedeliste"/>
        <w:numPr>
          <w:ilvl w:val="0"/>
          <w:numId w:val="40"/>
        </w:numPr>
        <w:spacing w:after="0" w:line="240" w:lineRule="auto"/>
        <w:jc w:val="both"/>
        <w:rPr>
          <w:rFonts w:ascii="Avenir Next LT Pro" w:hAnsi="Avenir Next LT Pro" w:cstheme="minorHAnsi"/>
          <w:b/>
          <w:bCs/>
          <w:sz w:val="20"/>
          <w:szCs w:val="20"/>
        </w:rPr>
      </w:pPr>
      <w:r w:rsidRPr="00F470D1">
        <w:rPr>
          <w:rFonts w:ascii="Avenir Next LT Pro" w:hAnsi="Avenir Next LT Pro" w:cstheme="minorHAnsi"/>
          <w:b/>
          <w:bCs/>
          <w:sz w:val="20"/>
          <w:szCs w:val="20"/>
        </w:rPr>
        <w:t xml:space="preserve">Projet Ibi </w:t>
      </w:r>
      <w:proofErr w:type="spellStart"/>
      <w:r w:rsidRPr="00F470D1">
        <w:rPr>
          <w:rFonts w:ascii="Avenir Next LT Pro" w:hAnsi="Avenir Next LT Pro" w:cstheme="minorHAnsi"/>
          <w:b/>
          <w:bCs/>
          <w:sz w:val="20"/>
          <w:szCs w:val="20"/>
        </w:rPr>
        <w:t>Bateké</w:t>
      </w:r>
      <w:proofErr w:type="spellEnd"/>
    </w:p>
    <w:p w14:paraId="0A0FF9A4" w14:textId="77777777" w:rsidR="00F470D1" w:rsidRPr="00F470D1" w:rsidRDefault="00F470D1" w:rsidP="00F470D1">
      <w:pPr>
        <w:spacing w:after="0"/>
        <w:jc w:val="both"/>
        <w:rPr>
          <w:rFonts w:ascii="Avenir Next LT Pro" w:hAnsi="Avenir Next LT Pro" w:cstheme="minorHAnsi"/>
          <w:sz w:val="20"/>
          <w:szCs w:val="20"/>
        </w:rPr>
      </w:pPr>
    </w:p>
    <w:p w14:paraId="21E8CBF1" w14:textId="28F9952F" w:rsidR="00F470D1" w:rsidRPr="00F470D1" w:rsidRDefault="00F470D1" w:rsidP="00F470D1">
      <w:pPr>
        <w:spacing w:after="0"/>
        <w:jc w:val="both"/>
        <w:rPr>
          <w:rFonts w:ascii="Avenir Next LT Pro" w:hAnsi="Avenir Next LT Pro" w:cstheme="minorHAnsi"/>
          <w:spacing w:val="-4"/>
          <w:sz w:val="20"/>
          <w:szCs w:val="20"/>
          <w:shd w:val="clear" w:color="auto" w:fill="FFFFFF"/>
        </w:rPr>
      </w:pPr>
      <w:r w:rsidRPr="00F470D1">
        <w:rPr>
          <w:rFonts w:ascii="Avenir Next LT Pro" w:hAnsi="Avenir Next LT Pro" w:cstheme="minorHAnsi"/>
          <w:sz w:val="20"/>
          <w:szCs w:val="20"/>
        </w:rPr>
        <w:t xml:space="preserve">Ibi </w:t>
      </w:r>
      <w:proofErr w:type="spellStart"/>
      <w:r w:rsidRPr="00F470D1">
        <w:rPr>
          <w:rFonts w:ascii="Avenir Next LT Pro" w:hAnsi="Avenir Next LT Pro" w:cstheme="minorHAnsi"/>
          <w:sz w:val="20"/>
          <w:szCs w:val="20"/>
        </w:rPr>
        <w:t>Bateké</w:t>
      </w:r>
      <w:proofErr w:type="spellEnd"/>
      <w:r w:rsidRPr="00F470D1">
        <w:rPr>
          <w:rFonts w:ascii="Avenir Next LT Pro" w:hAnsi="Avenir Next LT Pro" w:cstheme="minorHAnsi"/>
          <w:sz w:val="20"/>
          <w:szCs w:val="20"/>
        </w:rPr>
        <w:t xml:space="preserve"> est un projet de plantation d’arbres en vue de créer un puit de carbone. Ce projet a été réalisé par la société </w:t>
      </w:r>
      <w:proofErr w:type="spellStart"/>
      <w:r w:rsidRPr="00F470D1">
        <w:rPr>
          <w:rFonts w:ascii="Avenir Next LT Pro" w:hAnsi="Avenir Next LT Pro" w:cstheme="minorHAnsi"/>
          <w:sz w:val="20"/>
          <w:szCs w:val="20"/>
        </w:rPr>
        <w:t>Novacel</w:t>
      </w:r>
      <w:proofErr w:type="spellEnd"/>
      <w:r w:rsidRPr="00F470D1">
        <w:rPr>
          <w:rFonts w:ascii="Avenir Next LT Pro" w:hAnsi="Avenir Next LT Pro" w:cstheme="minorHAnsi"/>
          <w:sz w:val="20"/>
          <w:szCs w:val="20"/>
        </w:rPr>
        <w:t xml:space="preserve"> (Nouvelle Société d’Agriculture, Culture et Élevage).</w:t>
      </w:r>
      <w:r w:rsidR="00F93B01">
        <w:rPr>
          <w:rFonts w:ascii="Avenir Next LT Pro" w:hAnsi="Avenir Next LT Pro" w:cstheme="minorHAnsi"/>
          <w:sz w:val="20"/>
          <w:szCs w:val="20"/>
        </w:rPr>
        <w:t xml:space="preserve"> </w:t>
      </w:r>
      <w:r w:rsidRPr="00F470D1">
        <w:rPr>
          <w:rFonts w:ascii="Avenir Next LT Pro" w:hAnsi="Avenir Next LT Pro" w:cstheme="minorHAnsi"/>
          <w:spacing w:val="-4"/>
          <w:sz w:val="20"/>
          <w:szCs w:val="20"/>
          <w:shd w:val="clear" w:color="auto" w:fill="FFFFFF"/>
        </w:rPr>
        <w:t>Annoncé comme « révolutionnaire » et comme le premier projet MDP  de la République Démocratique du Congo, le projet de plantation d’arbres d’Ibi-Batéké promettait d’utiliser des prêts et des paiements en avance de crédits carbone</w:t>
      </w:r>
      <w:r w:rsidR="004D26B2">
        <w:rPr>
          <w:rFonts w:ascii="Avenir Next LT Pro" w:hAnsi="Avenir Next LT Pro" w:cstheme="minorHAnsi"/>
          <w:spacing w:val="-4"/>
          <w:sz w:val="20"/>
          <w:szCs w:val="20"/>
          <w:shd w:val="clear" w:color="auto" w:fill="FFFFFF"/>
        </w:rPr>
        <w:t>s</w:t>
      </w:r>
      <w:r w:rsidRPr="00F470D1">
        <w:rPr>
          <w:rFonts w:ascii="Avenir Next LT Pro" w:hAnsi="Avenir Next LT Pro" w:cstheme="minorHAnsi"/>
          <w:spacing w:val="-4"/>
          <w:sz w:val="20"/>
          <w:szCs w:val="20"/>
          <w:shd w:val="clear" w:color="auto" w:fill="FFFFFF"/>
        </w:rPr>
        <w:t xml:space="preserve"> pour planter des acacias, des eucalyptus et des pins sur près de 4 000 hectares de savane, et de restaurer 230 hectares en tant que « zone écologique » en y plantant des espèces d’arbres indigènes.  Pres de sept ans plus tard, les arbres plantés seraient coupés et transformés en charbon à vendre sur le très lucratif marché du charbon de la capitale du pays, Kinshasa. Les premières années, avant que la canopée ne se ferme, la vente du manioc planté sous les acacias était une source supplémentaire de revenus. </w:t>
      </w:r>
      <w:proofErr w:type="spellStart"/>
      <w:r w:rsidRPr="00F470D1">
        <w:rPr>
          <w:rFonts w:ascii="Avenir Next LT Pro" w:hAnsi="Avenir Next LT Pro" w:cstheme="minorHAnsi"/>
          <w:spacing w:val="-4"/>
          <w:sz w:val="20"/>
          <w:szCs w:val="20"/>
          <w:shd w:val="clear" w:color="auto" w:fill="FFFFFF"/>
        </w:rPr>
        <w:t>Novacel</w:t>
      </w:r>
      <w:proofErr w:type="spellEnd"/>
      <w:r w:rsidRPr="00F470D1">
        <w:rPr>
          <w:rFonts w:ascii="Avenir Next LT Pro" w:hAnsi="Avenir Next LT Pro" w:cstheme="minorHAnsi"/>
          <w:spacing w:val="-4"/>
          <w:sz w:val="20"/>
          <w:szCs w:val="20"/>
          <w:shd w:val="clear" w:color="auto" w:fill="FFFFFF"/>
        </w:rPr>
        <w:t xml:space="preserve">, espérait que ces trois activités – la vente de charbon, de manioc et de crédits carbone – produirait assez d’argent pour que le projet puisse couvrir ses frais, rembourser les prêts et replanter les arbres qui auraient été coupés pour faire du charbon. </w:t>
      </w:r>
    </w:p>
    <w:p w14:paraId="7AE49B56" w14:textId="77777777" w:rsidR="00F470D1" w:rsidRPr="00F470D1" w:rsidRDefault="00F470D1" w:rsidP="00F470D1">
      <w:pPr>
        <w:spacing w:after="0"/>
        <w:jc w:val="both"/>
        <w:rPr>
          <w:rFonts w:ascii="Avenir Next LT Pro" w:hAnsi="Avenir Next LT Pro" w:cstheme="minorHAnsi"/>
          <w:spacing w:val="-4"/>
          <w:sz w:val="20"/>
          <w:szCs w:val="20"/>
          <w:lang w:val="fr-CD"/>
        </w:rPr>
      </w:pPr>
    </w:p>
    <w:p w14:paraId="2F283AB0" w14:textId="1A696383" w:rsidR="00F470D1" w:rsidRPr="00F470D1" w:rsidRDefault="00F470D1" w:rsidP="00F470D1">
      <w:pPr>
        <w:pStyle w:val="NormalWeb"/>
        <w:shd w:val="clear" w:color="auto" w:fill="FFFFFF"/>
        <w:spacing w:before="0" w:beforeAutospacing="0" w:after="0" w:afterAutospacing="0"/>
        <w:jc w:val="both"/>
        <w:rPr>
          <w:rFonts w:ascii="Avenir Next LT Pro" w:hAnsi="Avenir Next LT Pro" w:cstheme="minorHAnsi"/>
          <w:spacing w:val="-4"/>
          <w:sz w:val="20"/>
          <w:szCs w:val="20"/>
          <w:lang w:val="fr-CD"/>
        </w:rPr>
      </w:pPr>
      <w:r w:rsidRPr="00F470D1">
        <w:rPr>
          <w:rFonts w:ascii="Avenir Next LT Pro" w:hAnsi="Avenir Next LT Pro" w:cstheme="minorHAnsi"/>
          <w:spacing w:val="-4"/>
          <w:sz w:val="20"/>
          <w:szCs w:val="20"/>
          <w:lang w:val="fr-CD"/>
        </w:rPr>
        <w:t xml:space="preserve">Le Fonds </w:t>
      </w:r>
      <w:proofErr w:type="spellStart"/>
      <w:r w:rsidRPr="00F470D1">
        <w:rPr>
          <w:rFonts w:ascii="Avenir Next LT Pro" w:hAnsi="Avenir Next LT Pro" w:cstheme="minorHAnsi"/>
          <w:spacing w:val="-4"/>
          <w:sz w:val="20"/>
          <w:szCs w:val="20"/>
          <w:lang w:val="fr-CD"/>
        </w:rPr>
        <w:t>BioCarbone</w:t>
      </w:r>
      <w:proofErr w:type="spellEnd"/>
      <w:r w:rsidRPr="00F470D1">
        <w:rPr>
          <w:rFonts w:ascii="Avenir Next LT Pro" w:hAnsi="Avenir Next LT Pro" w:cstheme="minorHAnsi"/>
          <w:spacing w:val="-4"/>
          <w:sz w:val="20"/>
          <w:szCs w:val="20"/>
          <w:lang w:val="fr-CD"/>
        </w:rPr>
        <w:t xml:space="preserve"> fut l’un des premiers bailleurs de fonds du projet Ibi-Batéké. En plus de payer une avance pour les crédits carbone</w:t>
      </w:r>
      <w:r w:rsidR="00DE14E1">
        <w:rPr>
          <w:rFonts w:ascii="Avenir Next LT Pro" w:hAnsi="Avenir Next LT Pro" w:cstheme="minorHAnsi"/>
          <w:spacing w:val="-4"/>
          <w:sz w:val="20"/>
          <w:szCs w:val="20"/>
          <w:lang w:val="fr-CD"/>
        </w:rPr>
        <w:t>s</w:t>
      </w:r>
      <w:r w:rsidRPr="00F470D1">
        <w:rPr>
          <w:rFonts w:ascii="Avenir Next LT Pro" w:hAnsi="Avenir Next LT Pro" w:cstheme="minorHAnsi"/>
          <w:spacing w:val="-4"/>
          <w:sz w:val="20"/>
          <w:szCs w:val="20"/>
          <w:lang w:val="fr-CD"/>
        </w:rPr>
        <w:t xml:space="preserve"> qu’il avait promis d’acheter, le Fonds fournit le soutien technique nécessaire pour enregistrer le projet en tant que projet MDP. Un rapport de la Banque mondiale affirme que c’est la présence du Fonds </w:t>
      </w:r>
      <w:proofErr w:type="spellStart"/>
      <w:r w:rsidRPr="00F470D1">
        <w:rPr>
          <w:rFonts w:ascii="Avenir Next LT Pro" w:hAnsi="Avenir Next LT Pro" w:cstheme="minorHAnsi"/>
          <w:spacing w:val="-4"/>
          <w:sz w:val="20"/>
          <w:szCs w:val="20"/>
          <w:lang w:val="fr-CD"/>
        </w:rPr>
        <w:t>BioCarbone</w:t>
      </w:r>
      <w:proofErr w:type="spellEnd"/>
      <w:r w:rsidRPr="00F470D1">
        <w:rPr>
          <w:rFonts w:ascii="Avenir Next LT Pro" w:hAnsi="Avenir Next LT Pro" w:cstheme="minorHAnsi"/>
          <w:spacing w:val="-4"/>
          <w:sz w:val="20"/>
          <w:szCs w:val="20"/>
          <w:lang w:val="fr-CD"/>
        </w:rPr>
        <w:t xml:space="preserve"> parmi les premiers investisseurs qui a poussé la société française </w:t>
      </w:r>
      <w:proofErr w:type="spellStart"/>
      <w:r w:rsidRPr="00F470D1">
        <w:rPr>
          <w:rFonts w:ascii="Avenir Next LT Pro" w:hAnsi="Avenir Next LT Pro" w:cstheme="minorHAnsi"/>
          <w:spacing w:val="-4"/>
          <w:sz w:val="20"/>
          <w:szCs w:val="20"/>
          <w:lang w:val="fr-CD"/>
        </w:rPr>
        <w:t>Orbeo</w:t>
      </w:r>
      <w:proofErr w:type="spellEnd"/>
      <w:r w:rsidRPr="00F470D1">
        <w:rPr>
          <w:rFonts w:ascii="Avenir Next LT Pro" w:hAnsi="Avenir Next LT Pro" w:cstheme="minorHAnsi"/>
          <w:spacing w:val="-4"/>
          <w:sz w:val="20"/>
          <w:szCs w:val="20"/>
          <w:lang w:val="fr-CD"/>
        </w:rPr>
        <w:t xml:space="preserve"> (une joint-venture entre la société chimique Rhodia et la banque française Société Générale qui, depuis, a été achetée par la société belge Solvay Energy Services) à payer une avance pour un volume de crédits carbone</w:t>
      </w:r>
      <w:r w:rsidR="00DE14E1">
        <w:rPr>
          <w:rFonts w:ascii="Avenir Next LT Pro" w:hAnsi="Avenir Next LT Pro" w:cstheme="minorHAnsi"/>
          <w:spacing w:val="-4"/>
          <w:sz w:val="20"/>
          <w:szCs w:val="20"/>
          <w:lang w:val="fr-CD"/>
        </w:rPr>
        <w:t>s</w:t>
      </w:r>
      <w:r w:rsidRPr="00F470D1">
        <w:rPr>
          <w:rFonts w:ascii="Avenir Next LT Pro" w:hAnsi="Avenir Next LT Pro" w:cstheme="minorHAnsi"/>
          <w:spacing w:val="-4"/>
          <w:sz w:val="20"/>
          <w:szCs w:val="20"/>
          <w:lang w:val="fr-CD"/>
        </w:rPr>
        <w:t xml:space="preserve"> équivalent à celui du Fonds </w:t>
      </w:r>
      <w:proofErr w:type="spellStart"/>
      <w:r w:rsidRPr="00F470D1">
        <w:rPr>
          <w:rFonts w:ascii="Avenir Next LT Pro" w:hAnsi="Avenir Next LT Pro" w:cstheme="minorHAnsi"/>
          <w:spacing w:val="-4"/>
          <w:sz w:val="20"/>
          <w:szCs w:val="20"/>
          <w:lang w:val="fr-CD"/>
        </w:rPr>
        <w:t>BioCarbone</w:t>
      </w:r>
      <w:proofErr w:type="spellEnd"/>
      <w:r w:rsidRPr="00F470D1">
        <w:rPr>
          <w:rFonts w:ascii="Avenir Next LT Pro" w:hAnsi="Avenir Next LT Pro" w:cstheme="minorHAnsi"/>
          <w:spacing w:val="-4"/>
          <w:sz w:val="20"/>
          <w:szCs w:val="20"/>
          <w:lang w:val="fr-CD"/>
        </w:rPr>
        <w:t>. Le PNUE a pris en charge une partie des frais de préparation des documents nécessaires pour présenter un projet de compensation de carbone. Deux sociétés françaises, UMICORE du secteur minier et Suez du secteur énergétique, auraient approuvé des prêts sur 7 ans de 250 000 euros chacun (la vente du charbon était censée générer des revenus à partir de la 7e année, permettant alors le remboursement de ces prêts). Plusieurs rapports signalent aussi que deux particuliers ont investi un total de 550 000 euros dans le projet.</w:t>
      </w:r>
    </w:p>
    <w:p w14:paraId="356042F0" w14:textId="77777777" w:rsidR="00F470D1" w:rsidRPr="00F470D1" w:rsidRDefault="00F470D1" w:rsidP="00F470D1">
      <w:pPr>
        <w:pStyle w:val="NormalWeb"/>
        <w:shd w:val="clear" w:color="auto" w:fill="FFFFFF"/>
        <w:spacing w:before="0" w:beforeAutospacing="0" w:after="0" w:afterAutospacing="0"/>
        <w:jc w:val="both"/>
        <w:rPr>
          <w:rFonts w:ascii="Avenir Next LT Pro" w:hAnsi="Avenir Next LT Pro" w:cstheme="minorHAnsi"/>
          <w:spacing w:val="-4"/>
          <w:sz w:val="20"/>
          <w:szCs w:val="20"/>
          <w:lang w:val="fr-CD"/>
        </w:rPr>
      </w:pPr>
    </w:p>
    <w:p w14:paraId="48F4B23A" w14:textId="136F884A" w:rsidR="00F470D1" w:rsidRPr="00F470D1" w:rsidRDefault="00F470D1" w:rsidP="00F470D1">
      <w:pPr>
        <w:pStyle w:val="NormalWeb"/>
        <w:shd w:val="clear" w:color="auto" w:fill="FFFFFF"/>
        <w:spacing w:before="0" w:beforeAutospacing="0" w:after="0" w:afterAutospacing="0"/>
        <w:jc w:val="both"/>
        <w:rPr>
          <w:rFonts w:ascii="Avenir Next LT Pro" w:hAnsi="Avenir Next LT Pro" w:cstheme="minorHAnsi"/>
          <w:spacing w:val="-4"/>
          <w:sz w:val="20"/>
          <w:szCs w:val="20"/>
          <w:lang w:val="fr-CD"/>
        </w:rPr>
      </w:pPr>
      <w:r w:rsidRPr="00F470D1">
        <w:rPr>
          <w:rFonts w:ascii="Avenir Next LT Pro" w:hAnsi="Avenir Next LT Pro" w:cstheme="minorHAnsi"/>
          <w:spacing w:val="-4"/>
          <w:sz w:val="20"/>
          <w:szCs w:val="20"/>
          <w:lang w:val="fr-CD"/>
        </w:rPr>
        <w:t xml:space="preserve">En 2012, le Fonds </w:t>
      </w:r>
      <w:proofErr w:type="spellStart"/>
      <w:r w:rsidRPr="00F470D1">
        <w:rPr>
          <w:rFonts w:ascii="Avenir Next LT Pro" w:hAnsi="Avenir Next LT Pro" w:cstheme="minorHAnsi"/>
          <w:spacing w:val="-4"/>
          <w:sz w:val="20"/>
          <w:szCs w:val="20"/>
          <w:lang w:val="fr-CD"/>
        </w:rPr>
        <w:t>BioCarbone</w:t>
      </w:r>
      <w:proofErr w:type="spellEnd"/>
      <w:r w:rsidRPr="00F470D1">
        <w:rPr>
          <w:rFonts w:ascii="Avenir Next LT Pro" w:hAnsi="Avenir Next LT Pro" w:cstheme="minorHAnsi"/>
          <w:spacing w:val="-4"/>
          <w:sz w:val="20"/>
          <w:szCs w:val="20"/>
          <w:lang w:val="fr-CD"/>
        </w:rPr>
        <w:t xml:space="preserve"> a considérablement réduit le nombre de crédits carbone</w:t>
      </w:r>
      <w:r w:rsidR="00DE14E1">
        <w:rPr>
          <w:rFonts w:ascii="Avenir Next LT Pro" w:hAnsi="Avenir Next LT Pro" w:cstheme="minorHAnsi"/>
          <w:spacing w:val="-4"/>
          <w:sz w:val="20"/>
          <w:szCs w:val="20"/>
          <w:lang w:val="fr-CD"/>
        </w:rPr>
        <w:t>s</w:t>
      </w:r>
      <w:r w:rsidRPr="00F470D1">
        <w:rPr>
          <w:rFonts w:ascii="Avenir Next LT Pro" w:hAnsi="Avenir Next LT Pro" w:cstheme="minorHAnsi"/>
          <w:spacing w:val="-4"/>
          <w:sz w:val="20"/>
          <w:szCs w:val="20"/>
          <w:lang w:val="fr-CD"/>
        </w:rPr>
        <w:t xml:space="preserve"> qu’il allait acheter au projet Ibi-Batéké, et les 500 000 crédits </w:t>
      </w:r>
      <w:r w:rsidR="00EC3D3C">
        <w:rPr>
          <w:rFonts w:ascii="Avenir Next LT Pro" w:hAnsi="Avenir Next LT Pro" w:cstheme="minorHAnsi"/>
          <w:spacing w:val="-4"/>
          <w:sz w:val="20"/>
          <w:szCs w:val="20"/>
          <w:lang w:val="fr-CD"/>
        </w:rPr>
        <w:t xml:space="preserve">carbones </w:t>
      </w:r>
      <w:r w:rsidRPr="00F470D1">
        <w:rPr>
          <w:rFonts w:ascii="Avenir Next LT Pro" w:hAnsi="Avenir Next LT Pro" w:cstheme="minorHAnsi"/>
          <w:spacing w:val="-4"/>
          <w:sz w:val="20"/>
          <w:szCs w:val="20"/>
          <w:lang w:val="fr-CD"/>
        </w:rPr>
        <w:t xml:space="preserve">annoncés sont devenus 80 000. La société française </w:t>
      </w:r>
      <w:proofErr w:type="spellStart"/>
      <w:r w:rsidRPr="00F470D1">
        <w:rPr>
          <w:rFonts w:ascii="Avenir Next LT Pro" w:hAnsi="Avenir Next LT Pro" w:cstheme="minorHAnsi"/>
          <w:spacing w:val="-4"/>
          <w:sz w:val="20"/>
          <w:szCs w:val="20"/>
          <w:lang w:val="fr-CD"/>
        </w:rPr>
        <w:t>Orbeo</w:t>
      </w:r>
      <w:proofErr w:type="spellEnd"/>
      <w:r w:rsidRPr="00F470D1">
        <w:rPr>
          <w:rFonts w:ascii="Avenir Next LT Pro" w:hAnsi="Avenir Next LT Pro" w:cstheme="minorHAnsi"/>
          <w:spacing w:val="-4"/>
          <w:sz w:val="20"/>
          <w:szCs w:val="20"/>
          <w:lang w:val="fr-CD"/>
        </w:rPr>
        <w:t xml:space="preserve"> a décidé de faire comme le Fonds </w:t>
      </w:r>
      <w:proofErr w:type="spellStart"/>
      <w:r w:rsidRPr="00F470D1">
        <w:rPr>
          <w:rFonts w:ascii="Avenir Next LT Pro" w:hAnsi="Avenir Next LT Pro" w:cstheme="minorHAnsi"/>
          <w:spacing w:val="-4"/>
          <w:sz w:val="20"/>
          <w:szCs w:val="20"/>
          <w:lang w:val="fr-CD"/>
        </w:rPr>
        <w:t>BioCarbone</w:t>
      </w:r>
      <w:proofErr w:type="spellEnd"/>
      <w:r w:rsidRPr="00F470D1">
        <w:rPr>
          <w:rFonts w:ascii="Avenir Next LT Pro" w:hAnsi="Avenir Next LT Pro" w:cstheme="minorHAnsi"/>
          <w:spacing w:val="-4"/>
          <w:sz w:val="20"/>
          <w:szCs w:val="20"/>
          <w:lang w:val="fr-CD"/>
        </w:rPr>
        <w:t xml:space="preserve"> et de n’acheter que 80 000 crédits également. Les crédits carbone qu’</w:t>
      </w:r>
      <w:proofErr w:type="spellStart"/>
      <w:r w:rsidRPr="00F470D1">
        <w:rPr>
          <w:rFonts w:ascii="Avenir Next LT Pro" w:hAnsi="Avenir Next LT Pro" w:cstheme="minorHAnsi"/>
          <w:spacing w:val="-4"/>
          <w:sz w:val="20"/>
          <w:szCs w:val="20"/>
          <w:lang w:val="fr-CD"/>
        </w:rPr>
        <w:t>Orbeo</w:t>
      </w:r>
      <w:proofErr w:type="spellEnd"/>
      <w:r w:rsidRPr="00F470D1">
        <w:rPr>
          <w:rFonts w:ascii="Avenir Next LT Pro" w:hAnsi="Avenir Next LT Pro" w:cstheme="minorHAnsi"/>
          <w:spacing w:val="-4"/>
          <w:sz w:val="20"/>
          <w:szCs w:val="20"/>
          <w:lang w:val="fr-CD"/>
        </w:rPr>
        <w:t xml:space="preserve"> et le Fonds </w:t>
      </w:r>
      <w:proofErr w:type="spellStart"/>
      <w:r w:rsidRPr="00F470D1">
        <w:rPr>
          <w:rFonts w:ascii="Avenir Next LT Pro" w:hAnsi="Avenir Next LT Pro" w:cstheme="minorHAnsi"/>
          <w:spacing w:val="-4"/>
          <w:sz w:val="20"/>
          <w:szCs w:val="20"/>
          <w:lang w:val="fr-CD"/>
        </w:rPr>
        <w:t>BioCarbone</w:t>
      </w:r>
      <w:proofErr w:type="spellEnd"/>
      <w:r w:rsidRPr="00F470D1">
        <w:rPr>
          <w:rFonts w:ascii="Avenir Next LT Pro" w:hAnsi="Avenir Next LT Pro" w:cstheme="minorHAnsi"/>
          <w:spacing w:val="-4"/>
          <w:sz w:val="20"/>
          <w:szCs w:val="20"/>
          <w:lang w:val="fr-CD"/>
        </w:rPr>
        <w:t xml:space="preserve"> ont été achetés à 4 USD la tonne chacun et ont été livrés en 2017.</w:t>
      </w:r>
    </w:p>
    <w:p w14:paraId="6E662805" w14:textId="77777777" w:rsidR="00F470D1" w:rsidRPr="00F470D1" w:rsidRDefault="00F470D1" w:rsidP="00F470D1">
      <w:pPr>
        <w:pStyle w:val="NormalWeb"/>
        <w:shd w:val="clear" w:color="auto" w:fill="FFFFFF"/>
        <w:spacing w:before="0" w:beforeAutospacing="0" w:after="0" w:afterAutospacing="0"/>
        <w:jc w:val="both"/>
        <w:rPr>
          <w:rFonts w:ascii="Avenir Next LT Pro" w:hAnsi="Avenir Next LT Pro" w:cstheme="minorHAnsi"/>
          <w:spacing w:val="-4"/>
          <w:sz w:val="20"/>
          <w:szCs w:val="20"/>
          <w:lang w:val="fr-CD"/>
        </w:rPr>
      </w:pPr>
    </w:p>
    <w:p w14:paraId="601A368F" w14:textId="77777777" w:rsidR="00F470D1" w:rsidRPr="00F470D1" w:rsidRDefault="00F470D1" w:rsidP="00F470D1">
      <w:pPr>
        <w:pStyle w:val="NormalWeb"/>
        <w:shd w:val="clear" w:color="auto" w:fill="FFFFFF"/>
        <w:spacing w:before="0" w:beforeAutospacing="0" w:after="0" w:afterAutospacing="0"/>
        <w:jc w:val="both"/>
        <w:rPr>
          <w:rFonts w:ascii="Avenir Next LT Pro" w:hAnsi="Avenir Next LT Pro" w:cstheme="minorHAnsi"/>
          <w:spacing w:val="-4"/>
          <w:sz w:val="20"/>
          <w:szCs w:val="20"/>
          <w:lang w:val="fr-CD"/>
        </w:rPr>
      </w:pPr>
      <w:r w:rsidRPr="00F470D1">
        <w:rPr>
          <w:rFonts w:ascii="Avenir Next LT Pro" w:hAnsi="Avenir Next LT Pro" w:cstheme="minorHAnsi"/>
          <w:spacing w:val="-4"/>
          <w:sz w:val="20"/>
          <w:szCs w:val="20"/>
          <w:lang w:val="fr-CD"/>
        </w:rPr>
        <w:t xml:space="preserve">Bien que la Banque mondiale et </w:t>
      </w:r>
      <w:proofErr w:type="spellStart"/>
      <w:r w:rsidRPr="00F470D1">
        <w:rPr>
          <w:rFonts w:ascii="Avenir Next LT Pro" w:hAnsi="Avenir Next LT Pro" w:cstheme="minorHAnsi"/>
          <w:spacing w:val="-4"/>
          <w:sz w:val="20"/>
          <w:szCs w:val="20"/>
          <w:lang w:val="fr-CD"/>
        </w:rPr>
        <w:t>Orbeo</w:t>
      </w:r>
      <w:proofErr w:type="spellEnd"/>
      <w:r w:rsidRPr="00F470D1">
        <w:rPr>
          <w:rFonts w:ascii="Avenir Next LT Pro" w:hAnsi="Avenir Next LT Pro" w:cstheme="minorHAnsi"/>
          <w:spacing w:val="-4"/>
          <w:sz w:val="20"/>
          <w:szCs w:val="20"/>
          <w:lang w:val="fr-CD"/>
        </w:rPr>
        <w:t xml:space="preserve"> aient diminué le nombre de crédits acheter, </w:t>
      </w:r>
      <w:proofErr w:type="spellStart"/>
      <w:r w:rsidRPr="00F470D1">
        <w:rPr>
          <w:rFonts w:ascii="Avenir Next LT Pro" w:hAnsi="Avenir Next LT Pro" w:cstheme="minorHAnsi"/>
          <w:spacing w:val="-4"/>
          <w:sz w:val="20"/>
          <w:szCs w:val="20"/>
          <w:lang w:val="fr-CD"/>
        </w:rPr>
        <w:t>Novacel</w:t>
      </w:r>
      <w:proofErr w:type="spellEnd"/>
      <w:r w:rsidRPr="00F470D1">
        <w:rPr>
          <w:rFonts w:ascii="Avenir Next LT Pro" w:hAnsi="Avenir Next LT Pro" w:cstheme="minorHAnsi"/>
          <w:spacing w:val="-4"/>
          <w:sz w:val="20"/>
          <w:szCs w:val="20"/>
          <w:lang w:val="fr-CD"/>
        </w:rPr>
        <w:t xml:space="preserve"> a eu accès à au moins 1,5 million USD de financement extérieur, plus le soutien technique et financier du PNUE et du Fonds </w:t>
      </w:r>
      <w:proofErr w:type="spellStart"/>
      <w:r w:rsidRPr="00F470D1">
        <w:rPr>
          <w:rFonts w:ascii="Avenir Next LT Pro" w:hAnsi="Avenir Next LT Pro" w:cstheme="minorHAnsi"/>
          <w:spacing w:val="-4"/>
          <w:sz w:val="20"/>
          <w:szCs w:val="20"/>
          <w:lang w:val="fr-CD"/>
        </w:rPr>
        <w:t>BioCarbone</w:t>
      </w:r>
      <w:proofErr w:type="spellEnd"/>
      <w:r w:rsidRPr="00F470D1">
        <w:rPr>
          <w:rFonts w:ascii="Avenir Next LT Pro" w:hAnsi="Avenir Next LT Pro" w:cstheme="minorHAnsi"/>
          <w:spacing w:val="-4"/>
          <w:sz w:val="20"/>
          <w:szCs w:val="20"/>
          <w:lang w:val="fr-CD"/>
        </w:rPr>
        <w:t xml:space="preserve"> pour la préparation des documents du projet et de la plantation. Pourtant, l’entreprise n’avait planté que 1 012,42 hectares en mai 2013, et depuis cette date aucune information sur la superficie plantée n’a été publiée.</w:t>
      </w:r>
    </w:p>
    <w:p w14:paraId="68ABF7C5" w14:textId="77777777" w:rsidR="00F470D1" w:rsidRPr="00F470D1" w:rsidRDefault="00F470D1" w:rsidP="00F470D1">
      <w:pPr>
        <w:pStyle w:val="NormalWeb"/>
        <w:shd w:val="clear" w:color="auto" w:fill="FFFFFF"/>
        <w:spacing w:before="0" w:beforeAutospacing="0" w:after="0" w:afterAutospacing="0"/>
        <w:jc w:val="both"/>
        <w:rPr>
          <w:rFonts w:ascii="Avenir Next LT Pro" w:hAnsi="Avenir Next LT Pro" w:cstheme="minorHAnsi"/>
          <w:spacing w:val="-4"/>
          <w:sz w:val="20"/>
          <w:szCs w:val="20"/>
          <w:lang w:val="fr-CD"/>
        </w:rPr>
      </w:pPr>
    </w:p>
    <w:p w14:paraId="284D2905" w14:textId="77777777" w:rsidR="00F470D1" w:rsidRPr="00F470D1" w:rsidRDefault="00F470D1" w:rsidP="00F470D1">
      <w:pPr>
        <w:spacing w:after="0"/>
        <w:jc w:val="both"/>
        <w:rPr>
          <w:rFonts w:ascii="Avenir Next LT Pro" w:hAnsi="Avenir Next LT Pro" w:cstheme="minorHAnsi"/>
          <w:sz w:val="20"/>
          <w:szCs w:val="20"/>
        </w:rPr>
      </w:pPr>
      <w:r w:rsidRPr="00F470D1">
        <w:rPr>
          <w:rFonts w:ascii="Avenir Next LT Pro" w:hAnsi="Avenir Next LT Pro" w:cstheme="minorHAnsi"/>
          <w:spacing w:val="-4"/>
          <w:sz w:val="20"/>
          <w:szCs w:val="20"/>
          <w:shd w:val="clear" w:color="auto" w:fill="FFFFFF"/>
        </w:rPr>
        <w:t>Le projet d’Ibi-Batéké est enregistré comme projet MDP depuis 2011 mais aucun crédit carbone ne lui a été attribué à ce jour. En décembre 2016, la base de données du MDP ne donnait aucune indication sur la date d’une inspection prévue pour 2017</w:t>
      </w:r>
      <w:r w:rsidRPr="00F470D1">
        <w:rPr>
          <w:rStyle w:val="Appelnotedebasdep"/>
          <w:rFonts w:ascii="Avenir Next LT Pro" w:hAnsi="Avenir Next LT Pro" w:cstheme="minorHAnsi"/>
          <w:spacing w:val="-4"/>
          <w:sz w:val="20"/>
          <w:szCs w:val="20"/>
          <w:shd w:val="clear" w:color="auto" w:fill="FFFFFF"/>
        </w:rPr>
        <w:footnoteReference w:id="11"/>
      </w:r>
      <w:r w:rsidRPr="00F470D1">
        <w:rPr>
          <w:rFonts w:ascii="Avenir Next LT Pro" w:hAnsi="Avenir Next LT Pro" w:cstheme="minorHAnsi"/>
          <w:spacing w:val="-4"/>
          <w:sz w:val="20"/>
          <w:szCs w:val="20"/>
          <w:shd w:val="clear" w:color="auto" w:fill="FFFFFF"/>
        </w:rPr>
        <w:t>. </w:t>
      </w:r>
    </w:p>
    <w:p w14:paraId="3C93A79C" w14:textId="77777777" w:rsidR="00F470D1" w:rsidRDefault="00F470D1" w:rsidP="004A161E">
      <w:pPr>
        <w:jc w:val="both"/>
        <w:rPr>
          <w:rFonts w:ascii="Avenir Next LT Pro" w:hAnsi="Avenir Next LT Pro"/>
          <w:color w:val="3E762A" w:themeColor="accent1" w:themeShade="BF"/>
          <w:sz w:val="20"/>
          <w:szCs w:val="20"/>
          <w:lang w:eastAsia="fr-FR"/>
        </w:rPr>
      </w:pPr>
    </w:p>
    <w:p w14:paraId="1A680D70" w14:textId="295D4456" w:rsidR="00E4382F" w:rsidRPr="00C345C4" w:rsidRDefault="008C0055" w:rsidP="000E7FF0">
      <w:pPr>
        <w:pStyle w:val="Titre2"/>
        <w:rPr>
          <w:rFonts w:ascii="Avenir Next LT Pro" w:hAnsi="Avenir Next LT Pro"/>
        </w:rPr>
      </w:pPr>
      <w:bookmarkStart w:id="13" w:name="_Toc163230365"/>
      <w:r w:rsidRPr="00C345C4">
        <w:rPr>
          <w:rFonts w:ascii="Avenir Next LT Pro" w:hAnsi="Avenir Next LT Pro"/>
        </w:rPr>
        <w:t xml:space="preserve">Stratégie </w:t>
      </w:r>
      <w:r w:rsidR="00495AA4" w:rsidRPr="00C345C4">
        <w:rPr>
          <w:rFonts w:ascii="Avenir Next LT Pro" w:hAnsi="Avenir Next LT Pro"/>
        </w:rPr>
        <w:t>d’intervention</w:t>
      </w:r>
      <w:bookmarkEnd w:id="13"/>
      <w:r w:rsidR="00495AA4" w:rsidRPr="00C345C4">
        <w:rPr>
          <w:rFonts w:ascii="Avenir Next LT Pro" w:hAnsi="Avenir Next LT Pro"/>
        </w:rPr>
        <w:t xml:space="preserve"> </w:t>
      </w:r>
    </w:p>
    <w:p w14:paraId="44A43639" w14:textId="77777777" w:rsidR="00970BBD" w:rsidRDefault="00970BBD" w:rsidP="00BE6CCB">
      <w:pPr>
        <w:pStyle w:val="Titre2"/>
        <w:numPr>
          <w:ilvl w:val="0"/>
          <w:numId w:val="0"/>
        </w:numPr>
        <w:spacing w:after="0"/>
        <w:rPr>
          <w:rFonts w:ascii="Avenir Next LT Pro" w:hAnsi="Avenir Next LT Pro" w:cstheme="minorHAnsi"/>
          <w:u w:val="single"/>
        </w:rPr>
      </w:pPr>
      <w:bookmarkStart w:id="14" w:name="_Toc159847000"/>
    </w:p>
    <w:p w14:paraId="3D2C0A5A" w14:textId="5078C82D" w:rsidR="00BE6CCB" w:rsidRPr="00AD69AF" w:rsidRDefault="00BE6CCB" w:rsidP="00BE6CCB">
      <w:pPr>
        <w:pStyle w:val="Titre2"/>
        <w:numPr>
          <w:ilvl w:val="0"/>
          <w:numId w:val="0"/>
        </w:numPr>
        <w:spacing w:after="0"/>
        <w:rPr>
          <w:rFonts w:ascii="Avenir Next LT Pro" w:hAnsi="Avenir Next LT Pro" w:cstheme="minorHAnsi"/>
          <w:u w:val="single"/>
        </w:rPr>
      </w:pPr>
      <w:r w:rsidRPr="00AD69AF">
        <w:rPr>
          <w:rFonts w:ascii="Avenir Next LT Pro" w:hAnsi="Avenir Next LT Pro" w:cstheme="minorHAnsi"/>
          <w:u w:val="single"/>
        </w:rPr>
        <w:t>Justification de la stratégie retenue :</w:t>
      </w:r>
      <w:bookmarkEnd w:id="14"/>
    </w:p>
    <w:p w14:paraId="5D95E9EC" w14:textId="77777777" w:rsidR="00BE6CCB" w:rsidRPr="00BE6CCB" w:rsidRDefault="00BE6CCB" w:rsidP="00BE6CCB">
      <w:pPr>
        <w:spacing w:after="0"/>
        <w:jc w:val="both"/>
        <w:rPr>
          <w:rFonts w:ascii="Avenir Next LT Pro" w:hAnsi="Avenir Next LT Pro" w:cstheme="minorHAnsi"/>
          <w:sz w:val="20"/>
          <w:szCs w:val="20"/>
        </w:rPr>
      </w:pPr>
    </w:p>
    <w:p w14:paraId="5B3BEAA9" w14:textId="77777777" w:rsidR="00BE6CCB" w:rsidRPr="00BE6CCB" w:rsidRDefault="00BE6CCB" w:rsidP="00BE6CCB">
      <w:pPr>
        <w:spacing w:after="0"/>
        <w:jc w:val="both"/>
        <w:rPr>
          <w:rFonts w:ascii="Avenir Next LT Pro" w:hAnsi="Avenir Next LT Pro" w:cs="Calibri"/>
          <w:sz w:val="20"/>
          <w:szCs w:val="20"/>
        </w:rPr>
      </w:pPr>
      <w:r w:rsidRPr="00BE6CCB">
        <w:rPr>
          <w:rFonts w:ascii="Avenir Next LT Pro" w:hAnsi="Avenir Next LT Pro" w:cs="Calibri"/>
          <w:sz w:val="20"/>
          <w:szCs w:val="20"/>
        </w:rPr>
        <w:t xml:space="preserve">La justification de la stratégie retenue peut être perçue sous les quatre angles suivants : </w:t>
      </w:r>
    </w:p>
    <w:p w14:paraId="24A62CC3" w14:textId="77777777" w:rsidR="00BE6CCB" w:rsidRPr="00BE6CCB" w:rsidRDefault="00BE6CCB" w:rsidP="00BE6CCB">
      <w:pPr>
        <w:spacing w:after="0"/>
        <w:ind w:left="22" w:hanging="22"/>
        <w:jc w:val="both"/>
        <w:rPr>
          <w:rFonts w:ascii="Avenir Next LT Pro" w:hAnsi="Avenir Next LT Pro" w:cs="Calibri"/>
          <w:b/>
          <w:bCs/>
          <w:sz w:val="20"/>
          <w:szCs w:val="20"/>
        </w:rPr>
      </w:pPr>
    </w:p>
    <w:p w14:paraId="161006BD" w14:textId="03497C02" w:rsidR="00BE6CCB" w:rsidRPr="00BE6CCB" w:rsidRDefault="00BE6CCB" w:rsidP="00BE6CCB">
      <w:pPr>
        <w:spacing w:after="0"/>
        <w:ind w:left="22" w:hanging="22"/>
        <w:jc w:val="both"/>
        <w:rPr>
          <w:rFonts w:ascii="Avenir Next LT Pro" w:hAnsi="Avenir Next LT Pro" w:cs="Calibri"/>
          <w:sz w:val="20"/>
          <w:szCs w:val="20"/>
        </w:rPr>
      </w:pPr>
      <w:r w:rsidRPr="00BE6CCB">
        <w:rPr>
          <w:rFonts w:ascii="Avenir Next LT Pro" w:hAnsi="Avenir Next LT Pro" w:cs="Calibri"/>
          <w:b/>
          <w:bCs/>
          <w:sz w:val="20"/>
          <w:szCs w:val="20"/>
        </w:rPr>
        <w:t>Cadre règlementaire et institutionnel</w:t>
      </w:r>
      <w:r w:rsidRPr="00BE6CCB">
        <w:rPr>
          <w:rFonts w:ascii="Avenir Next LT Pro" w:hAnsi="Avenir Next LT Pro" w:cs="Calibri"/>
          <w:sz w:val="20"/>
          <w:szCs w:val="20"/>
        </w:rPr>
        <w:t xml:space="preserve"> : Il convient ici de noter que la Loi portant principes fondamentaux relatifs à la protection de l’environnement a été récemment modifiée et complétée par l’Ordonnance-loi n° 23/007 du 03 mars 2023. Cette Ordonnance-loi a en plus de reconfigurer les attributions du </w:t>
      </w:r>
      <w:r w:rsidRPr="00BE6CCB">
        <w:rPr>
          <w:rFonts w:ascii="Avenir Next LT Pro" w:hAnsi="Avenir Next LT Pro" w:cs="Calibri"/>
          <w:b/>
          <w:bCs/>
          <w:i/>
          <w:iCs/>
          <w:sz w:val="20"/>
          <w:szCs w:val="20"/>
        </w:rPr>
        <w:t>Conseil National de l’Environnement et du Développement Durable (CNEDD)</w:t>
      </w:r>
      <w:r w:rsidRPr="00BE6CCB">
        <w:rPr>
          <w:rFonts w:ascii="Avenir Next LT Pro" w:hAnsi="Avenir Next LT Pro" w:cs="Calibri"/>
          <w:sz w:val="20"/>
          <w:szCs w:val="20"/>
        </w:rPr>
        <w:t>, établie l’</w:t>
      </w:r>
      <w:r w:rsidRPr="00BE6CCB">
        <w:rPr>
          <w:rFonts w:ascii="Avenir Next LT Pro" w:hAnsi="Avenir Next LT Pro" w:cs="Calibri"/>
          <w:b/>
          <w:bCs/>
          <w:i/>
          <w:iCs/>
          <w:sz w:val="20"/>
          <w:szCs w:val="20"/>
        </w:rPr>
        <w:t xml:space="preserve">Autorité de Régulation </w:t>
      </w:r>
      <w:r w:rsidR="00DF4E0A">
        <w:rPr>
          <w:rFonts w:ascii="Avenir Next LT Pro" w:hAnsi="Avenir Next LT Pro" w:cs="Calibri"/>
          <w:b/>
          <w:bCs/>
          <w:i/>
          <w:iCs/>
          <w:sz w:val="20"/>
          <w:szCs w:val="20"/>
        </w:rPr>
        <w:t>du</w:t>
      </w:r>
      <w:r w:rsidR="00DF4E0A" w:rsidRPr="00BE6CCB">
        <w:rPr>
          <w:rFonts w:ascii="Avenir Next LT Pro" w:hAnsi="Avenir Next LT Pro" w:cs="Calibri"/>
          <w:b/>
          <w:bCs/>
          <w:i/>
          <w:iCs/>
          <w:sz w:val="20"/>
          <w:szCs w:val="20"/>
        </w:rPr>
        <w:t xml:space="preserve"> </w:t>
      </w:r>
      <w:r w:rsidRPr="00BE6CCB">
        <w:rPr>
          <w:rFonts w:ascii="Avenir Next LT Pro" w:hAnsi="Avenir Next LT Pro" w:cs="Calibri"/>
          <w:b/>
          <w:bCs/>
          <w:i/>
          <w:iCs/>
          <w:sz w:val="20"/>
          <w:szCs w:val="20"/>
        </w:rPr>
        <w:t xml:space="preserve">Marché </w:t>
      </w:r>
      <w:r w:rsidR="00DF4E0A">
        <w:rPr>
          <w:rFonts w:ascii="Avenir Next LT Pro" w:hAnsi="Avenir Next LT Pro" w:cs="Calibri"/>
          <w:b/>
          <w:bCs/>
          <w:i/>
          <w:iCs/>
          <w:sz w:val="20"/>
          <w:szCs w:val="20"/>
        </w:rPr>
        <w:t>de</w:t>
      </w:r>
      <w:r w:rsidRPr="00BE6CCB">
        <w:rPr>
          <w:rFonts w:ascii="Avenir Next LT Pro" w:hAnsi="Avenir Next LT Pro" w:cs="Calibri"/>
          <w:b/>
          <w:bCs/>
          <w:i/>
          <w:iCs/>
          <w:sz w:val="20"/>
          <w:szCs w:val="20"/>
        </w:rPr>
        <w:t xml:space="preserve"> Carbone (ARMCA)</w:t>
      </w:r>
      <w:r w:rsidRPr="00BE6CCB">
        <w:rPr>
          <w:rFonts w:ascii="Avenir Next LT Pro" w:hAnsi="Avenir Next LT Pro" w:cs="Calibri"/>
          <w:sz w:val="20"/>
          <w:szCs w:val="20"/>
        </w:rPr>
        <w:t xml:space="preserve">. Il s’agira dans le cadre du Projet de contribuer à l’opérationnalisation effective de ces institutions ayant en charge l’organisation et la gestion des marchés du carbone et de la CDN en RDC. </w:t>
      </w:r>
    </w:p>
    <w:p w14:paraId="7FDF4896" w14:textId="77777777" w:rsidR="00BE6CCB" w:rsidRPr="00BE6CCB" w:rsidRDefault="00BE6CCB" w:rsidP="00BE6CCB">
      <w:pPr>
        <w:spacing w:after="0"/>
        <w:ind w:left="22" w:hanging="22"/>
        <w:jc w:val="both"/>
        <w:rPr>
          <w:rFonts w:ascii="Avenir Next LT Pro" w:hAnsi="Avenir Next LT Pro" w:cs="Calibri"/>
          <w:sz w:val="20"/>
          <w:szCs w:val="20"/>
        </w:rPr>
      </w:pPr>
    </w:p>
    <w:p w14:paraId="33F0B115" w14:textId="77777777" w:rsidR="00BE6CCB" w:rsidRPr="00BE6CCB" w:rsidRDefault="00BE6CCB" w:rsidP="00BE6CCB">
      <w:pPr>
        <w:spacing w:after="0"/>
        <w:ind w:left="22" w:hanging="22"/>
        <w:jc w:val="both"/>
        <w:rPr>
          <w:rFonts w:ascii="Avenir Next LT Pro" w:hAnsi="Avenir Next LT Pro" w:cs="Calibri"/>
          <w:sz w:val="20"/>
          <w:szCs w:val="20"/>
        </w:rPr>
      </w:pPr>
      <w:r w:rsidRPr="00BE6CCB">
        <w:rPr>
          <w:rFonts w:ascii="Avenir Next LT Pro" w:hAnsi="Avenir Next LT Pro" w:cs="Calibri"/>
          <w:sz w:val="20"/>
          <w:szCs w:val="20"/>
        </w:rPr>
        <w:t xml:space="preserve">En ce qui concerne la CNEDD, sa composition, son organisation et son fonctionnement restent encore à fixer par décret du Premier Ministre, qui n’est pas encore pris jusqu’à ce jour. Ce qui rend ce décor institutionnel incomplet, pour mieux avancer en matière d’atténuation, d’adaptation et de mise en œuvre de la CDN. Une fois opérationnelle, la CNEDD servira de plateforme de coordination intersectorielle pour une mise en œuvre harmonieuse et coordonnée de la CDN qui fait actuellement défaut. </w:t>
      </w:r>
    </w:p>
    <w:p w14:paraId="33C63F95" w14:textId="77777777" w:rsidR="00BE6CCB" w:rsidRPr="00BE6CCB" w:rsidRDefault="00BE6CCB" w:rsidP="00BE6CCB">
      <w:pPr>
        <w:spacing w:after="0"/>
        <w:ind w:left="22" w:hanging="22"/>
        <w:jc w:val="both"/>
        <w:rPr>
          <w:rFonts w:ascii="Avenir Next LT Pro" w:hAnsi="Avenir Next LT Pro" w:cs="Calibri"/>
          <w:sz w:val="20"/>
          <w:szCs w:val="20"/>
        </w:rPr>
      </w:pPr>
    </w:p>
    <w:p w14:paraId="5781FF82" w14:textId="77777777" w:rsidR="00BE6CCB" w:rsidRPr="00BE6CCB" w:rsidRDefault="00BE6CCB" w:rsidP="00BE6CCB">
      <w:pPr>
        <w:spacing w:after="0"/>
        <w:ind w:left="22" w:hanging="22"/>
        <w:jc w:val="both"/>
        <w:rPr>
          <w:rFonts w:ascii="Avenir Next LT Pro" w:hAnsi="Avenir Next LT Pro" w:cs="Calibri"/>
          <w:sz w:val="20"/>
          <w:szCs w:val="20"/>
        </w:rPr>
      </w:pPr>
      <w:r w:rsidRPr="00BE6CCB">
        <w:rPr>
          <w:rFonts w:ascii="Avenir Next LT Pro" w:hAnsi="Avenir Next LT Pro" w:cs="Calibri"/>
          <w:sz w:val="20"/>
          <w:szCs w:val="20"/>
        </w:rPr>
        <w:t xml:space="preserve">En ce qui concerne l’ARMCA, son organisation et fonctionnement ont été fixés par le Décret du Premier Ministre n°23/22 du 14 juin 2023. Il s’agit également dans le cadre de ce Projet de la rendre effectivement opérationnelle. Ce qui permettra ainsi à la RDC de se déployer vigoureusement sur les marchés de conformité tout en renforçant son spectre d’action sur les marchés volontaires du carbone. </w:t>
      </w:r>
    </w:p>
    <w:p w14:paraId="313409E6" w14:textId="77777777" w:rsidR="00BE6CCB" w:rsidRPr="00BE6CCB" w:rsidRDefault="00BE6CCB" w:rsidP="00BE6CCB">
      <w:pPr>
        <w:spacing w:after="0"/>
        <w:ind w:left="22" w:hanging="22"/>
        <w:jc w:val="both"/>
        <w:rPr>
          <w:rFonts w:ascii="Avenir Next LT Pro" w:hAnsi="Avenir Next LT Pro" w:cs="Calibri"/>
          <w:sz w:val="20"/>
          <w:szCs w:val="20"/>
        </w:rPr>
      </w:pPr>
    </w:p>
    <w:p w14:paraId="346C9712" w14:textId="07F5C8B5" w:rsidR="00BE6CCB" w:rsidRPr="00BE6CCB" w:rsidRDefault="00BE6CCB" w:rsidP="00BE6CCB">
      <w:pPr>
        <w:spacing w:after="0"/>
        <w:ind w:left="22" w:hanging="22"/>
        <w:jc w:val="both"/>
        <w:rPr>
          <w:rFonts w:ascii="Avenir Next LT Pro" w:hAnsi="Avenir Next LT Pro" w:cs="Calibri"/>
          <w:sz w:val="20"/>
          <w:szCs w:val="20"/>
        </w:rPr>
      </w:pPr>
      <w:r w:rsidRPr="00BE6CCB">
        <w:rPr>
          <w:rFonts w:ascii="Avenir Next LT Pro" w:hAnsi="Avenir Next LT Pro" w:cs="Calibri"/>
          <w:sz w:val="20"/>
          <w:szCs w:val="20"/>
        </w:rPr>
        <w:t xml:space="preserve">Par ailleurs, la révision législative </w:t>
      </w:r>
      <w:proofErr w:type="spellStart"/>
      <w:r w:rsidRPr="00BE6CCB">
        <w:rPr>
          <w:rFonts w:ascii="Avenir Next LT Pro" w:hAnsi="Avenir Next LT Pro" w:cs="Calibri"/>
          <w:sz w:val="20"/>
          <w:szCs w:val="20"/>
        </w:rPr>
        <w:t>sus</w:t>
      </w:r>
      <w:r w:rsidR="00D52776">
        <w:rPr>
          <w:rFonts w:ascii="Avenir Next LT Pro" w:hAnsi="Avenir Next LT Pro" w:cs="Calibri"/>
          <w:sz w:val="20"/>
          <w:szCs w:val="20"/>
        </w:rPr>
        <w:t>-</w:t>
      </w:r>
      <w:r w:rsidRPr="00BE6CCB">
        <w:rPr>
          <w:rFonts w:ascii="Avenir Next LT Pro" w:hAnsi="Avenir Next LT Pro" w:cs="Calibri"/>
          <w:sz w:val="20"/>
          <w:szCs w:val="20"/>
        </w:rPr>
        <w:t>citée</w:t>
      </w:r>
      <w:proofErr w:type="spellEnd"/>
      <w:r w:rsidRPr="00BE6CCB">
        <w:rPr>
          <w:rFonts w:ascii="Avenir Next LT Pro" w:hAnsi="Avenir Next LT Pro" w:cs="Calibri"/>
          <w:sz w:val="20"/>
          <w:szCs w:val="20"/>
        </w:rPr>
        <w:t xml:space="preserve"> a posé le principe de la détermination de la procédure d’autorisation nationale des projets carbone par voie d’un arrêté du Ministère de l’Environnement et Développement Durable. Cet arrêté n’est pas encore signé à ce jour. C’est ce texte, encore en attente, qui est censé mettre en place le Registre National relatif aux opérations d’achat et vente des crédits carbones, ainsi que les autres outils opérationnels spécifiques relatifs aux marchés du carbone donnant lieu à la délivrance de l’autorisation nationale. Néanmoins, les Ministères des Finances et de l’Environnement et Développement Durable ont signé conjointement, le 15 septembre 2023, un Arrêté interministériel n°006, qui fixe la répartition de la quotité de l’État sur le bénéficie issu de la vente des crédits carbone.</w:t>
      </w:r>
    </w:p>
    <w:p w14:paraId="44EC5133" w14:textId="77777777" w:rsidR="00BE6CCB" w:rsidRPr="00BE6CCB" w:rsidRDefault="00BE6CCB" w:rsidP="00BE6CCB">
      <w:pPr>
        <w:spacing w:after="0"/>
        <w:ind w:left="22" w:hanging="22"/>
        <w:jc w:val="both"/>
        <w:rPr>
          <w:rFonts w:ascii="Avenir Next LT Pro" w:hAnsi="Avenir Next LT Pro" w:cs="Calibri"/>
          <w:b/>
          <w:bCs/>
          <w:sz w:val="20"/>
          <w:szCs w:val="20"/>
        </w:rPr>
      </w:pPr>
    </w:p>
    <w:p w14:paraId="38F3EC31" w14:textId="77777777" w:rsidR="00BE6CCB" w:rsidRPr="00BE6CCB" w:rsidRDefault="00BE6CCB" w:rsidP="00BE6CCB">
      <w:pPr>
        <w:spacing w:after="0"/>
        <w:ind w:left="22" w:hanging="22"/>
        <w:jc w:val="both"/>
        <w:rPr>
          <w:rFonts w:ascii="Avenir Next LT Pro" w:hAnsi="Avenir Next LT Pro" w:cs="Calibri"/>
          <w:sz w:val="20"/>
          <w:szCs w:val="20"/>
        </w:rPr>
      </w:pPr>
      <w:r w:rsidRPr="00BE6CCB">
        <w:rPr>
          <w:rFonts w:ascii="Avenir Next LT Pro" w:hAnsi="Avenir Next LT Pro" w:cs="Calibri"/>
          <w:b/>
          <w:bCs/>
          <w:sz w:val="20"/>
          <w:szCs w:val="20"/>
        </w:rPr>
        <w:t>Niveau politique/stratégique </w:t>
      </w:r>
      <w:r w:rsidRPr="00BE6CCB">
        <w:rPr>
          <w:rFonts w:ascii="Avenir Next LT Pro" w:hAnsi="Avenir Next LT Pro" w:cs="Calibri"/>
          <w:sz w:val="20"/>
          <w:szCs w:val="20"/>
        </w:rPr>
        <w:t xml:space="preserve">: le développement des instruments stratégiques et politiques pour un accès effectif à la finance carbone et à la mise en œuvre de la CDN est essentiel. Par exemple, le projet va développer une </w:t>
      </w:r>
      <w:r w:rsidRPr="00BE6CCB">
        <w:rPr>
          <w:rFonts w:ascii="Avenir Next LT Pro" w:hAnsi="Avenir Next LT Pro" w:cs="Calibri"/>
          <w:b/>
          <w:bCs/>
          <w:i/>
          <w:iCs/>
          <w:sz w:val="20"/>
          <w:szCs w:val="20"/>
        </w:rPr>
        <w:t>Stratégie Nationale sur les Marchés du Carbone</w:t>
      </w:r>
      <w:r w:rsidRPr="00BE6CCB">
        <w:rPr>
          <w:rFonts w:ascii="Avenir Next LT Pro" w:hAnsi="Avenir Next LT Pro" w:cs="Calibri"/>
          <w:sz w:val="20"/>
          <w:szCs w:val="20"/>
        </w:rPr>
        <w:t xml:space="preserve"> qui permettra entre autres de déterminer le potentiel des différents secteurs, d’identifier les marchés les plus stratégiques, de définir les approches de marketing afin d’éviter les surventes et la vente au prix adéquat. Il en est de même du développement d’une </w:t>
      </w:r>
      <w:r w:rsidRPr="00BE6CCB">
        <w:rPr>
          <w:rFonts w:ascii="Avenir Next LT Pro" w:hAnsi="Avenir Next LT Pro" w:cs="Calibri"/>
          <w:b/>
          <w:bCs/>
          <w:i/>
          <w:iCs/>
          <w:sz w:val="20"/>
          <w:szCs w:val="20"/>
        </w:rPr>
        <w:t xml:space="preserve">Stratégie de financement climatique, </w:t>
      </w:r>
      <w:r w:rsidRPr="00BE6CCB">
        <w:rPr>
          <w:rFonts w:ascii="Avenir Next LT Pro" w:hAnsi="Avenir Next LT Pro" w:cs="Calibri"/>
          <w:sz w:val="20"/>
          <w:szCs w:val="20"/>
        </w:rPr>
        <w:t>qui</w:t>
      </w:r>
      <w:r w:rsidRPr="00BE6CCB">
        <w:rPr>
          <w:rFonts w:ascii="Avenir Next LT Pro" w:hAnsi="Avenir Next LT Pro" w:cs="Calibri"/>
          <w:b/>
          <w:bCs/>
          <w:i/>
          <w:iCs/>
          <w:sz w:val="20"/>
          <w:szCs w:val="20"/>
        </w:rPr>
        <w:t xml:space="preserve"> </w:t>
      </w:r>
      <w:r w:rsidRPr="00BE6CCB">
        <w:rPr>
          <w:rFonts w:ascii="Avenir Next LT Pro" w:hAnsi="Avenir Next LT Pro" w:cs="Calibri"/>
          <w:sz w:val="20"/>
          <w:szCs w:val="20"/>
        </w:rPr>
        <w:t xml:space="preserve">permettra de disposer d’une démarche claire et cohérente de mobilisation des financements </w:t>
      </w:r>
      <w:r w:rsidRPr="00BE6CCB">
        <w:rPr>
          <w:rFonts w:ascii="Avenir Next LT Pro" w:hAnsi="Avenir Next LT Pro" w:cs="Calibri"/>
          <w:sz w:val="20"/>
          <w:szCs w:val="20"/>
        </w:rPr>
        <w:lastRenderedPageBreak/>
        <w:t xml:space="preserve">climatiques d’envergure aussi bien publics et privés, tant au niveau national qu’au niveau international pour la mise en œuvre des mesures conditionnelles et inconditionnelles de la CDN. </w:t>
      </w:r>
    </w:p>
    <w:p w14:paraId="00B8E567" w14:textId="77777777" w:rsidR="00BE6CCB" w:rsidRPr="00BE6CCB" w:rsidRDefault="00BE6CCB" w:rsidP="00BE6CCB">
      <w:pPr>
        <w:spacing w:after="0"/>
        <w:ind w:left="22" w:hanging="22"/>
        <w:jc w:val="both"/>
        <w:rPr>
          <w:rFonts w:ascii="Avenir Next LT Pro" w:hAnsi="Avenir Next LT Pro" w:cs="Calibri"/>
          <w:sz w:val="20"/>
          <w:szCs w:val="20"/>
        </w:rPr>
      </w:pPr>
    </w:p>
    <w:p w14:paraId="50454C7A" w14:textId="17BF8012" w:rsidR="00BE6CCB" w:rsidRPr="00BE6CCB" w:rsidRDefault="00BE6CCB" w:rsidP="00BE6CCB">
      <w:pPr>
        <w:spacing w:after="0"/>
        <w:ind w:left="22" w:hanging="22"/>
        <w:jc w:val="both"/>
        <w:rPr>
          <w:rFonts w:ascii="Avenir Next LT Pro" w:hAnsi="Avenir Next LT Pro" w:cs="Calibri"/>
          <w:sz w:val="20"/>
          <w:szCs w:val="20"/>
        </w:rPr>
      </w:pPr>
      <w:r w:rsidRPr="00BE6CCB">
        <w:rPr>
          <w:rFonts w:ascii="Avenir Next LT Pro" w:hAnsi="Avenir Next LT Pro" w:cs="Calibri"/>
          <w:sz w:val="20"/>
          <w:szCs w:val="20"/>
        </w:rPr>
        <w:t xml:space="preserve">Au niveau politique, le développement d’instruments politiques à l’instar du Cadre Politique sur les marchés de conformité (ex. Article 6.2 et Article 6.4) permettra de définir un cadre cohérent et des procédures et modalités claires (ex. éligibilité des activités, système de comptabilisation du carbone, </w:t>
      </w:r>
      <w:r w:rsidR="00970BBD">
        <w:rPr>
          <w:rFonts w:ascii="Avenir Next LT Pro" w:hAnsi="Avenir Next LT Pro" w:cs="Calibri"/>
          <w:sz w:val="20"/>
          <w:szCs w:val="20"/>
        </w:rPr>
        <w:t>mécanisme</w:t>
      </w:r>
      <w:r w:rsidR="00D237DD" w:rsidRPr="00BE6CCB">
        <w:rPr>
          <w:rFonts w:ascii="Avenir Next LT Pro" w:hAnsi="Avenir Next LT Pro" w:cs="Calibri"/>
          <w:sz w:val="20"/>
          <w:szCs w:val="20"/>
        </w:rPr>
        <w:t xml:space="preserve"> </w:t>
      </w:r>
      <w:r w:rsidRPr="00BE6CCB">
        <w:rPr>
          <w:rFonts w:ascii="Avenir Next LT Pro" w:hAnsi="Avenir Next LT Pro" w:cs="Calibri"/>
          <w:sz w:val="20"/>
          <w:szCs w:val="20"/>
        </w:rPr>
        <w:t xml:space="preserve">de partage des revenus, etc.) pour l’ensemble des parties prenantes. Cela concerne notamment les potentiels investisseurs dans le cadre de la mise en œuvre des Articles 6.2 et 6.4 de l’Accord de Paris sur le Climat.  </w:t>
      </w:r>
    </w:p>
    <w:p w14:paraId="0D93B6AC" w14:textId="77777777" w:rsidR="00BE6CCB" w:rsidRPr="00BE6CCB" w:rsidRDefault="00BE6CCB" w:rsidP="00BE6CCB">
      <w:pPr>
        <w:spacing w:after="0"/>
        <w:ind w:left="22" w:hanging="22"/>
        <w:jc w:val="both"/>
        <w:rPr>
          <w:rFonts w:ascii="Avenir Next LT Pro" w:hAnsi="Avenir Next LT Pro" w:cs="Calibri"/>
          <w:sz w:val="20"/>
          <w:szCs w:val="20"/>
        </w:rPr>
      </w:pPr>
    </w:p>
    <w:p w14:paraId="76D394F6" w14:textId="38679D68" w:rsidR="00BE6CCB" w:rsidRPr="00BE6CCB" w:rsidRDefault="00BE6CCB" w:rsidP="00BE6CCB">
      <w:pPr>
        <w:spacing w:after="0"/>
        <w:jc w:val="both"/>
        <w:rPr>
          <w:rFonts w:ascii="Avenir Next LT Pro" w:hAnsi="Avenir Next LT Pro" w:cs="Calibri"/>
          <w:sz w:val="20"/>
          <w:szCs w:val="20"/>
        </w:rPr>
      </w:pPr>
      <w:r w:rsidRPr="00BE6CCB">
        <w:rPr>
          <w:rFonts w:ascii="Avenir Next LT Pro" w:hAnsi="Avenir Next LT Pro" w:cs="Calibri"/>
          <w:b/>
          <w:bCs/>
          <w:sz w:val="20"/>
          <w:szCs w:val="20"/>
        </w:rPr>
        <w:t xml:space="preserve">Cadre infrastructurel </w:t>
      </w:r>
      <w:r w:rsidRPr="00BE6CCB">
        <w:rPr>
          <w:rFonts w:ascii="Avenir Next LT Pro" w:hAnsi="Avenir Next LT Pro" w:cs="Calibri"/>
          <w:sz w:val="20"/>
          <w:szCs w:val="20"/>
        </w:rPr>
        <w:t xml:space="preserve">: la RDC ne dispose actuellement pas d’infrastructures adéquates pour un engagement effectif dans les marchés du carbone. Il n’existe pas actuellement de registre national carbone, ni un système de comptabilité carbone, encore moins un système de sauvegarde environnemental et social ou de </w:t>
      </w:r>
      <w:r w:rsidR="00AD5507">
        <w:rPr>
          <w:rFonts w:ascii="Avenir Next LT Pro" w:hAnsi="Avenir Next LT Pro" w:cs="Calibri"/>
          <w:sz w:val="20"/>
          <w:szCs w:val="20"/>
        </w:rPr>
        <w:t xml:space="preserve">mécanisme de </w:t>
      </w:r>
      <w:r w:rsidRPr="00BE6CCB">
        <w:rPr>
          <w:rFonts w:ascii="Avenir Next LT Pro" w:hAnsi="Avenir Next LT Pro" w:cs="Calibri"/>
          <w:sz w:val="20"/>
          <w:szCs w:val="20"/>
        </w:rPr>
        <w:t>partage de bénéfices</w:t>
      </w:r>
      <w:r w:rsidR="00AD5507">
        <w:rPr>
          <w:rFonts w:ascii="Avenir Next LT Pro" w:hAnsi="Avenir Next LT Pro" w:cs="Calibri"/>
          <w:sz w:val="20"/>
          <w:szCs w:val="20"/>
        </w:rPr>
        <w:t xml:space="preserve"> </w:t>
      </w:r>
      <w:r w:rsidR="00882207">
        <w:rPr>
          <w:rFonts w:ascii="Avenir Next LT Pro" w:hAnsi="Avenir Next LT Pro" w:cs="Calibri"/>
          <w:sz w:val="20"/>
          <w:szCs w:val="20"/>
        </w:rPr>
        <w:t>applicable à l’ensemble des secteurs</w:t>
      </w:r>
      <w:r w:rsidRPr="00BE6CCB">
        <w:rPr>
          <w:rFonts w:ascii="Avenir Next LT Pro" w:hAnsi="Avenir Next LT Pro" w:cs="Calibri"/>
          <w:sz w:val="20"/>
          <w:szCs w:val="20"/>
        </w:rPr>
        <w:t xml:space="preserve">. Le registre national REDD+ reste </w:t>
      </w:r>
      <w:r w:rsidR="00882207">
        <w:rPr>
          <w:rFonts w:ascii="Avenir Next LT Pro" w:hAnsi="Avenir Next LT Pro" w:cs="Calibri"/>
          <w:sz w:val="20"/>
          <w:szCs w:val="20"/>
        </w:rPr>
        <w:t xml:space="preserve">non </w:t>
      </w:r>
      <w:r w:rsidRPr="00BE6CCB">
        <w:rPr>
          <w:rFonts w:ascii="Avenir Next LT Pro" w:hAnsi="Avenir Next LT Pro" w:cs="Calibri"/>
          <w:sz w:val="20"/>
          <w:szCs w:val="20"/>
        </w:rPr>
        <w:t xml:space="preserve">opérationnel et le </w:t>
      </w:r>
      <w:proofErr w:type="spellStart"/>
      <w:r w:rsidR="00817AB0">
        <w:rPr>
          <w:rFonts w:ascii="Avenir Next LT Pro" w:hAnsi="Avenir Next LT Pro" w:cs="Calibri"/>
          <w:sz w:val="20"/>
          <w:szCs w:val="20"/>
        </w:rPr>
        <w:t>mecanisme</w:t>
      </w:r>
      <w:proofErr w:type="spellEnd"/>
      <w:r w:rsidR="00817AB0" w:rsidRPr="00BE6CCB">
        <w:rPr>
          <w:rFonts w:ascii="Avenir Next LT Pro" w:hAnsi="Avenir Next LT Pro" w:cs="Calibri"/>
          <w:sz w:val="20"/>
          <w:szCs w:val="20"/>
        </w:rPr>
        <w:t xml:space="preserve"> </w:t>
      </w:r>
      <w:r w:rsidRPr="00BE6CCB">
        <w:rPr>
          <w:rFonts w:ascii="Avenir Next LT Pro" w:hAnsi="Avenir Next LT Pro" w:cs="Calibri"/>
          <w:sz w:val="20"/>
          <w:szCs w:val="20"/>
        </w:rPr>
        <w:t xml:space="preserve">de partage des bénéfices en place se rapporte uniquement aux activités REDD+. De même, la CDN ne dispose pas d’un système MRV fonctionnel. La mise en place et l’opérationnalisation de toutes ces infrastructures est essentielle et donnera un signal positif fort aux investisseurs. Ces instruments permettront ainsi à la RDC de se positionner de manière stratégique sur les marchés du carbone, notamment en termes de qualité de crédits carbones générés, d’intégrité environnementale et sociale. </w:t>
      </w:r>
    </w:p>
    <w:p w14:paraId="2E068F37" w14:textId="77777777" w:rsidR="00BE6CCB" w:rsidRPr="00BE6CCB" w:rsidRDefault="00BE6CCB" w:rsidP="00BE6CCB">
      <w:pPr>
        <w:spacing w:after="0"/>
        <w:jc w:val="both"/>
        <w:rPr>
          <w:rFonts w:ascii="Avenir Next LT Pro" w:hAnsi="Avenir Next LT Pro" w:cs="Calibri"/>
          <w:sz w:val="20"/>
          <w:szCs w:val="20"/>
        </w:rPr>
      </w:pPr>
    </w:p>
    <w:p w14:paraId="4CB0EF8C" w14:textId="77777777" w:rsidR="00BE6CCB" w:rsidRPr="00BE6CCB" w:rsidRDefault="00BE6CCB" w:rsidP="00BE6CCB">
      <w:pPr>
        <w:spacing w:after="0"/>
        <w:jc w:val="both"/>
        <w:rPr>
          <w:rFonts w:ascii="Avenir Next LT Pro" w:hAnsi="Avenir Next LT Pro" w:cs="Calibri"/>
          <w:sz w:val="20"/>
          <w:szCs w:val="20"/>
        </w:rPr>
      </w:pPr>
      <w:r w:rsidRPr="00BE6CCB">
        <w:rPr>
          <w:rFonts w:ascii="Avenir Next LT Pro" w:hAnsi="Avenir Next LT Pro" w:cs="Calibri"/>
          <w:b/>
          <w:bCs/>
          <w:sz w:val="20"/>
          <w:szCs w:val="20"/>
        </w:rPr>
        <w:t>Renforcement des capacités humaines et partage d’expériences</w:t>
      </w:r>
      <w:r w:rsidRPr="00BE6CCB">
        <w:rPr>
          <w:rFonts w:ascii="Avenir Next LT Pro" w:hAnsi="Avenir Next LT Pro" w:cs="Calibri"/>
          <w:sz w:val="20"/>
          <w:szCs w:val="20"/>
        </w:rPr>
        <w:t xml:space="preserve"> : il convient ici de noter que l’opérationnalisation effective de institutions susmentionnées et la pleine participation sur les marchés du carbone est tributaire et devra se faire de manière concurrente avec le développement et le renforcement des capacités de divers acteurs sur ces domaines émergents. Toutefois, ces capacités restent encore très limitées en RDC, tant en ce qui concerne les ressources humaines qu’en ce qui concerne les exigences techniques et matérielles que la CDN et les marchés de carbone respectivement exigent. Le projet accordera donc une attention particulière au développement/renforcement des capacités afin de répondre de manière effective à ces besoins. </w:t>
      </w:r>
    </w:p>
    <w:p w14:paraId="3AE29B09" w14:textId="77777777" w:rsidR="00BE6CCB" w:rsidRPr="00BE6CCB" w:rsidRDefault="00BE6CCB" w:rsidP="00BE6CCB">
      <w:pPr>
        <w:spacing w:after="0"/>
        <w:jc w:val="both"/>
        <w:rPr>
          <w:rFonts w:ascii="Avenir Next LT Pro" w:hAnsi="Avenir Next LT Pro" w:cs="Calibri"/>
          <w:sz w:val="20"/>
          <w:szCs w:val="20"/>
        </w:rPr>
      </w:pPr>
    </w:p>
    <w:p w14:paraId="2262858F" w14:textId="19B2A002" w:rsidR="00BE6CCB" w:rsidRPr="00BE6CCB" w:rsidRDefault="00BE6CCB" w:rsidP="00BE6CCB">
      <w:pPr>
        <w:spacing w:after="0"/>
        <w:jc w:val="both"/>
        <w:rPr>
          <w:rFonts w:ascii="Avenir Next LT Pro" w:hAnsi="Avenir Next LT Pro" w:cs="Calibri"/>
          <w:sz w:val="20"/>
          <w:szCs w:val="20"/>
        </w:rPr>
      </w:pPr>
      <w:r w:rsidRPr="00BE6CCB">
        <w:rPr>
          <w:rFonts w:ascii="Avenir Next LT Pro" w:hAnsi="Avenir Next LT Pro" w:cs="Calibri"/>
          <w:b/>
          <w:bCs/>
          <w:sz w:val="20"/>
          <w:szCs w:val="20"/>
        </w:rPr>
        <w:t xml:space="preserve">Cadre de concertation et dialogue inclusif : </w:t>
      </w:r>
      <w:r w:rsidR="00E31EBD">
        <w:rPr>
          <w:rFonts w:ascii="Avenir Next LT Pro" w:hAnsi="Avenir Next LT Pro" w:cs="Calibri"/>
          <w:sz w:val="20"/>
          <w:szCs w:val="20"/>
        </w:rPr>
        <w:t>l</w:t>
      </w:r>
      <w:r w:rsidRPr="00BE6CCB">
        <w:rPr>
          <w:rFonts w:ascii="Avenir Next LT Pro" w:hAnsi="Avenir Next LT Pro" w:cs="Calibri"/>
          <w:sz w:val="20"/>
          <w:szCs w:val="20"/>
        </w:rPr>
        <w:t xml:space="preserve">a transparence et l’engagement effectif de l’ensemble des parties prenantes pertinentes constituent une exigence à une participation effective sur les marchés du carbone et la mobilisation des financements d’envergure associés. Dans le cas spécifique de la RDC, il convient de noter la faible mobilisation des cadres de concertation ou de dialogue inclusif existants dans le cadre des récentes réformes du dispositif juridique et institutionnel. Ces processus ont été </w:t>
      </w:r>
      <w:r w:rsidR="008C5D20">
        <w:rPr>
          <w:rFonts w:ascii="Avenir Next LT Pro" w:hAnsi="Avenir Next LT Pro" w:cs="Calibri"/>
          <w:sz w:val="20"/>
          <w:szCs w:val="20"/>
        </w:rPr>
        <w:t>mises en œuvre avec une</w:t>
      </w:r>
      <w:r w:rsidRPr="00BE6CCB">
        <w:rPr>
          <w:rFonts w:ascii="Avenir Next LT Pro" w:hAnsi="Avenir Next LT Pro" w:cs="Calibri"/>
          <w:sz w:val="20"/>
          <w:szCs w:val="20"/>
        </w:rPr>
        <w:t xml:space="preserve"> participation </w:t>
      </w:r>
      <w:r w:rsidR="008C5D20">
        <w:rPr>
          <w:rFonts w:ascii="Avenir Next LT Pro" w:hAnsi="Avenir Next LT Pro" w:cs="Calibri"/>
          <w:sz w:val="20"/>
          <w:szCs w:val="20"/>
        </w:rPr>
        <w:t xml:space="preserve">limitée </w:t>
      </w:r>
      <w:r w:rsidRPr="00BE6CCB">
        <w:rPr>
          <w:rFonts w:ascii="Avenir Next LT Pro" w:hAnsi="Avenir Next LT Pro" w:cs="Calibri"/>
          <w:sz w:val="20"/>
          <w:szCs w:val="20"/>
        </w:rPr>
        <w:t xml:space="preserve">et </w:t>
      </w:r>
      <w:r w:rsidR="008C5D20">
        <w:rPr>
          <w:rFonts w:ascii="Avenir Next LT Pro" w:hAnsi="Avenir Next LT Pro" w:cs="Calibri"/>
          <w:sz w:val="20"/>
          <w:szCs w:val="20"/>
        </w:rPr>
        <w:t>une faible</w:t>
      </w:r>
      <w:r w:rsidR="008C5D20" w:rsidRPr="00BE6CCB">
        <w:rPr>
          <w:rFonts w:ascii="Avenir Next LT Pro" w:hAnsi="Avenir Next LT Pro" w:cs="Calibri"/>
          <w:sz w:val="20"/>
          <w:szCs w:val="20"/>
        </w:rPr>
        <w:t xml:space="preserve"> </w:t>
      </w:r>
      <w:r w:rsidRPr="00BE6CCB">
        <w:rPr>
          <w:rFonts w:ascii="Avenir Next LT Pro" w:hAnsi="Avenir Next LT Pro" w:cs="Calibri"/>
          <w:sz w:val="20"/>
          <w:szCs w:val="20"/>
        </w:rPr>
        <w:t xml:space="preserve">prise en compte des contributions des parties prenantes, dont notamment le secteur privé, les organisations de la société civile y compris les jeunes et les femmes, et les autorités traditionnelles. Et ces acteurs continuent à observer avec une certaine méfiance ce nouveau décor institutionnel et règlementaire. Ce qui ne garantit pas au dispositif proposé </w:t>
      </w:r>
      <w:r w:rsidR="000A7131">
        <w:rPr>
          <w:rFonts w:ascii="Avenir Next LT Pro" w:hAnsi="Avenir Next LT Pro" w:cs="Calibri"/>
          <w:sz w:val="20"/>
          <w:szCs w:val="20"/>
        </w:rPr>
        <w:t>pour la</w:t>
      </w:r>
      <w:r w:rsidR="000A7131" w:rsidRPr="00BE6CCB">
        <w:rPr>
          <w:rFonts w:ascii="Avenir Next LT Pro" w:hAnsi="Avenir Next LT Pro" w:cs="Calibri"/>
          <w:sz w:val="20"/>
          <w:szCs w:val="20"/>
        </w:rPr>
        <w:t xml:space="preserve"> </w:t>
      </w:r>
      <w:r w:rsidRPr="00BE6CCB">
        <w:rPr>
          <w:rFonts w:ascii="Avenir Next LT Pro" w:hAnsi="Avenir Next LT Pro" w:cs="Calibri"/>
          <w:sz w:val="20"/>
          <w:szCs w:val="20"/>
        </w:rPr>
        <w:t>mise en œuvre</w:t>
      </w:r>
      <w:r w:rsidR="000A7131">
        <w:rPr>
          <w:rFonts w:ascii="Avenir Next LT Pro" w:hAnsi="Avenir Next LT Pro" w:cs="Calibri"/>
          <w:sz w:val="20"/>
          <w:szCs w:val="20"/>
        </w:rPr>
        <w:t xml:space="preserve"> effective</w:t>
      </w:r>
      <w:r w:rsidRPr="00BE6CCB">
        <w:rPr>
          <w:rFonts w:ascii="Avenir Next LT Pro" w:hAnsi="Avenir Next LT Pro" w:cs="Calibri"/>
          <w:sz w:val="20"/>
          <w:szCs w:val="20"/>
        </w:rPr>
        <w:t xml:space="preserve"> de la CDN et à l’offre nationale du carbone de la RDC l’attractivité </w:t>
      </w:r>
      <w:r w:rsidR="00133864">
        <w:rPr>
          <w:rFonts w:ascii="Avenir Next LT Pro" w:hAnsi="Avenir Next LT Pro" w:cs="Calibri"/>
          <w:sz w:val="20"/>
          <w:szCs w:val="20"/>
        </w:rPr>
        <w:t>requise</w:t>
      </w:r>
      <w:r w:rsidRPr="00BE6CCB">
        <w:rPr>
          <w:rFonts w:ascii="Avenir Next LT Pro" w:hAnsi="Avenir Next LT Pro" w:cs="Calibri"/>
          <w:sz w:val="20"/>
          <w:szCs w:val="20"/>
        </w:rPr>
        <w:t xml:space="preserve"> en vue de rassurer les acheteurs carbones et l’ensemble des les partenaires engagés dans ce secteur. </w:t>
      </w:r>
    </w:p>
    <w:p w14:paraId="38AA77E5" w14:textId="77777777" w:rsidR="00BE6CCB" w:rsidRPr="00BE6CCB" w:rsidRDefault="00BE6CCB" w:rsidP="00BE6CCB">
      <w:pPr>
        <w:spacing w:after="0"/>
        <w:jc w:val="both"/>
        <w:rPr>
          <w:rFonts w:ascii="Avenir Next LT Pro" w:hAnsi="Avenir Next LT Pro" w:cs="Calibri"/>
          <w:sz w:val="20"/>
          <w:szCs w:val="20"/>
        </w:rPr>
      </w:pPr>
    </w:p>
    <w:p w14:paraId="7EC667D3" w14:textId="77777777" w:rsidR="00BE6CCB" w:rsidRPr="00BE6CCB" w:rsidRDefault="00BE6CCB" w:rsidP="00BE6CCB">
      <w:pPr>
        <w:spacing w:after="0"/>
        <w:jc w:val="both"/>
        <w:rPr>
          <w:rFonts w:ascii="Avenir Next LT Pro" w:hAnsi="Avenir Next LT Pro" w:cs="Calibri"/>
          <w:sz w:val="20"/>
          <w:szCs w:val="20"/>
        </w:rPr>
      </w:pPr>
      <w:r w:rsidRPr="00BE6CCB">
        <w:rPr>
          <w:rFonts w:ascii="Avenir Next LT Pro" w:hAnsi="Avenir Next LT Pro" w:cs="Calibri"/>
          <w:sz w:val="20"/>
          <w:szCs w:val="20"/>
        </w:rPr>
        <w:t xml:space="preserve">Le Projet entend pallier ce manquement par la mobilisation de divers cadres de dialogue et de concertation au niveau national. Par ailleurs, le Projet va impulser le dialogue et la diplomatie environnementale au niveau international afin de favoriser un positionnement stratégique de la RDC dans les négociations internationales sur le climat et la finance climatique plus particulièrement.  </w:t>
      </w:r>
    </w:p>
    <w:p w14:paraId="04F0955A" w14:textId="28DA186A" w:rsidR="009C0E91" w:rsidRPr="00AD69AF" w:rsidRDefault="20AB6037" w:rsidP="00A7529C">
      <w:pPr>
        <w:pStyle w:val="Titre3"/>
        <w:rPr>
          <w:color w:val="auto"/>
        </w:rPr>
      </w:pPr>
      <w:bookmarkStart w:id="15" w:name="_Toc163230366"/>
      <w:r w:rsidRPr="00AD69AF">
        <w:rPr>
          <w:color w:val="auto"/>
        </w:rPr>
        <w:t xml:space="preserve">Résumé narratif </w:t>
      </w:r>
      <w:r w:rsidR="006B5E6A" w:rsidRPr="00AD69AF">
        <w:rPr>
          <w:color w:val="auto"/>
        </w:rPr>
        <w:t xml:space="preserve">et schéma </w:t>
      </w:r>
      <w:r w:rsidRPr="00AD69AF">
        <w:rPr>
          <w:color w:val="auto"/>
        </w:rPr>
        <w:t>de la théorie du changement</w:t>
      </w:r>
      <w:r w:rsidR="00F703D0" w:rsidRPr="00AD69AF">
        <w:rPr>
          <w:color w:val="auto"/>
        </w:rPr>
        <w:t xml:space="preserve"> </w:t>
      </w:r>
      <w:r w:rsidRPr="00AD69AF">
        <w:rPr>
          <w:color w:val="auto"/>
          <w:vertAlign w:val="superscript"/>
        </w:rPr>
        <w:footnoteReference w:id="12"/>
      </w:r>
      <w:bookmarkEnd w:id="15"/>
    </w:p>
    <w:p w14:paraId="42AA5453" w14:textId="4DEA493C" w:rsidR="002A2BFD" w:rsidRDefault="002A2BFD" w:rsidP="002A2BFD">
      <w:pPr>
        <w:spacing w:after="0"/>
        <w:jc w:val="both"/>
        <w:rPr>
          <w:rFonts w:ascii="Avenir Next LT Pro" w:eastAsia="Arial" w:hAnsi="Avenir Next LT Pro" w:cs="Calibri"/>
          <w:sz w:val="20"/>
          <w:szCs w:val="20"/>
          <w:lang w:eastAsia="ko-KR"/>
        </w:rPr>
      </w:pPr>
      <w:r w:rsidRPr="002A2BFD">
        <w:rPr>
          <w:rFonts w:ascii="Avenir Next LT Pro" w:eastAsia="Arial" w:hAnsi="Avenir Next LT Pro" w:cs="Calibri"/>
          <w:sz w:val="20"/>
          <w:szCs w:val="20"/>
          <w:lang w:eastAsia="ko-KR"/>
        </w:rPr>
        <w:t>L’analyse des défis de développement révèle</w:t>
      </w:r>
      <w:r w:rsidR="000C1B50">
        <w:rPr>
          <w:rFonts w:ascii="Avenir Next LT Pro" w:eastAsia="Arial" w:hAnsi="Avenir Next LT Pro" w:cs="Calibri"/>
          <w:sz w:val="20"/>
          <w:szCs w:val="20"/>
          <w:lang w:eastAsia="ko-KR"/>
        </w:rPr>
        <w:t xml:space="preserve">, d’une part, que le pays ne dispose pas </w:t>
      </w:r>
      <w:r w:rsidRPr="002A2BFD">
        <w:rPr>
          <w:rFonts w:ascii="Avenir Next LT Pro" w:eastAsia="Arial" w:hAnsi="Avenir Next LT Pro" w:cs="Calibri"/>
          <w:sz w:val="20"/>
          <w:szCs w:val="20"/>
          <w:lang w:eastAsia="ko-KR"/>
        </w:rPr>
        <w:t xml:space="preserve">à </w:t>
      </w:r>
      <w:r w:rsidR="000C1B50">
        <w:rPr>
          <w:rFonts w:ascii="Avenir Next LT Pro" w:eastAsia="Arial" w:hAnsi="Avenir Next LT Pro" w:cs="Calibri"/>
          <w:sz w:val="20"/>
          <w:szCs w:val="20"/>
          <w:lang w:eastAsia="ko-KR"/>
        </w:rPr>
        <w:t>ce jour d’</w:t>
      </w:r>
      <w:r w:rsidRPr="002A2BFD">
        <w:rPr>
          <w:rFonts w:ascii="Avenir Next LT Pro" w:eastAsia="Arial" w:hAnsi="Avenir Next LT Pro" w:cs="Calibri"/>
          <w:sz w:val="20"/>
          <w:szCs w:val="20"/>
          <w:lang w:eastAsia="ko-KR"/>
        </w:rPr>
        <w:t xml:space="preserve">un cadre de concertation et de coordination pour garantir la mise en œuvre et un suivi efficient des </w:t>
      </w:r>
      <w:r w:rsidRPr="002A2BFD">
        <w:rPr>
          <w:rFonts w:ascii="Avenir Next LT Pro" w:eastAsia="Arial" w:hAnsi="Avenir Next LT Pro" w:cs="Calibri"/>
          <w:sz w:val="20"/>
          <w:szCs w:val="20"/>
          <w:lang w:eastAsia="ko-KR"/>
        </w:rPr>
        <w:lastRenderedPageBreak/>
        <w:t xml:space="preserve">stratégies de développement bas carbone. </w:t>
      </w:r>
      <w:r w:rsidR="007D36A2">
        <w:rPr>
          <w:rFonts w:ascii="Avenir Next LT Pro" w:eastAsia="Arial" w:hAnsi="Avenir Next LT Pro" w:cs="Calibri"/>
          <w:sz w:val="20"/>
          <w:szCs w:val="20"/>
          <w:lang w:eastAsia="ko-KR"/>
        </w:rPr>
        <w:t xml:space="preserve">La mise en </w:t>
      </w:r>
      <w:r w:rsidR="007D36A2" w:rsidRPr="002A2BFD">
        <w:rPr>
          <w:rFonts w:ascii="Avenir Next LT Pro" w:eastAsia="Arial" w:hAnsi="Avenir Next LT Pro" w:cs="Calibri"/>
          <w:sz w:val="20"/>
          <w:szCs w:val="20"/>
          <w:lang w:eastAsia="ko-KR"/>
        </w:rPr>
        <w:t>œuvre de la CDN</w:t>
      </w:r>
      <w:r w:rsidR="007D36A2">
        <w:rPr>
          <w:rFonts w:ascii="Avenir Next LT Pro" w:eastAsia="Arial" w:hAnsi="Avenir Next LT Pro" w:cs="Calibri"/>
          <w:sz w:val="20"/>
          <w:szCs w:val="20"/>
          <w:lang w:eastAsia="ko-KR"/>
        </w:rPr>
        <w:t xml:space="preserve"> est caractérisée par </w:t>
      </w:r>
      <w:r w:rsidR="00B43E07">
        <w:rPr>
          <w:rFonts w:ascii="Avenir Next LT Pro" w:eastAsia="Arial" w:hAnsi="Avenir Next LT Pro" w:cs="Calibri"/>
          <w:sz w:val="20"/>
          <w:szCs w:val="20"/>
          <w:lang w:eastAsia="ko-KR"/>
        </w:rPr>
        <w:t>une</w:t>
      </w:r>
      <w:r w:rsidR="007D36A2">
        <w:rPr>
          <w:rFonts w:ascii="Avenir Next LT Pro" w:eastAsia="Arial" w:hAnsi="Avenir Next LT Pro" w:cs="Calibri"/>
          <w:sz w:val="20"/>
          <w:szCs w:val="20"/>
          <w:lang w:eastAsia="ko-KR"/>
        </w:rPr>
        <w:t xml:space="preserve"> faibless</w:t>
      </w:r>
      <w:r w:rsidR="00B43E07">
        <w:rPr>
          <w:rFonts w:ascii="Avenir Next LT Pro" w:eastAsia="Arial" w:hAnsi="Avenir Next LT Pro" w:cs="Calibri"/>
          <w:sz w:val="20"/>
          <w:szCs w:val="20"/>
          <w:lang w:eastAsia="ko-KR"/>
        </w:rPr>
        <w:t xml:space="preserve">e de </w:t>
      </w:r>
      <w:r w:rsidRPr="002A2BFD">
        <w:rPr>
          <w:rFonts w:ascii="Avenir Next LT Pro" w:eastAsia="Arial" w:hAnsi="Avenir Next LT Pro" w:cs="Calibri"/>
          <w:sz w:val="20"/>
          <w:szCs w:val="20"/>
          <w:lang w:eastAsia="ko-KR"/>
        </w:rPr>
        <w:t xml:space="preserve">capacités </w:t>
      </w:r>
      <w:r w:rsidR="000C1B50">
        <w:rPr>
          <w:rFonts w:ascii="Avenir Next LT Pro" w:eastAsia="Arial" w:hAnsi="Avenir Next LT Pro" w:cs="Calibri"/>
          <w:sz w:val="20"/>
          <w:szCs w:val="20"/>
          <w:lang w:eastAsia="ko-KR"/>
        </w:rPr>
        <w:t>de</w:t>
      </w:r>
      <w:r w:rsidRPr="002A2BFD">
        <w:rPr>
          <w:rFonts w:ascii="Avenir Next LT Pro" w:eastAsia="Arial" w:hAnsi="Avenir Next LT Pro" w:cs="Calibri"/>
          <w:sz w:val="20"/>
          <w:szCs w:val="20"/>
          <w:lang w:eastAsia="ko-KR"/>
        </w:rPr>
        <w:t xml:space="preserve">s structures </w:t>
      </w:r>
      <w:r w:rsidR="000C1B50">
        <w:rPr>
          <w:rFonts w:ascii="Avenir Next LT Pro" w:eastAsia="Arial" w:hAnsi="Avenir Next LT Pro" w:cs="Calibri"/>
          <w:sz w:val="20"/>
          <w:szCs w:val="20"/>
          <w:lang w:eastAsia="ko-KR"/>
        </w:rPr>
        <w:t xml:space="preserve">nationales en charge </w:t>
      </w:r>
      <w:r w:rsidR="000C1B50" w:rsidRPr="002A2BFD">
        <w:rPr>
          <w:rFonts w:ascii="Avenir Next LT Pro" w:eastAsia="Arial" w:hAnsi="Avenir Next LT Pro" w:cs="Calibri"/>
          <w:sz w:val="20"/>
          <w:szCs w:val="20"/>
          <w:lang w:eastAsia="ko-KR"/>
        </w:rPr>
        <w:t>de</w:t>
      </w:r>
      <w:r w:rsidR="000C1B50">
        <w:rPr>
          <w:rFonts w:ascii="Avenir Next LT Pro" w:eastAsia="Arial" w:hAnsi="Avenir Next LT Pro" w:cs="Calibri"/>
          <w:sz w:val="20"/>
          <w:szCs w:val="20"/>
          <w:lang w:eastAsia="ko-KR"/>
        </w:rPr>
        <w:t xml:space="preserve"> </w:t>
      </w:r>
      <w:r w:rsidR="00B43E07">
        <w:rPr>
          <w:rFonts w:ascii="Avenir Next LT Pro" w:eastAsia="Arial" w:hAnsi="Avenir Next LT Pro" w:cs="Calibri"/>
          <w:sz w:val="20"/>
          <w:szCs w:val="20"/>
          <w:lang w:eastAsia="ko-KR"/>
        </w:rPr>
        <w:t>la coordination des interventions</w:t>
      </w:r>
      <w:r w:rsidR="00E52B1C">
        <w:rPr>
          <w:rFonts w:ascii="Avenir Next LT Pro" w:eastAsia="Arial" w:hAnsi="Avenir Next LT Pro" w:cs="Calibri"/>
          <w:sz w:val="20"/>
          <w:szCs w:val="20"/>
          <w:lang w:eastAsia="ko-KR"/>
        </w:rPr>
        <w:t xml:space="preserve">, </w:t>
      </w:r>
      <w:r w:rsidR="000755D7">
        <w:rPr>
          <w:rFonts w:ascii="Avenir Next LT Pro" w:eastAsia="Arial" w:hAnsi="Avenir Next LT Pro" w:cs="Calibri"/>
          <w:sz w:val="20"/>
          <w:szCs w:val="20"/>
          <w:lang w:eastAsia="ko-KR"/>
        </w:rPr>
        <w:t xml:space="preserve"> </w:t>
      </w:r>
      <w:r w:rsidR="00351554">
        <w:rPr>
          <w:rFonts w:ascii="Avenir Next LT Pro" w:eastAsia="Arial" w:hAnsi="Avenir Next LT Pro" w:cs="Calibri"/>
          <w:sz w:val="20"/>
          <w:szCs w:val="20"/>
          <w:lang w:eastAsia="ko-KR"/>
        </w:rPr>
        <w:t>avec l’a</w:t>
      </w:r>
      <w:r w:rsidR="00E52B1C" w:rsidRPr="00E52B1C">
        <w:rPr>
          <w:rFonts w:ascii="Avenir Next LT Pro" w:eastAsia="Arial" w:hAnsi="Avenir Next LT Pro" w:cs="Calibri"/>
          <w:sz w:val="20"/>
          <w:szCs w:val="20"/>
          <w:lang w:eastAsia="ko-KR"/>
        </w:rPr>
        <w:t>bsence de mécanismes de collaboration intersectoriel</w:t>
      </w:r>
      <w:r w:rsidR="00351554">
        <w:rPr>
          <w:rFonts w:ascii="Avenir Next LT Pro" w:eastAsia="Arial" w:hAnsi="Avenir Next LT Pro" w:cs="Calibri"/>
          <w:sz w:val="20"/>
          <w:szCs w:val="20"/>
          <w:lang w:eastAsia="ko-KR"/>
        </w:rPr>
        <w:t xml:space="preserve">le et </w:t>
      </w:r>
      <w:r w:rsidR="00B43E07">
        <w:rPr>
          <w:rFonts w:ascii="Avenir Next LT Pro" w:eastAsia="Arial" w:hAnsi="Avenir Next LT Pro" w:cs="Calibri"/>
          <w:sz w:val="20"/>
          <w:szCs w:val="20"/>
          <w:lang w:eastAsia="ko-KR"/>
        </w:rPr>
        <w:t>le peu d’</w:t>
      </w:r>
      <w:r w:rsidRPr="002A2BFD">
        <w:rPr>
          <w:rFonts w:ascii="Avenir Next LT Pro" w:eastAsia="Arial" w:hAnsi="Avenir Next LT Pro" w:cs="Calibri"/>
          <w:sz w:val="20"/>
          <w:szCs w:val="20"/>
          <w:lang w:eastAsia="ko-KR"/>
        </w:rPr>
        <w:t>implication des acteurs du secteur privé et de la société</w:t>
      </w:r>
      <w:r w:rsidR="004C2C14">
        <w:rPr>
          <w:rFonts w:ascii="Avenir Next LT Pro" w:eastAsia="Arial" w:hAnsi="Avenir Next LT Pro" w:cs="Calibri"/>
          <w:sz w:val="20"/>
          <w:szCs w:val="20"/>
          <w:lang w:eastAsia="ko-KR"/>
        </w:rPr>
        <w:t xml:space="preserve"> dans les activités</w:t>
      </w:r>
      <w:r w:rsidRPr="002A2BFD">
        <w:rPr>
          <w:rFonts w:ascii="Avenir Next LT Pro" w:eastAsia="Arial" w:hAnsi="Avenir Next LT Pro" w:cs="Calibri"/>
          <w:sz w:val="20"/>
          <w:szCs w:val="20"/>
          <w:lang w:eastAsia="ko-KR"/>
        </w:rPr>
        <w:t xml:space="preserve">, </w:t>
      </w:r>
      <w:r w:rsidR="003A3A99">
        <w:rPr>
          <w:rFonts w:ascii="Avenir Next LT Pro" w:eastAsia="Arial" w:hAnsi="Avenir Next LT Pro" w:cs="Calibri"/>
          <w:sz w:val="20"/>
          <w:szCs w:val="20"/>
          <w:lang w:eastAsia="ko-KR"/>
        </w:rPr>
        <w:t>et</w:t>
      </w:r>
      <w:r w:rsidRPr="002A2BFD">
        <w:rPr>
          <w:rFonts w:ascii="Avenir Next LT Pro" w:eastAsia="Arial" w:hAnsi="Avenir Next LT Pro" w:cs="Calibri"/>
          <w:sz w:val="20"/>
          <w:szCs w:val="20"/>
          <w:lang w:eastAsia="ko-KR"/>
        </w:rPr>
        <w:t xml:space="preserve"> l’engagement des communautés y compris les jeunes et les femmes sont insuffisamment promus. </w:t>
      </w:r>
      <w:r w:rsidR="000C1B50">
        <w:rPr>
          <w:rFonts w:ascii="Avenir Next LT Pro" w:eastAsia="Arial" w:hAnsi="Avenir Next LT Pro" w:cs="Calibri"/>
          <w:sz w:val="20"/>
          <w:szCs w:val="20"/>
          <w:lang w:eastAsia="ko-KR"/>
        </w:rPr>
        <w:t xml:space="preserve">D’autre part, </w:t>
      </w:r>
      <w:r w:rsidR="00D65868">
        <w:rPr>
          <w:rFonts w:ascii="Avenir Next LT Pro" w:eastAsia="Arial" w:hAnsi="Avenir Next LT Pro" w:cs="Calibri"/>
          <w:sz w:val="20"/>
          <w:szCs w:val="20"/>
          <w:lang w:eastAsia="ko-KR"/>
        </w:rPr>
        <w:t xml:space="preserve">le manque </w:t>
      </w:r>
      <w:r w:rsidR="00352A71" w:rsidRPr="002A2BFD">
        <w:rPr>
          <w:rFonts w:ascii="Avenir Next LT Pro" w:eastAsia="Arial" w:hAnsi="Avenir Next LT Pro" w:cs="Calibri"/>
          <w:sz w:val="20"/>
          <w:szCs w:val="20"/>
          <w:lang w:eastAsia="ko-KR"/>
        </w:rPr>
        <w:t>de transparence</w:t>
      </w:r>
      <w:r w:rsidR="00D65868">
        <w:rPr>
          <w:rFonts w:ascii="Avenir Next LT Pro" w:eastAsia="Arial" w:hAnsi="Avenir Next LT Pro" w:cs="Calibri"/>
          <w:sz w:val="20"/>
          <w:szCs w:val="20"/>
          <w:lang w:eastAsia="ko-KR"/>
        </w:rPr>
        <w:t xml:space="preserve"> et</w:t>
      </w:r>
      <w:r w:rsidR="00352A71" w:rsidRPr="002A2BFD">
        <w:rPr>
          <w:rFonts w:ascii="Avenir Next LT Pro" w:eastAsia="Arial" w:hAnsi="Avenir Next LT Pro" w:cs="Calibri"/>
          <w:sz w:val="20"/>
          <w:szCs w:val="20"/>
          <w:lang w:eastAsia="ko-KR"/>
        </w:rPr>
        <w:t xml:space="preserve"> d’équité</w:t>
      </w:r>
      <w:r w:rsidR="00D65868">
        <w:rPr>
          <w:rFonts w:ascii="Avenir Next LT Pro" w:eastAsia="Arial" w:hAnsi="Avenir Next LT Pro" w:cs="Calibri"/>
          <w:sz w:val="20"/>
          <w:szCs w:val="20"/>
          <w:lang w:eastAsia="ko-KR"/>
        </w:rPr>
        <w:t>,</w:t>
      </w:r>
      <w:r w:rsidR="00352A71" w:rsidRPr="002A2BFD">
        <w:rPr>
          <w:rFonts w:ascii="Avenir Next LT Pro" w:eastAsia="Arial" w:hAnsi="Avenir Next LT Pro" w:cs="Calibri"/>
          <w:sz w:val="20"/>
          <w:szCs w:val="20"/>
          <w:lang w:eastAsia="ko-KR"/>
        </w:rPr>
        <w:t xml:space="preserve"> et </w:t>
      </w:r>
      <w:r w:rsidR="00D65868">
        <w:rPr>
          <w:rFonts w:ascii="Avenir Next LT Pro" w:eastAsia="Arial" w:hAnsi="Avenir Next LT Pro" w:cs="Calibri"/>
          <w:sz w:val="20"/>
          <w:szCs w:val="20"/>
          <w:lang w:eastAsia="ko-KR"/>
        </w:rPr>
        <w:t xml:space="preserve">l’insuffisance </w:t>
      </w:r>
      <w:r w:rsidR="00352A71" w:rsidRPr="002A2BFD">
        <w:rPr>
          <w:rFonts w:ascii="Avenir Next LT Pro" w:eastAsia="Arial" w:hAnsi="Avenir Next LT Pro" w:cs="Calibri"/>
          <w:sz w:val="20"/>
          <w:szCs w:val="20"/>
          <w:lang w:eastAsia="ko-KR"/>
        </w:rPr>
        <w:t>d’engagement de l’ensemble des parties prenantes</w:t>
      </w:r>
      <w:r w:rsidR="00240476">
        <w:rPr>
          <w:rFonts w:ascii="Avenir Next LT Pro" w:eastAsia="Arial" w:hAnsi="Avenir Next LT Pro" w:cs="Calibri"/>
          <w:sz w:val="20"/>
          <w:szCs w:val="20"/>
          <w:lang w:eastAsia="ko-KR"/>
        </w:rPr>
        <w:t>,</w:t>
      </w:r>
      <w:r w:rsidR="00352A71" w:rsidRPr="002A2BFD">
        <w:rPr>
          <w:rFonts w:ascii="Avenir Next LT Pro" w:eastAsia="Arial" w:hAnsi="Avenir Next LT Pro" w:cs="Calibri"/>
          <w:sz w:val="20"/>
          <w:szCs w:val="20"/>
          <w:lang w:eastAsia="ko-KR"/>
        </w:rPr>
        <w:t xml:space="preserve"> </w:t>
      </w:r>
      <w:r w:rsidR="00240476" w:rsidRPr="002A2BFD">
        <w:rPr>
          <w:rFonts w:ascii="Avenir Next LT Pro" w:eastAsia="Arial" w:hAnsi="Avenir Next LT Pro" w:cs="Calibri"/>
          <w:sz w:val="20"/>
          <w:szCs w:val="20"/>
          <w:lang w:eastAsia="ko-KR"/>
        </w:rPr>
        <w:t>le cadre juridique</w:t>
      </w:r>
      <w:r w:rsidR="00240476">
        <w:rPr>
          <w:rFonts w:ascii="Avenir Next LT Pro" w:eastAsia="Arial" w:hAnsi="Avenir Next LT Pro" w:cs="Calibri"/>
          <w:sz w:val="20"/>
          <w:szCs w:val="20"/>
          <w:lang w:eastAsia="ko-KR"/>
        </w:rPr>
        <w:t xml:space="preserve"> est</w:t>
      </w:r>
      <w:r w:rsidR="00240476" w:rsidRPr="002A2BFD">
        <w:rPr>
          <w:rFonts w:ascii="Avenir Next LT Pro" w:eastAsia="Arial" w:hAnsi="Avenir Next LT Pro" w:cs="Calibri"/>
          <w:sz w:val="20"/>
          <w:szCs w:val="20"/>
          <w:lang w:eastAsia="ko-KR"/>
        </w:rPr>
        <w:t xml:space="preserve"> peu incitatif </w:t>
      </w:r>
      <w:r w:rsidR="006C75F4" w:rsidRPr="002A2BFD">
        <w:rPr>
          <w:rFonts w:ascii="Avenir Next LT Pro" w:eastAsia="Arial" w:hAnsi="Avenir Next LT Pro" w:cs="Calibri"/>
          <w:sz w:val="20"/>
          <w:szCs w:val="20"/>
          <w:lang w:eastAsia="ko-KR"/>
        </w:rPr>
        <w:t>pour l’investissement</w:t>
      </w:r>
      <w:r w:rsidR="006C75F4">
        <w:rPr>
          <w:rFonts w:ascii="Avenir Next LT Pro" w:eastAsia="Arial" w:hAnsi="Avenir Next LT Pro" w:cs="Calibri"/>
          <w:sz w:val="20"/>
          <w:szCs w:val="20"/>
          <w:lang w:eastAsia="ko-KR"/>
        </w:rPr>
        <w:t xml:space="preserve"> </w:t>
      </w:r>
      <w:r w:rsidR="00240476">
        <w:rPr>
          <w:rFonts w:ascii="Avenir Next LT Pro" w:eastAsia="Arial" w:hAnsi="Avenir Next LT Pro" w:cs="Calibri"/>
          <w:sz w:val="20"/>
          <w:szCs w:val="20"/>
          <w:lang w:eastAsia="ko-KR"/>
        </w:rPr>
        <w:t xml:space="preserve">et </w:t>
      </w:r>
      <w:r w:rsidR="00DC0C31">
        <w:rPr>
          <w:rFonts w:ascii="Avenir Next LT Pro" w:eastAsia="Arial" w:hAnsi="Avenir Next LT Pro" w:cs="Calibri"/>
          <w:sz w:val="20"/>
          <w:szCs w:val="20"/>
          <w:lang w:eastAsia="ko-KR"/>
        </w:rPr>
        <w:t>l’inexistence de l’infrastructure caractérisent le secteur des marchés du carbone</w:t>
      </w:r>
      <w:r w:rsidR="005C6293">
        <w:rPr>
          <w:rFonts w:ascii="Avenir Next LT Pro" w:eastAsia="Arial" w:hAnsi="Avenir Next LT Pro" w:cs="Calibri"/>
          <w:sz w:val="20"/>
          <w:szCs w:val="20"/>
          <w:lang w:eastAsia="ko-KR"/>
        </w:rPr>
        <w:t xml:space="preserve"> en RDC</w:t>
      </w:r>
      <w:r w:rsidR="003F725F">
        <w:rPr>
          <w:rFonts w:ascii="Avenir Next LT Pro" w:eastAsia="Arial" w:hAnsi="Avenir Next LT Pro" w:cs="Calibri"/>
          <w:sz w:val="20"/>
          <w:szCs w:val="20"/>
          <w:lang w:eastAsia="ko-KR"/>
        </w:rPr>
        <w:t>.</w:t>
      </w:r>
      <w:r w:rsidR="00B85D40">
        <w:rPr>
          <w:rFonts w:ascii="Avenir Next LT Pro" w:eastAsia="Arial" w:hAnsi="Avenir Next LT Pro" w:cs="Calibri"/>
          <w:sz w:val="20"/>
          <w:szCs w:val="20"/>
          <w:lang w:eastAsia="ko-KR"/>
        </w:rPr>
        <w:t xml:space="preserve"> Ces </w:t>
      </w:r>
      <w:r w:rsidR="0065029B">
        <w:rPr>
          <w:rFonts w:ascii="Avenir Next LT Pro" w:eastAsia="Arial" w:hAnsi="Avenir Next LT Pro" w:cs="Calibri"/>
          <w:sz w:val="20"/>
          <w:szCs w:val="20"/>
          <w:lang w:eastAsia="ko-KR"/>
        </w:rPr>
        <w:t xml:space="preserve">caractéristiques </w:t>
      </w:r>
      <w:r w:rsidR="004076B4" w:rsidRPr="004076B4">
        <w:rPr>
          <w:rFonts w:ascii="Avenir Next LT Pro" w:eastAsia="Arial" w:hAnsi="Avenir Next LT Pro" w:cs="Calibri"/>
          <w:sz w:val="20"/>
          <w:szCs w:val="20"/>
          <w:lang w:eastAsia="ko-KR"/>
        </w:rPr>
        <w:t>sont autant de défis qui, s</w:t>
      </w:r>
      <w:r w:rsidR="0065029B">
        <w:rPr>
          <w:rFonts w:ascii="Avenir Next LT Pro" w:eastAsia="Arial" w:hAnsi="Avenir Next LT Pro" w:cs="Calibri"/>
          <w:sz w:val="20"/>
          <w:szCs w:val="20"/>
          <w:lang w:eastAsia="ko-KR"/>
        </w:rPr>
        <w:t>’ils</w:t>
      </w:r>
      <w:r w:rsidR="004076B4" w:rsidRPr="004076B4">
        <w:rPr>
          <w:rFonts w:ascii="Avenir Next LT Pro" w:eastAsia="Arial" w:hAnsi="Avenir Next LT Pro" w:cs="Calibri"/>
          <w:sz w:val="20"/>
          <w:szCs w:val="20"/>
          <w:lang w:eastAsia="ko-KR"/>
        </w:rPr>
        <w:t xml:space="preserve"> ne sont pas adressés, </w:t>
      </w:r>
      <w:r w:rsidR="00B37A25">
        <w:rPr>
          <w:rFonts w:ascii="Avenir Next LT Pro" w:eastAsia="Arial" w:hAnsi="Avenir Next LT Pro" w:cs="Calibri"/>
          <w:sz w:val="20"/>
          <w:szCs w:val="20"/>
          <w:lang w:eastAsia="ko-KR"/>
        </w:rPr>
        <w:t xml:space="preserve">constituent un </w:t>
      </w:r>
      <w:r w:rsidR="00C328C9">
        <w:rPr>
          <w:rFonts w:ascii="Avenir Next LT Pro" w:eastAsia="Arial" w:hAnsi="Avenir Next LT Pro" w:cs="Calibri"/>
          <w:sz w:val="20"/>
          <w:szCs w:val="20"/>
          <w:lang w:eastAsia="ko-KR"/>
        </w:rPr>
        <w:t xml:space="preserve">véritable </w:t>
      </w:r>
      <w:r w:rsidR="00B37A25">
        <w:rPr>
          <w:rFonts w:ascii="Avenir Next LT Pro" w:eastAsia="Arial" w:hAnsi="Avenir Next LT Pro" w:cs="Calibri"/>
          <w:sz w:val="20"/>
          <w:szCs w:val="20"/>
          <w:lang w:eastAsia="ko-KR"/>
        </w:rPr>
        <w:t xml:space="preserve">frein </w:t>
      </w:r>
      <w:r w:rsidR="00F23EA9">
        <w:rPr>
          <w:rFonts w:ascii="Avenir Next LT Pro" w:eastAsia="Arial" w:hAnsi="Avenir Next LT Pro" w:cs="Calibri"/>
          <w:sz w:val="20"/>
          <w:szCs w:val="20"/>
          <w:lang w:eastAsia="ko-KR"/>
        </w:rPr>
        <w:t>à l</w:t>
      </w:r>
      <w:r w:rsidR="00C74748">
        <w:rPr>
          <w:rFonts w:ascii="Avenir Next LT Pro" w:eastAsia="Arial" w:hAnsi="Avenir Next LT Pro" w:cs="Calibri"/>
          <w:sz w:val="20"/>
          <w:szCs w:val="20"/>
          <w:lang w:eastAsia="ko-KR"/>
        </w:rPr>
        <w:t>’amélioration de l</w:t>
      </w:r>
      <w:r w:rsidR="00F23EA9">
        <w:rPr>
          <w:rFonts w:ascii="Avenir Next LT Pro" w:eastAsia="Arial" w:hAnsi="Avenir Next LT Pro" w:cs="Calibri"/>
          <w:sz w:val="20"/>
          <w:szCs w:val="20"/>
          <w:lang w:eastAsia="ko-KR"/>
        </w:rPr>
        <w:t>a</w:t>
      </w:r>
      <w:r w:rsidR="00973AC1">
        <w:rPr>
          <w:rFonts w:ascii="Avenir Next LT Pro" w:eastAsia="Arial" w:hAnsi="Avenir Next LT Pro" w:cs="Calibri"/>
          <w:sz w:val="20"/>
          <w:szCs w:val="20"/>
          <w:lang w:eastAsia="ko-KR"/>
        </w:rPr>
        <w:t xml:space="preserve"> gouvernance et </w:t>
      </w:r>
      <w:r w:rsidR="00B135B8">
        <w:rPr>
          <w:rFonts w:ascii="Avenir Next LT Pro" w:eastAsia="Arial" w:hAnsi="Avenir Next LT Pro" w:cs="Calibri"/>
          <w:sz w:val="20"/>
          <w:szCs w:val="20"/>
          <w:lang w:eastAsia="ko-KR"/>
        </w:rPr>
        <w:t xml:space="preserve">de </w:t>
      </w:r>
      <w:r w:rsidR="00973AC1">
        <w:rPr>
          <w:rFonts w:ascii="Avenir Next LT Pro" w:eastAsia="Arial" w:hAnsi="Avenir Next LT Pro" w:cs="Calibri"/>
          <w:sz w:val="20"/>
          <w:szCs w:val="20"/>
          <w:lang w:eastAsia="ko-KR"/>
        </w:rPr>
        <w:t>la</w:t>
      </w:r>
      <w:r w:rsidR="00F23EA9">
        <w:rPr>
          <w:rFonts w:ascii="Avenir Next LT Pro" w:eastAsia="Arial" w:hAnsi="Avenir Next LT Pro" w:cs="Calibri"/>
          <w:sz w:val="20"/>
          <w:szCs w:val="20"/>
          <w:lang w:eastAsia="ko-KR"/>
        </w:rPr>
        <w:t xml:space="preserve"> coordination de l’action climatique</w:t>
      </w:r>
      <w:r w:rsidR="0093598C">
        <w:rPr>
          <w:rFonts w:ascii="Avenir Next LT Pro" w:eastAsia="Arial" w:hAnsi="Avenir Next LT Pro" w:cs="Calibri"/>
          <w:sz w:val="20"/>
          <w:szCs w:val="20"/>
          <w:lang w:eastAsia="ko-KR"/>
        </w:rPr>
        <w:t xml:space="preserve"> </w:t>
      </w:r>
      <w:r w:rsidR="00B135B8">
        <w:rPr>
          <w:rFonts w:ascii="Avenir Next LT Pro" w:eastAsia="Arial" w:hAnsi="Avenir Next LT Pro" w:cs="Calibri"/>
          <w:sz w:val="20"/>
          <w:szCs w:val="20"/>
          <w:lang w:eastAsia="ko-KR"/>
        </w:rPr>
        <w:t xml:space="preserve">nationale, </w:t>
      </w:r>
      <w:r w:rsidR="00954B86">
        <w:rPr>
          <w:rFonts w:ascii="Avenir Next LT Pro" w:eastAsia="Arial" w:hAnsi="Avenir Next LT Pro" w:cs="Calibri"/>
          <w:sz w:val="20"/>
          <w:szCs w:val="20"/>
          <w:lang w:eastAsia="ko-KR"/>
        </w:rPr>
        <w:t xml:space="preserve">et à la mobilisation des ressources </w:t>
      </w:r>
      <w:r w:rsidR="00840575">
        <w:rPr>
          <w:rFonts w:ascii="Avenir Next LT Pro" w:eastAsia="Arial" w:hAnsi="Avenir Next LT Pro" w:cs="Calibri"/>
          <w:sz w:val="20"/>
          <w:szCs w:val="20"/>
          <w:lang w:eastAsia="ko-KR"/>
        </w:rPr>
        <w:t xml:space="preserve">d’envergure </w:t>
      </w:r>
      <w:r w:rsidR="009A46F7" w:rsidRPr="009A46F7">
        <w:rPr>
          <w:rFonts w:ascii="Avenir Next LT Pro" w:eastAsia="Arial" w:hAnsi="Avenir Next LT Pro" w:cs="Calibri"/>
          <w:sz w:val="20"/>
          <w:szCs w:val="20"/>
          <w:lang w:eastAsia="ko-KR"/>
        </w:rPr>
        <w:t xml:space="preserve">pour </w:t>
      </w:r>
      <w:r w:rsidR="00840575">
        <w:rPr>
          <w:rFonts w:ascii="Avenir Next LT Pro" w:eastAsia="Arial" w:hAnsi="Avenir Next LT Pro" w:cs="Calibri"/>
          <w:sz w:val="20"/>
          <w:szCs w:val="20"/>
          <w:lang w:eastAsia="ko-KR"/>
        </w:rPr>
        <w:t>combler de financement de</w:t>
      </w:r>
      <w:r w:rsidR="009A46F7" w:rsidRPr="009A46F7">
        <w:rPr>
          <w:rFonts w:ascii="Avenir Next LT Pro" w:eastAsia="Arial" w:hAnsi="Avenir Next LT Pro" w:cs="Calibri"/>
          <w:sz w:val="20"/>
          <w:szCs w:val="20"/>
          <w:lang w:eastAsia="ko-KR"/>
        </w:rPr>
        <w:t xml:space="preserve"> </w:t>
      </w:r>
      <w:r w:rsidR="00FE60FB">
        <w:rPr>
          <w:rFonts w:ascii="Avenir Next LT Pro" w:eastAsia="Arial" w:hAnsi="Avenir Next LT Pro" w:cs="Calibri"/>
          <w:sz w:val="20"/>
          <w:szCs w:val="20"/>
          <w:lang w:eastAsia="ko-KR"/>
        </w:rPr>
        <w:t xml:space="preserve">la mise en œuvre </w:t>
      </w:r>
      <w:r w:rsidR="009A46F7" w:rsidRPr="009A46F7">
        <w:rPr>
          <w:rFonts w:ascii="Avenir Next LT Pro" w:eastAsia="Arial" w:hAnsi="Avenir Next LT Pro" w:cs="Calibri"/>
          <w:sz w:val="20"/>
          <w:szCs w:val="20"/>
          <w:lang w:eastAsia="ko-KR"/>
        </w:rPr>
        <w:t>l</w:t>
      </w:r>
      <w:r w:rsidR="005C7E1A">
        <w:rPr>
          <w:rFonts w:ascii="Avenir Next LT Pro" w:eastAsia="Arial" w:hAnsi="Avenir Next LT Pro" w:cs="Calibri"/>
          <w:sz w:val="20"/>
          <w:szCs w:val="20"/>
          <w:lang w:eastAsia="ko-KR"/>
        </w:rPr>
        <w:t>a CDN.</w:t>
      </w:r>
    </w:p>
    <w:p w14:paraId="4F528023" w14:textId="77777777" w:rsidR="00DA5A6E" w:rsidRDefault="00DA5A6E" w:rsidP="002A2BFD">
      <w:pPr>
        <w:spacing w:after="0"/>
        <w:jc w:val="both"/>
        <w:rPr>
          <w:rFonts w:ascii="Avenir Next LT Pro" w:eastAsia="Arial" w:hAnsi="Avenir Next LT Pro" w:cs="Calibri"/>
          <w:sz w:val="20"/>
          <w:szCs w:val="20"/>
          <w:lang w:eastAsia="ko-KR"/>
        </w:rPr>
      </w:pPr>
    </w:p>
    <w:p w14:paraId="0846B985" w14:textId="0996A548" w:rsidR="00DA5A6E" w:rsidRDefault="00CC25A4" w:rsidP="002A2BFD">
      <w:pPr>
        <w:spacing w:after="0"/>
        <w:jc w:val="both"/>
        <w:rPr>
          <w:rFonts w:ascii="Avenir Next LT Pro" w:eastAsia="Arial" w:hAnsi="Avenir Next LT Pro" w:cs="Calibri"/>
          <w:sz w:val="20"/>
          <w:szCs w:val="20"/>
          <w:lang w:eastAsia="ko-KR"/>
        </w:rPr>
      </w:pPr>
      <w:r>
        <w:rPr>
          <w:rFonts w:ascii="Avenir Next LT Pro" w:eastAsia="Arial" w:hAnsi="Avenir Next LT Pro" w:cs="Calibri"/>
          <w:sz w:val="20"/>
          <w:szCs w:val="20"/>
          <w:lang w:eastAsia="ko-KR"/>
        </w:rPr>
        <w:t>Au regard</w:t>
      </w:r>
      <w:r w:rsidR="00DA5A6E" w:rsidRPr="00DA5A6E">
        <w:rPr>
          <w:rFonts w:ascii="Avenir Next LT Pro" w:eastAsia="Arial" w:hAnsi="Avenir Next LT Pro" w:cs="Calibri"/>
          <w:sz w:val="20"/>
          <w:szCs w:val="20"/>
          <w:lang w:eastAsia="ko-KR"/>
        </w:rPr>
        <w:t xml:space="preserve"> d</w:t>
      </w:r>
      <w:r w:rsidR="00862DE5">
        <w:rPr>
          <w:rFonts w:ascii="Avenir Next LT Pro" w:eastAsia="Arial" w:hAnsi="Avenir Next LT Pro" w:cs="Calibri"/>
          <w:sz w:val="20"/>
          <w:szCs w:val="20"/>
          <w:lang w:eastAsia="ko-KR"/>
        </w:rPr>
        <w:t>e ce qui précède</w:t>
      </w:r>
      <w:r w:rsidR="00DA5A6E" w:rsidRPr="00DA5A6E">
        <w:rPr>
          <w:rFonts w:ascii="Avenir Next LT Pro" w:eastAsia="Arial" w:hAnsi="Avenir Next LT Pro" w:cs="Calibri"/>
          <w:sz w:val="20"/>
          <w:szCs w:val="20"/>
          <w:lang w:eastAsia="ko-KR"/>
        </w:rPr>
        <w:t xml:space="preserve">, le </w:t>
      </w:r>
      <w:r w:rsidR="006323E6">
        <w:rPr>
          <w:rFonts w:ascii="Avenir Next LT Pro" w:eastAsia="Arial" w:hAnsi="Avenir Next LT Pro" w:cs="Calibri"/>
          <w:sz w:val="20"/>
          <w:szCs w:val="20"/>
          <w:lang w:eastAsia="ko-KR"/>
        </w:rPr>
        <w:t>projet</w:t>
      </w:r>
      <w:r w:rsidR="00DA5A6E" w:rsidRPr="00DA5A6E">
        <w:rPr>
          <w:rFonts w:ascii="Avenir Next LT Pro" w:eastAsia="Arial" w:hAnsi="Avenir Next LT Pro" w:cs="Calibri"/>
          <w:sz w:val="20"/>
          <w:szCs w:val="20"/>
          <w:lang w:eastAsia="ko-KR"/>
        </w:rPr>
        <w:t xml:space="preserve"> </w:t>
      </w:r>
      <w:r w:rsidR="00A13D94">
        <w:rPr>
          <w:rFonts w:ascii="Avenir Next LT Pro" w:eastAsia="Arial" w:hAnsi="Avenir Next LT Pro" w:cs="Calibri"/>
          <w:sz w:val="20"/>
          <w:szCs w:val="20"/>
          <w:lang w:eastAsia="ko-KR"/>
        </w:rPr>
        <w:t>se propose</w:t>
      </w:r>
      <w:r w:rsidR="00DA5A6E" w:rsidRPr="00DA5A6E">
        <w:rPr>
          <w:rFonts w:ascii="Avenir Next LT Pro" w:eastAsia="Arial" w:hAnsi="Avenir Next LT Pro" w:cs="Calibri"/>
          <w:sz w:val="20"/>
          <w:szCs w:val="20"/>
          <w:lang w:eastAsia="ko-KR"/>
        </w:rPr>
        <w:t xml:space="preserve"> d</w:t>
      </w:r>
      <w:r w:rsidR="00392BEA">
        <w:rPr>
          <w:rFonts w:ascii="Avenir Next LT Pro" w:eastAsia="Arial" w:hAnsi="Avenir Next LT Pro" w:cs="Calibri"/>
          <w:sz w:val="20"/>
          <w:szCs w:val="20"/>
          <w:lang w:eastAsia="ko-KR"/>
        </w:rPr>
        <w:t xml:space="preserve">’investir dans </w:t>
      </w:r>
      <w:r w:rsidR="00930C1A" w:rsidRPr="00930C1A">
        <w:rPr>
          <w:rFonts w:ascii="Avenir Next LT Pro" w:eastAsia="Arial" w:hAnsi="Avenir Next LT Pro" w:cs="Calibri"/>
          <w:sz w:val="20"/>
          <w:szCs w:val="20"/>
          <w:lang w:eastAsia="ko-KR"/>
        </w:rPr>
        <w:t xml:space="preserve">la création </w:t>
      </w:r>
      <w:r w:rsidR="0046172B">
        <w:rPr>
          <w:rFonts w:ascii="Avenir Next LT Pro" w:eastAsia="Arial" w:hAnsi="Avenir Next LT Pro" w:cs="Calibri"/>
          <w:sz w:val="20"/>
          <w:szCs w:val="20"/>
          <w:lang w:eastAsia="ko-KR"/>
        </w:rPr>
        <w:t>d’</w:t>
      </w:r>
      <w:r w:rsidR="0046172B" w:rsidRPr="0046172B">
        <w:rPr>
          <w:rFonts w:ascii="Avenir Next LT Pro" w:eastAsia="Arial" w:hAnsi="Avenir Next LT Pro" w:cs="Calibri"/>
          <w:sz w:val="20"/>
          <w:szCs w:val="20"/>
          <w:lang w:eastAsia="ko-KR"/>
        </w:rPr>
        <w:t>un environnement favorable à la réalisation et au suivi des objectifs nationaux d’atténuation et d’adaptation, en contribuant au renforcement des mécanismes de gouvernance pour la mise en œuvre efficace et efficiente de la CDN ainsi qu’à un engagement stratégique du pays sur les marchés du carbone en vue de mobiliser des ressources pour son financement</w:t>
      </w:r>
      <w:r w:rsidR="00930C1A" w:rsidRPr="00930C1A">
        <w:rPr>
          <w:rFonts w:ascii="Avenir Next LT Pro" w:eastAsia="Arial" w:hAnsi="Avenir Next LT Pro" w:cs="Calibri"/>
          <w:sz w:val="20"/>
          <w:szCs w:val="20"/>
          <w:lang w:eastAsia="ko-KR"/>
        </w:rPr>
        <w:t>.</w:t>
      </w:r>
      <w:r w:rsidR="00DA5A6E" w:rsidRPr="00DA5A6E">
        <w:rPr>
          <w:rFonts w:ascii="Avenir Next LT Pro" w:eastAsia="Arial" w:hAnsi="Avenir Next LT Pro" w:cs="Calibri"/>
          <w:sz w:val="20"/>
          <w:szCs w:val="20"/>
          <w:lang w:eastAsia="ko-KR"/>
        </w:rPr>
        <w:t xml:space="preserve">  L’hypothèse implicite d’importance capitale que la présente logique de changement permettra de vérifier étant qu’à termes, éradiquer l’extrême pauvreté sous toutes ses formes et ensuite, briser la file de la transmission intergénérationnelle de la pauvreté et impulser une dynamique de croissance économique et de développement humain durable et inclusif portés par les Territoires de la RDC, sont à portée de mains, et ce, sous l’impulsion d’une intervention publique massive et volontariste.</w:t>
      </w:r>
    </w:p>
    <w:p w14:paraId="075DAEB7" w14:textId="77777777" w:rsidR="002A2BFD" w:rsidRDefault="002A2BFD" w:rsidP="002A2BFD">
      <w:pPr>
        <w:spacing w:after="0"/>
        <w:jc w:val="both"/>
        <w:rPr>
          <w:rFonts w:ascii="Avenir Next LT Pro" w:eastAsia="Arial" w:hAnsi="Avenir Next LT Pro" w:cs="Calibri"/>
          <w:sz w:val="20"/>
          <w:szCs w:val="20"/>
          <w:lang w:eastAsia="ko-KR"/>
        </w:rPr>
      </w:pPr>
    </w:p>
    <w:p w14:paraId="69235325" w14:textId="4BB668BA" w:rsidR="00D248B2" w:rsidRPr="00263B77" w:rsidRDefault="00D248B2" w:rsidP="00D248B2">
      <w:pPr>
        <w:spacing w:after="0"/>
        <w:jc w:val="both"/>
        <w:rPr>
          <w:rFonts w:ascii="Avenir Next LT Pro" w:eastAsia="Arial" w:hAnsi="Avenir Next LT Pro" w:cs="Calibri"/>
          <w:sz w:val="20"/>
          <w:szCs w:val="20"/>
          <w:lang w:eastAsia="ko-KR"/>
        </w:rPr>
      </w:pPr>
      <w:r w:rsidRPr="00263B77">
        <w:rPr>
          <w:rFonts w:ascii="Avenir Next LT Pro" w:eastAsia="Arial" w:hAnsi="Avenir Next LT Pro" w:cs="Calibri"/>
          <w:sz w:val="20"/>
          <w:szCs w:val="20"/>
          <w:lang w:eastAsia="ko-KR"/>
        </w:rPr>
        <w:t xml:space="preserve">La théorie de changement de ce projet repose sur un objectif principal qui est celui de réduire les émissions de GES dues à la déforestation et la dégradation des forêts. Cette théorie se fonde sur l’hypothèse selon laquelle : </w:t>
      </w:r>
    </w:p>
    <w:p w14:paraId="0B39A2FD" w14:textId="77777777" w:rsidR="00D248B2" w:rsidRPr="00263B77" w:rsidRDefault="00D248B2" w:rsidP="00D248B2">
      <w:pPr>
        <w:spacing w:after="0"/>
        <w:jc w:val="both"/>
        <w:rPr>
          <w:rFonts w:ascii="Avenir Next LT Pro" w:eastAsia="Arial" w:hAnsi="Avenir Next LT Pro" w:cs="Calibri"/>
          <w:sz w:val="20"/>
          <w:szCs w:val="20"/>
          <w:lang w:eastAsia="ko-KR"/>
        </w:rPr>
      </w:pPr>
    </w:p>
    <w:p w14:paraId="3D2E70A5" w14:textId="1D3F1E74" w:rsidR="00D248B2" w:rsidRPr="00263B77" w:rsidRDefault="00D248B2" w:rsidP="00D248B2">
      <w:pPr>
        <w:spacing w:after="0"/>
        <w:jc w:val="both"/>
        <w:rPr>
          <w:rFonts w:ascii="Avenir Next LT Pro" w:eastAsia="Arial" w:hAnsi="Avenir Next LT Pro" w:cs="Calibri"/>
          <w:sz w:val="20"/>
          <w:szCs w:val="20"/>
          <w:lang w:eastAsia="ko-KR"/>
        </w:rPr>
      </w:pPr>
      <w:r w:rsidRPr="00263B77">
        <w:rPr>
          <w:rFonts w:ascii="Avenir Next LT Pro" w:eastAsia="Arial" w:hAnsi="Avenir Next LT Pro" w:cs="Calibri"/>
          <w:b/>
          <w:bCs/>
          <w:sz w:val="20"/>
          <w:szCs w:val="20"/>
          <w:lang w:eastAsia="ko-KR"/>
        </w:rPr>
        <w:t>Si</w:t>
      </w:r>
      <w:r w:rsidRPr="00263B77">
        <w:rPr>
          <w:rFonts w:ascii="Avenir Next LT Pro" w:eastAsia="Arial" w:hAnsi="Avenir Next LT Pro" w:cs="Calibri"/>
          <w:sz w:val="20"/>
          <w:szCs w:val="20"/>
          <w:lang w:eastAsia="ko-KR"/>
        </w:rPr>
        <w:t xml:space="preserve"> le cadre de gouvernance</w:t>
      </w:r>
      <w:r w:rsidR="00087E70">
        <w:rPr>
          <w:rFonts w:ascii="Avenir Next LT Pro" w:eastAsia="Arial" w:hAnsi="Avenir Next LT Pro" w:cs="Calibri"/>
          <w:sz w:val="20"/>
          <w:szCs w:val="20"/>
          <w:lang w:eastAsia="ko-KR"/>
        </w:rPr>
        <w:t xml:space="preserve">, les instruments réglementaires </w:t>
      </w:r>
      <w:r w:rsidR="00CD0CEE">
        <w:rPr>
          <w:rFonts w:ascii="Avenir Next LT Pro" w:eastAsia="Arial" w:hAnsi="Avenir Next LT Pro" w:cs="Calibri"/>
          <w:sz w:val="20"/>
          <w:szCs w:val="20"/>
          <w:lang w:eastAsia="ko-KR"/>
        </w:rPr>
        <w:t xml:space="preserve">et les capacités techniques et technologiques </w:t>
      </w:r>
      <w:r w:rsidRPr="00263B77">
        <w:rPr>
          <w:rFonts w:ascii="Avenir Next LT Pro" w:eastAsia="Arial" w:hAnsi="Avenir Next LT Pro" w:cs="Calibri"/>
          <w:sz w:val="20"/>
          <w:szCs w:val="20"/>
          <w:lang w:eastAsia="ko-KR"/>
        </w:rPr>
        <w:t xml:space="preserve">pour </w:t>
      </w:r>
      <w:r w:rsidR="00087E70">
        <w:rPr>
          <w:rFonts w:ascii="Avenir Next LT Pro" w:eastAsia="Arial" w:hAnsi="Avenir Next LT Pro" w:cs="Calibri"/>
          <w:sz w:val="20"/>
          <w:szCs w:val="20"/>
          <w:lang w:eastAsia="ko-KR"/>
        </w:rPr>
        <w:t>une</w:t>
      </w:r>
      <w:r w:rsidR="00087E70" w:rsidRPr="00263B77">
        <w:rPr>
          <w:rFonts w:ascii="Avenir Next LT Pro" w:eastAsia="Arial" w:hAnsi="Avenir Next LT Pro" w:cs="Calibri"/>
          <w:sz w:val="20"/>
          <w:szCs w:val="20"/>
          <w:lang w:eastAsia="ko-KR"/>
        </w:rPr>
        <w:t xml:space="preserve"> </w:t>
      </w:r>
      <w:r w:rsidRPr="00263B77">
        <w:rPr>
          <w:rFonts w:ascii="Avenir Next LT Pro" w:eastAsia="Arial" w:hAnsi="Avenir Next LT Pro" w:cs="Calibri"/>
          <w:sz w:val="20"/>
          <w:szCs w:val="20"/>
          <w:lang w:eastAsia="ko-KR"/>
        </w:rPr>
        <w:t xml:space="preserve">mise en œuvre </w:t>
      </w:r>
      <w:r w:rsidR="00087E70">
        <w:rPr>
          <w:rFonts w:ascii="Avenir Next LT Pro" w:eastAsia="Arial" w:hAnsi="Avenir Next LT Pro" w:cs="Calibri"/>
          <w:sz w:val="20"/>
          <w:szCs w:val="20"/>
          <w:lang w:eastAsia="ko-KR"/>
        </w:rPr>
        <w:t xml:space="preserve">efficace et efficiente </w:t>
      </w:r>
      <w:r w:rsidRPr="00263B77">
        <w:rPr>
          <w:rFonts w:ascii="Avenir Next LT Pro" w:eastAsia="Arial" w:hAnsi="Avenir Next LT Pro" w:cs="Calibri"/>
          <w:sz w:val="20"/>
          <w:szCs w:val="20"/>
          <w:lang w:eastAsia="ko-KR"/>
        </w:rPr>
        <w:t xml:space="preserve">de la CDN et pour un accès effectif aux marchés du carbone </w:t>
      </w:r>
      <w:r w:rsidR="00087E70">
        <w:rPr>
          <w:rFonts w:ascii="Avenir Next LT Pro" w:eastAsia="Arial" w:hAnsi="Avenir Next LT Pro" w:cs="Calibri"/>
          <w:sz w:val="20"/>
          <w:szCs w:val="20"/>
          <w:lang w:eastAsia="ko-KR"/>
        </w:rPr>
        <w:t>sont</w:t>
      </w:r>
      <w:r w:rsidR="00087E70" w:rsidRPr="00263B77">
        <w:rPr>
          <w:rFonts w:ascii="Avenir Next LT Pro" w:eastAsia="Arial" w:hAnsi="Avenir Next LT Pro" w:cs="Calibri"/>
          <w:sz w:val="20"/>
          <w:szCs w:val="20"/>
          <w:lang w:eastAsia="ko-KR"/>
        </w:rPr>
        <w:t xml:space="preserve"> </w:t>
      </w:r>
      <w:r w:rsidRPr="00263B77">
        <w:rPr>
          <w:rFonts w:ascii="Avenir Next LT Pro" w:eastAsia="Arial" w:hAnsi="Avenir Next LT Pro" w:cs="Calibri"/>
          <w:sz w:val="20"/>
          <w:szCs w:val="20"/>
          <w:lang w:eastAsia="ko-KR"/>
        </w:rPr>
        <w:t>renforcé</w:t>
      </w:r>
      <w:r w:rsidR="00087E70">
        <w:rPr>
          <w:rFonts w:ascii="Avenir Next LT Pro" w:eastAsia="Arial" w:hAnsi="Avenir Next LT Pro" w:cs="Calibri"/>
          <w:sz w:val="20"/>
          <w:szCs w:val="20"/>
          <w:lang w:eastAsia="ko-KR"/>
        </w:rPr>
        <w:t>s</w:t>
      </w:r>
      <w:r w:rsidRPr="00263B77">
        <w:rPr>
          <w:rFonts w:ascii="Avenir Next LT Pro" w:eastAsia="Arial" w:hAnsi="Avenir Next LT Pro" w:cs="Calibri"/>
          <w:sz w:val="20"/>
          <w:szCs w:val="20"/>
          <w:lang w:eastAsia="ko-KR"/>
        </w:rPr>
        <w:t xml:space="preserve"> ; et </w:t>
      </w:r>
    </w:p>
    <w:p w14:paraId="39A42E47" w14:textId="77777777" w:rsidR="00D248B2" w:rsidRPr="00263B77" w:rsidRDefault="00D248B2" w:rsidP="00D248B2">
      <w:pPr>
        <w:spacing w:after="0"/>
        <w:jc w:val="both"/>
        <w:rPr>
          <w:rFonts w:ascii="Avenir Next LT Pro" w:eastAsia="Arial" w:hAnsi="Avenir Next LT Pro" w:cs="Calibri"/>
          <w:sz w:val="20"/>
          <w:szCs w:val="20"/>
          <w:lang w:eastAsia="ko-KR"/>
        </w:rPr>
      </w:pPr>
    </w:p>
    <w:p w14:paraId="6A902671" w14:textId="77777777" w:rsidR="00D248B2" w:rsidRPr="00263B77" w:rsidRDefault="00D248B2" w:rsidP="00D248B2">
      <w:pPr>
        <w:spacing w:after="0"/>
        <w:jc w:val="both"/>
        <w:rPr>
          <w:rFonts w:ascii="Avenir Next LT Pro" w:eastAsia="Arial" w:hAnsi="Avenir Next LT Pro" w:cs="Calibri"/>
          <w:sz w:val="20"/>
          <w:szCs w:val="20"/>
          <w:lang w:eastAsia="ko-KR"/>
        </w:rPr>
      </w:pPr>
      <w:r w:rsidRPr="00263B77">
        <w:rPr>
          <w:rFonts w:ascii="Avenir Next LT Pro" w:eastAsia="Arial" w:hAnsi="Avenir Next LT Pro" w:cs="Calibri"/>
          <w:b/>
          <w:bCs/>
          <w:sz w:val="20"/>
          <w:szCs w:val="20"/>
          <w:lang w:eastAsia="ko-KR"/>
        </w:rPr>
        <w:t>Si</w:t>
      </w:r>
      <w:r w:rsidRPr="00263B77">
        <w:rPr>
          <w:rFonts w:ascii="Avenir Next LT Pro" w:eastAsia="Arial" w:hAnsi="Avenir Next LT Pro" w:cs="Calibri"/>
          <w:sz w:val="20"/>
          <w:szCs w:val="20"/>
          <w:lang w:eastAsia="ko-KR"/>
        </w:rPr>
        <w:t xml:space="preserve"> le dialogue politique, la participation effective des parties prenantes et la communication sont assurés ; </w:t>
      </w:r>
    </w:p>
    <w:p w14:paraId="371FB649" w14:textId="77777777" w:rsidR="00D248B2" w:rsidRPr="00263B77" w:rsidRDefault="00D248B2" w:rsidP="00D248B2">
      <w:pPr>
        <w:spacing w:after="0"/>
        <w:jc w:val="both"/>
        <w:rPr>
          <w:rFonts w:ascii="Avenir Next LT Pro" w:eastAsia="Arial" w:hAnsi="Avenir Next LT Pro" w:cs="Calibri"/>
          <w:sz w:val="20"/>
          <w:szCs w:val="20"/>
          <w:lang w:eastAsia="ko-KR"/>
        </w:rPr>
      </w:pPr>
    </w:p>
    <w:p w14:paraId="56A0E450" w14:textId="5918928C" w:rsidR="00D248B2" w:rsidRPr="00263B77" w:rsidRDefault="00D248B2" w:rsidP="00D248B2">
      <w:pPr>
        <w:spacing w:after="0"/>
        <w:jc w:val="both"/>
        <w:rPr>
          <w:rFonts w:ascii="Avenir Next LT Pro" w:eastAsia="Arial" w:hAnsi="Avenir Next LT Pro" w:cs="Calibri"/>
          <w:sz w:val="20"/>
          <w:szCs w:val="20"/>
          <w:lang w:eastAsia="ko-KR"/>
        </w:rPr>
      </w:pPr>
      <w:r w:rsidRPr="00263B77">
        <w:rPr>
          <w:rFonts w:ascii="Avenir Next LT Pro" w:eastAsia="Arial" w:hAnsi="Avenir Next LT Pro" w:cs="Calibri"/>
          <w:b/>
          <w:bCs/>
          <w:sz w:val="20"/>
          <w:szCs w:val="20"/>
          <w:lang w:eastAsia="ko-KR"/>
        </w:rPr>
        <w:t>Alors</w:t>
      </w:r>
      <w:r w:rsidRPr="00263B77">
        <w:rPr>
          <w:rFonts w:ascii="Avenir Next LT Pro" w:eastAsia="Arial" w:hAnsi="Avenir Next LT Pro" w:cs="Calibri"/>
          <w:sz w:val="20"/>
          <w:szCs w:val="20"/>
          <w:lang w:eastAsia="ko-KR"/>
        </w:rPr>
        <w:t xml:space="preserve"> les financements climatiques d’envergue seront mobilisés permettant une mise en œuvre effective </w:t>
      </w:r>
      <w:r w:rsidR="0058023E">
        <w:rPr>
          <w:rFonts w:ascii="Avenir Next LT Pro" w:eastAsia="Arial" w:hAnsi="Avenir Next LT Pro" w:cs="Calibri"/>
          <w:sz w:val="20"/>
          <w:szCs w:val="20"/>
          <w:lang w:eastAsia="ko-KR"/>
        </w:rPr>
        <w:t xml:space="preserve">des mesures </w:t>
      </w:r>
      <w:r w:rsidR="00F62040">
        <w:rPr>
          <w:rFonts w:ascii="Avenir Next LT Pro" w:eastAsia="Arial" w:hAnsi="Avenir Next LT Pro" w:cs="Calibri"/>
          <w:sz w:val="20"/>
          <w:szCs w:val="20"/>
          <w:lang w:eastAsia="ko-KR"/>
        </w:rPr>
        <w:t xml:space="preserve">d’atténuation </w:t>
      </w:r>
      <w:r w:rsidRPr="00263B77">
        <w:rPr>
          <w:rFonts w:ascii="Avenir Next LT Pro" w:eastAsia="Arial" w:hAnsi="Avenir Next LT Pro" w:cs="Calibri"/>
          <w:sz w:val="20"/>
          <w:szCs w:val="20"/>
          <w:lang w:eastAsia="ko-KR"/>
        </w:rPr>
        <w:t xml:space="preserve">de la CDN dans le secteur forestier et ultimement la déforestation et la dégradation des forêts seront réduites ; </w:t>
      </w:r>
    </w:p>
    <w:p w14:paraId="7563AA13" w14:textId="77777777" w:rsidR="00D248B2" w:rsidRPr="00263B77" w:rsidRDefault="00D248B2" w:rsidP="00D248B2">
      <w:pPr>
        <w:spacing w:after="0"/>
        <w:jc w:val="both"/>
        <w:rPr>
          <w:rFonts w:ascii="Avenir Next LT Pro" w:eastAsia="Arial" w:hAnsi="Avenir Next LT Pro" w:cs="Calibri"/>
          <w:sz w:val="20"/>
          <w:szCs w:val="20"/>
          <w:lang w:eastAsia="ko-KR"/>
        </w:rPr>
      </w:pPr>
    </w:p>
    <w:p w14:paraId="0B809304" w14:textId="77777777" w:rsidR="00D248B2" w:rsidRPr="00263B77" w:rsidRDefault="00D248B2" w:rsidP="00D248B2">
      <w:pPr>
        <w:spacing w:after="0"/>
        <w:jc w:val="both"/>
        <w:rPr>
          <w:rFonts w:ascii="Avenir Next LT Pro" w:eastAsia="Arial" w:hAnsi="Avenir Next LT Pro" w:cs="Calibri"/>
          <w:sz w:val="20"/>
          <w:szCs w:val="20"/>
          <w:lang w:eastAsia="ko-KR"/>
        </w:rPr>
        <w:sectPr w:rsidR="00D248B2" w:rsidRPr="00263B77" w:rsidSect="00D248B2">
          <w:headerReference w:type="default" r:id="rId13"/>
          <w:footerReference w:type="default" r:id="rId14"/>
          <w:headerReference w:type="first" r:id="rId15"/>
          <w:type w:val="continuous"/>
          <w:pgSz w:w="11906" w:h="16838"/>
          <w:pgMar w:top="1843" w:right="1418" w:bottom="1418" w:left="1418" w:header="709" w:footer="709" w:gutter="0"/>
          <w:cols w:space="708"/>
          <w:titlePg/>
          <w:docGrid w:linePitch="360"/>
        </w:sectPr>
      </w:pPr>
      <w:r w:rsidRPr="00263B77">
        <w:rPr>
          <w:rFonts w:ascii="Avenir Next LT Pro" w:eastAsia="Arial" w:hAnsi="Avenir Next LT Pro" w:cs="Calibri"/>
          <w:b/>
          <w:bCs/>
          <w:sz w:val="20"/>
          <w:szCs w:val="20"/>
          <w:lang w:eastAsia="ko-KR"/>
        </w:rPr>
        <w:t>Parce que</w:t>
      </w:r>
      <w:r w:rsidRPr="00263B77">
        <w:rPr>
          <w:rFonts w:ascii="Avenir Next LT Pro" w:eastAsia="Arial" w:hAnsi="Avenir Next LT Pro" w:cs="Calibri"/>
          <w:sz w:val="20"/>
          <w:szCs w:val="20"/>
          <w:lang w:eastAsia="ko-KR"/>
        </w:rPr>
        <w:t xml:space="preserve"> les revenus générés par les marchés du carbone permettront de combler le gap financier pour la mise en œuvre effective de la CDN dans le secteur forestier tout en créant des incitations pour des pratiques et principes de durabilité.</w:t>
      </w:r>
    </w:p>
    <w:p w14:paraId="26B9CD6B" w14:textId="77777777" w:rsidR="009C0E91" w:rsidRDefault="009C0E91" w:rsidP="269B353C">
      <w:pPr>
        <w:pBdr>
          <w:top w:val="nil"/>
          <w:left w:val="nil"/>
          <w:bottom w:val="nil"/>
          <w:right w:val="nil"/>
          <w:between w:val="nil"/>
        </w:pBdr>
        <w:spacing w:after="60"/>
        <w:jc w:val="both"/>
        <w:rPr>
          <w:color w:val="000000" w:themeColor="text1"/>
          <w:sz w:val="20"/>
          <w:szCs w:val="20"/>
        </w:rPr>
      </w:pPr>
    </w:p>
    <w:p w14:paraId="286D2380" w14:textId="77777777" w:rsidR="007E07E5" w:rsidRDefault="007E07E5" w:rsidP="00487A95">
      <w:pPr>
        <w:pStyle w:val="Paragraphedeliste"/>
        <w:numPr>
          <w:ilvl w:val="0"/>
          <w:numId w:val="6"/>
        </w:numPr>
        <w:rPr>
          <w:rFonts w:ascii="Avenir Next LT Pro" w:hAnsi="Avenir Next LT Pro"/>
          <w:b/>
          <w:bCs/>
          <w:sz w:val="20"/>
          <w:szCs w:val="20"/>
          <w:u w:val="single"/>
          <w:lang w:eastAsia="fr-FR"/>
        </w:rPr>
        <w:sectPr w:rsidR="007E07E5" w:rsidSect="00861E2D">
          <w:headerReference w:type="default" r:id="rId16"/>
          <w:footerReference w:type="default" r:id="rId17"/>
          <w:headerReference w:type="first" r:id="rId18"/>
          <w:type w:val="continuous"/>
          <w:pgSz w:w="11906" w:h="16838"/>
          <w:pgMar w:top="1843" w:right="1418" w:bottom="1418" w:left="1418" w:header="709" w:footer="709" w:gutter="0"/>
          <w:cols w:space="708"/>
          <w:titlePg/>
          <w:docGrid w:linePitch="360"/>
        </w:sectPr>
      </w:pPr>
    </w:p>
    <w:p w14:paraId="6045C7E2" w14:textId="77777777" w:rsidR="007E07E5" w:rsidRDefault="007E07E5" w:rsidP="007E07E5">
      <w:pPr>
        <w:pStyle w:val="Paragraphedeliste"/>
        <w:rPr>
          <w:rFonts w:ascii="Avenir Next LT Pro" w:hAnsi="Avenir Next LT Pro"/>
          <w:b/>
          <w:bCs/>
          <w:sz w:val="20"/>
          <w:szCs w:val="20"/>
          <w:u w:val="single"/>
          <w:lang w:eastAsia="fr-FR"/>
        </w:rPr>
      </w:pPr>
    </w:p>
    <w:p w14:paraId="7E0A8917" w14:textId="77777777" w:rsidR="007E07E5" w:rsidRDefault="007E07E5" w:rsidP="007E07E5">
      <w:pPr>
        <w:pStyle w:val="Paragraphedeliste"/>
        <w:rPr>
          <w:rFonts w:ascii="Avenir Next LT Pro" w:hAnsi="Avenir Next LT Pro"/>
          <w:b/>
          <w:bCs/>
          <w:sz w:val="20"/>
          <w:szCs w:val="20"/>
          <w:u w:val="single"/>
          <w:lang w:eastAsia="fr-FR"/>
        </w:rPr>
      </w:pPr>
    </w:p>
    <w:p w14:paraId="138F1705" w14:textId="70120303" w:rsidR="006B5E6A" w:rsidRPr="00190DEF" w:rsidRDefault="006B5E6A" w:rsidP="00487A95">
      <w:pPr>
        <w:pStyle w:val="Paragraphedeliste"/>
        <w:numPr>
          <w:ilvl w:val="0"/>
          <w:numId w:val="6"/>
        </w:numPr>
        <w:rPr>
          <w:rFonts w:ascii="Avenir Next LT Pro" w:hAnsi="Avenir Next LT Pro"/>
          <w:b/>
          <w:bCs/>
          <w:sz w:val="20"/>
          <w:szCs w:val="20"/>
          <w:u w:val="single"/>
          <w:lang w:eastAsia="fr-FR"/>
        </w:rPr>
      </w:pPr>
      <w:r w:rsidRPr="00190DEF">
        <w:rPr>
          <w:rFonts w:ascii="Avenir Next LT Pro" w:hAnsi="Avenir Next LT Pro"/>
          <w:b/>
          <w:bCs/>
          <w:sz w:val="20"/>
          <w:szCs w:val="20"/>
          <w:u w:val="single"/>
          <w:lang w:eastAsia="fr-FR"/>
        </w:rPr>
        <w:t xml:space="preserve">Présentation schématisée de la Théorie du changement </w:t>
      </w:r>
    </w:p>
    <w:p w14:paraId="0AEF25F0" w14:textId="77777777" w:rsidR="006B5E6A" w:rsidRDefault="006B5E6A" w:rsidP="269B353C">
      <w:pPr>
        <w:spacing w:after="120"/>
        <w:rPr>
          <w:rFonts w:ascii="Avenir Next LT Pro" w:hAnsi="Avenir Next LT Pro"/>
          <w:lang w:eastAsia="fr-FR"/>
        </w:rPr>
      </w:pPr>
    </w:p>
    <w:p w14:paraId="233F8DC6" w14:textId="77777777" w:rsidR="00C00B48" w:rsidRDefault="00C00B48" w:rsidP="00A7529C">
      <w:pPr>
        <w:pStyle w:val="Titre3"/>
        <w:rPr>
          <w:color w:val="auto"/>
        </w:rPr>
        <w:sectPr w:rsidR="00C00B48" w:rsidSect="007E07E5">
          <w:pgSz w:w="11906" w:h="16838"/>
          <w:pgMar w:top="1843" w:right="1418" w:bottom="1418" w:left="1418" w:header="709" w:footer="709" w:gutter="0"/>
          <w:cols w:space="708"/>
          <w:titlePg/>
          <w:docGrid w:linePitch="360"/>
        </w:sectPr>
      </w:pPr>
      <w:bookmarkStart w:id="16" w:name="_Toc163230367"/>
    </w:p>
    <w:p w14:paraId="7DF7AA81" w14:textId="3DCF5F64" w:rsidR="007E07E5" w:rsidRDefault="002B54BD" w:rsidP="00A7529C">
      <w:pPr>
        <w:pStyle w:val="Titre3"/>
        <w:rPr>
          <w:color w:val="auto"/>
        </w:rPr>
        <w:sectPr w:rsidR="007E07E5" w:rsidSect="00C00B48">
          <w:pgSz w:w="16838" w:h="11906" w:orient="landscape"/>
          <w:pgMar w:top="1418" w:right="1843" w:bottom="1418" w:left="1418" w:header="709" w:footer="709" w:gutter="0"/>
          <w:cols w:space="708"/>
          <w:titlePg/>
          <w:docGrid w:linePitch="360"/>
        </w:sectPr>
      </w:pPr>
      <w:r>
        <w:rPr>
          <w:noProof/>
        </w:rPr>
        <w:lastRenderedPageBreak/>
        <mc:AlternateContent>
          <mc:Choice Requires="wpg">
            <w:drawing>
              <wp:anchor distT="0" distB="0" distL="114300" distR="114300" simplePos="0" relativeHeight="251662848" behindDoc="0" locked="0" layoutInCell="1" allowOverlap="1" wp14:anchorId="1A155259" wp14:editId="6BDC6671">
                <wp:simplePos x="0" y="0"/>
                <wp:positionH relativeFrom="page">
                  <wp:posOffset>581025</wp:posOffset>
                </wp:positionH>
                <wp:positionV relativeFrom="paragraph">
                  <wp:posOffset>-1071880</wp:posOffset>
                </wp:positionV>
                <wp:extent cx="10011410" cy="7038965"/>
                <wp:effectExtent l="0" t="0" r="27940" b="1016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11410" cy="7038965"/>
                          <a:chOff x="0" y="0"/>
                          <a:chExt cx="10011328" cy="6731368"/>
                        </a:xfrm>
                      </wpg:grpSpPr>
                      <wps:wsp>
                        <wps:cNvPr id="357956946" name="Rectangle 357956946"/>
                        <wps:cNvSpPr/>
                        <wps:spPr>
                          <a:xfrm>
                            <a:off x="6725893" y="2146661"/>
                            <a:ext cx="2946400" cy="3619186"/>
                          </a:xfrm>
                          <a:prstGeom prst="rect">
                            <a:avLst/>
                          </a:prstGeom>
                          <a:solidFill>
                            <a:sysClr val="window" lastClr="FFFFFF"/>
                          </a:solidFill>
                          <a:ln w="12700" cap="flat" cmpd="sng" algn="ctr">
                            <a:solidFill>
                              <a:srgbClr val="029676"/>
                            </a:solidFill>
                            <a:prstDash val="solid"/>
                            <a:miter lim="800000"/>
                          </a:ln>
                          <a:effectLst/>
                        </wps:spPr>
                        <wps:txbx>
                          <w:txbxContent>
                            <w:p w14:paraId="32B11ACE"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Appuyer les cadres de concertation et dialogue inclusifs</w:t>
                              </w:r>
                              <w:r>
                                <w:rPr>
                                  <w:rFonts w:cs="Calibri"/>
                                  <w:sz w:val="20"/>
                                  <w:szCs w:val="20"/>
                                </w:rPr>
                                <w:t xml:space="preserve"> </w:t>
                              </w:r>
                              <w:r w:rsidRPr="00C559AA">
                                <w:rPr>
                                  <w:rFonts w:ascii="Avenir Next LT Pro" w:hAnsi="Avenir Next LT Pro"/>
                                  <w:sz w:val="18"/>
                                  <w:szCs w:val="18"/>
                                  <w:lang w:eastAsia="fr-FR"/>
                                </w:rPr>
                                <w:t>et sensible au genre (ex. secteur public (gouvernement + parlement), secteur privé, société civile, PTF) sur les marchés du carbone et la CDN</w:t>
                              </w:r>
                            </w:p>
                            <w:p w14:paraId="4F5E182B"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Appuyer la diplomatie environnementale, les négociations internationales et les dialogues avec les bailleurs de fonds</w:t>
                              </w:r>
                            </w:p>
                            <w:p w14:paraId="67D20076"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et mettre en œuvre un plan d’information, communication et sensibilisation sensible au genre, sur les marchés du carbone et la CDN</w:t>
                              </w:r>
                            </w:p>
                            <w:p w14:paraId="7E689CB5"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et mettre en œuvre un plan de gestion des connaissances et savoir</w:t>
                              </w:r>
                            </w:p>
                            <w:p w14:paraId="0E50D6E6" w14:textId="77777777" w:rsidR="00D46485" w:rsidRPr="00812507" w:rsidRDefault="00D46485" w:rsidP="00D46485">
                              <w:pPr>
                                <w:rPr>
                                  <w:sz w:val="15"/>
                                  <w:szCs w:val="15"/>
                                </w:rPr>
                              </w:pPr>
                            </w:p>
                            <w:p w14:paraId="4E50F4DE" w14:textId="77777777" w:rsidR="00D46485" w:rsidRPr="00812507" w:rsidRDefault="00D46485" w:rsidP="00D46485">
                              <w:pPr>
                                <w:rPr>
                                  <w:sz w:val="15"/>
                                  <w:szCs w:val="15"/>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wps:wsp>
                        <wps:cNvPr id="357956947" name="Rectangle 357956947"/>
                        <wps:cNvSpPr/>
                        <wps:spPr>
                          <a:xfrm>
                            <a:off x="3418150" y="1995599"/>
                            <a:ext cx="3144521" cy="3797575"/>
                          </a:xfrm>
                          <a:prstGeom prst="rect">
                            <a:avLst/>
                          </a:prstGeom>
                          <a:solidFill>
                            <a:sysClr val="window" lastClr="FFFFFF"/>
                          </a:solidFill>
                          <a:ln w="12700" cap="flat" cmpd="sng" algn="ctr">
                            <a:solidFill>
                              <a:srgbClr val="029676"/>
                            </a:solidFill>
                            <a:prstDash val="solid"/>
                            <a:miter lim="800000"/>
                          </a:ln>
                          <a:effectLst/>
                        </wps:spPr>
                        <wps:txbx>
                          <w:txbxContent>
                            <w:p w14:paraId="12CED526"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Développer et appuyer la mise en œuvre d’une stratégie d’accès aux marchés du carbone  </w:t>
                              </w:r>
                            </w:p>
                            <w:p w14:paraId="23D3C6E2"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Appuyer l’opérationnalisation de l’Autorité de Régulation du Marché de Carbone </w:t>
                              </w:r>
                            </w:p>
                            <w:p w14:paraId="0E8188CC"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Etablir et opérationnaliser les infrastructures essentielles des marchés du carbone (standards et sauvegardes nationales, y compris systèmes d’information des sauvegardes (SIS) ; registre ; système de partage équitable des bénéfices ; arrangements de nesting ; comptabilité du carbone ; certification ; mécanisme de réclamations et recours) et le développement d’instruments financiers et l’établissement d’un système de financement pérenne </w:t>
                              </w:r>
                            </w:p>
                            <w:p w14:paraId="1A69B288"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une politique nationale/Cadre de mise en œuvre de l’Article 6 de l’Accord de Paris</w:t>
                              </w:r>
                            </w:p>
                            <w:p w14:paraId="63F2DCA0"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Appuyer la conception et/ou la mise en œuvre de programme juridictionnels sur les marchés du carbone </w:t>
                              </w:r>
                            </w:p>
                            <w:p w14:paraId="7706E26E" w14:textId="77777777" w:rsidR="00D46485"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et mettre en œuvre un plan robuste de renforcement des capacités continue et partage d’expérience Sud-Sud et Nord-Sud, inclusif et sensible au genre</w:t>
                              </w:r>
                            </w:p>
                            <w:p w14:paraId="50AAC0BF" w14:textId="6C7F1BA4" w:rsidR="0059639C" w:rsidRPr="00C559AA" w:rsidRDefault="0059639C" w:rsidP="00D46485">
                              <w:pPr>
                                <w:pStyle w:val="Paragraphedeliste"/>
                                <w:numPr>
                                  <w:ilvl w:val="1"/>
                                  <w:numId w:val="46"/>
                                </w:numPr>
                                <w:spacing w:after="0" w:line="240" w:lineRule="auto"/>
                                <w:rPr>
                                  <w:rFonts w:ascii="Avenir Next LT Pro" w:hAnsi="Avenir Next LT Pro"/>
                                  <w:sz w:val="18"/>
                                  <w:szCs w:val="18"/>
                                  <w:lang w:eastAsia="fr-FR"/>
                                </w:rPr>
                              </w:pPr>
                              <w:r w:rsidRPr="0059639C">
                                <w:rPr>
                                  <w:rFonts w:ascii="Avenir Next LT Pro" w:hAnsi="Avenir Next LT Pro"/>
                                  <w:sz w:val="18"/>
                                  <w:szCs w:val="18"/>
                                  <w:lang w:eastAsia="fr-FR"/>
                                </w:rPr>
                                <w:t>Un mécanisme pour le tracking des divers flux financiers à destination de la RDC est proposé pour faciliter le rapportage dans le cadre de la mise en œuvre de la CDN, notamment la production des BTR</w:t>
                              </w:r>
                            </w:p>
                            <w:p w14:paraId="5E297CE9" w14:textId="77777777" w:rsidR="00D46485" w:rsidRPr="00453896" w:rsidRDefault="00D46485" w:rsidP="00D46485">
                              <w:pPr>
                                <w:pStyle w:val="Paragraphedeliste"/>
                                <w:rPr>
                                  <w:rFonts w:cs="Calibri"/>
                                  <w:sz w:val="15"/>
                                  <w:szCs w:val="15"/>
                                </w:rPr>
                              </w:pPr>
                            </w:p>
                            <w:p w14:paraId="78A9E6A9" w14:textId="77777777" w:rsidR="00D46485" w:rsidRPr="00453896" w:rsidRDefault="00D46485" w:rsidP="00D46485">
                              <w:pPr>
                                <w:spacing w:after="0"/>
                                <w:jc w:val="both"/>
                                <w:rPr>
                                  <w:rFonts w:cs="Calibri"/>
                                  <w:sz w:val="15"/>
                                  <w:szCs w:val="15"/>
                                </w:rPr>
                              </w:pPr>
                            </w:p>
                            <w:p w14:paraId="2902D071" w14:textId="77777777" w:rsidR="00D46485" w:rsidRPr="00453896" w:rsidRDefault="00D46485" w:rsidP="00D46485">
                              <w:pPr>
                                <w:rPr>
                                  <w:sz w:val="15"/>
                                  <w:szCs w:val="15"/>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wps:wsp>
                        <wps:cNvPr id="357956948" name="Rectangle 357956948"/>
                        <wps:cNvSpPr/>
                        <wps:spPr>
                          <a:xfrm>
                            <a:off x="3401684" y="1468550"/>
                            <a:ext cx="3180037" cy="479025"/>
                          </a:xfrm>
                          <a:prstGeom prst="rect">
                            <a:avLst/>
                          </a:prstGeom>
                          <a:gradFill rotWithShape="1">
                            <a:gsLst>
                              <a:gs pos="0">
                                <a:srgbClr val="0989B1">
                                  <a:lumMod val="110000"/>
                                  <a:satMod val="105000"/>
                                  <a:tint val="67000"/>
                                </a:srgbClr>
                              </a:gs>
                              <a:gs pos="50000">
                                <a:srgbClr val="0989B1">
                                  <a:lumMod val="105000"/>
                                  <a:satMod val="103000"/>
                                  <a:tint val="73000"/>
                                </a:srgbClr>
                              </a:gs>
                              <a:gs pos="100000">
                                <a:srgbClr val="0989B1">
                                  <a:lumMod val="105000"/>
                                  <a:satMod val="109000"/>
                                  <a:tint val="81000"/>
                                </a:srgbClr>
                              </a:gs>
                            </a:gsLst>
                            <a:lin ang="5400000" scaled="0"/>
                          </a:gradFill>
                          <a:ln w="6350" cap="flat" cmpd="sng" algn="ctr">
                            <a:solidFill>
                              <a:srgbClr val="0989B1"/>
                            </a:solidFill>
                            <a:prstDash val="solid"/>
                            <a:miter lim="800000"/>
                          </a:ln>
                          <a:effectLst/>
                        </wps:spPr>
                        <wps:txbx>
                          <w:txbxContent>
                            <w:p w14:paraId="6C033A04" w14:textId="77777777" w:rsidR="00D46485" w:rsidRPr="00C00B48" w:rsidRDefault="00D46485" w:rsidP="00D46485">
                              <w:pPr>
                                <w:jc w:val="center"/>
                                <w:rPr>
                                  <w:rFonts w:ascii="Avenir Next LT Pro" w:hAnsi="Avenir Next LT Pro"/>
                                  <w:b/>
                                  <w:bCs/>
                                  <w:sz w:val="18"/>
                                  <w:szCs w:val="18"/>
                                  <w:lang w:eastAsia="fr-FR"/>
                                </w:rPr>
                              </w:pPr>
                              <w:r w:rsidRPr="00C00B48">
                                <w:rPr>
                                  <w:rFonts w:ascii="Avenir Next LT Pro" w:hAnsi="Avenir Next LT Pro"/>
                                  <w:b/>
                                  <w:bCs/>
                                  <w:sz w:val="18"/>
                                  <w:szCs w:val="18"/>
                                  <w:lang w:eastAsia="fr-FR"/>
                                </w:rPr>
                                <w:t xml:space="preserve">PRODUIT 2. Le cadre de gouvernance pour le déploiement des marchés du carbone est développé   </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49" name="Rectangle 357956949"/>
                        <wps:cNvSpPr/>
                        <wps:spPr>
                          <a:xfrm>
                            <a:off x="6686136" y="1486894"/>
                            <a:ext cx="2959100" cy="571500"/>
                          </a:xfrm>
                          <a:prstGeom prst="rect">
                            <a:avLst/>
                          </a:prstGeom>
                          <a:gradFill rotWithShape="1">
                            <a:gsLst>
                              <a:gs pos="0">
                                <a:srgbClr val="029676">
                                  <a:lumMod val="110000"/>
                                  <a:satMod val="105000"/>
                                  <a:tint val="67000"/>
                                </a:srgbClr>
                              </a:gs>
                              <a:gs pos="50000">
                                <a:srgbClr val="029676">
                                  <a:lumMod val="105000"/>
                                  <a:satMod val="103000"/>
                                  <a:tint val="73000"/>
                                </a:srgbClr>
                              </a:gs>
                              <a:gs pos="100000">
                                <a:srgbClr val="029676">
                                  <a:lumMod val="105000"/>
                                  <a:satMod val="109000"/>
                                  <a:tint val="81000"/>
                                </a:srgbClr>
                              </a:gs>
                            </a:gsLst>
                            <a:lin ang="5400000" scaled="0"/>
                          </a:gradFill>
                          <a:ln w="6350" cap="flat" cmpd="sng" algn="ctr">
                            <a:solidFill>
                              <a:srgbClr val="029676"/>
                            </a:solidFill>
                            <a:prstDash val="solid"/>
                            <a:miter lim="800000"/>
                          </a:ln>
                          <a:effectLst/>
                        </wps:spPr>
                        <wps:txbx>
                          <w:txbxContent>
                            <w:p w14:paraId="52D5A9C8" w14:textId="77777777" w:rsidR="00D46485" w:rsidRPr="00C00B48" w:rsidRDefault="00D46485" w:rsidP="00D46485">
                              <w:pPr>
                                <w:jc w:val="center"/>
                                <w:rPr>
                                  <w:rFonts w:ascii="Avenir Next LT Pro" w:hAnsi="Avenir Next LT Pro"/>
                                  <w:b/>
                                  <w:bCs/>
                                  <w:sz w:val="18"/>
                                  <w:szCs w:val="18"/>
                                  <w:lang w:eastAsia="fr-FR"/>
                                </w:rPr>
                              </w:pPr>
                              <w:r w:rsidRPr="00C00B48">
                                <w:rPr>
                                  <w:rFonts w:ascii="Avenir Next LT Pro" w:hAnsi="Avenir Next LT Pro"/>
                                  <w:b/>
                                  <w:bCs/>
                                  <w:sz w:val="18"/>
                                  <w:szCs w:val="18"/>
                                  <w:lang w:eastAsia="fr-FR"/>
                                </w:rPr>
                                <w:t xml:space="preserve">PRODUIT 3. Des cadres de concertation inclusif et sensible au genre, la diplomatie environnementale, la communication sont renforcés </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50" name="Rectangle 357956950"/>
                        <wps:cNvSpPr/>
                        <wps:spPr>
                          <a:xfrm>
                            <a:off x="476142" y="2019121"/>
                            <a:ext cx="2755900" cy="3773538"/>
                          </a:xfrm>
                          <a:prstGeom prst="rect">
                            <a:avLst/>
                          </a:prstGeom>
                          <a:solidFill>
                            <a:sysClr val="window" lastClr="FFFFFF"/>
                          </a:solidFill>
                          <a:ln w="12700" cap="flat" cmpd="sng" algn="ctr">
                            <a:solidFill>
                              <a:srgbClr val="029676"/>
                            </a:solidFill>
                            <a:prstDash val="solid"/>
                            <a:miter lim="800000"/>
                          </a:ln>
                          <a:effectLst/>
                        </wps:spPr>
                        <wps:txbx>
                          <w:txbxContent>
                            <w:p w14:paraId="69DF4115"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Appuyer la création et l’opérationnalisation du Conseil national de l’environnement et du développement durable (CNEDD)</w:t>
                              </w:r>
                            </w:p>
                            <w:p w14:paraId="34D0C441"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Appuyer la mise en place et le fonctionnement de la Cellule Technique de la CDN</w:t>
                              </w:r>
                            </w:p>
                            <w:p w14:paraId="4805D498"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Elaborer et appuyer la mise en œuvre de la stratégie nationale de financement de la CDN</w:t>
                              </w:r>
                            </w:p>
                            <w:p w14:paraId="22B9A309"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Finaliser le développement et opérationnalisation du système MRV de la CDN</w:t>
                              </w:r>
                            </w:p>
                            <w:p w14:paraId="46B0659D"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Appuyer l’intégration/alignement de la CDN dans les stratégies et politiques nationales/provinciales et sectorielles et l’élaboration d’outils de planification et de suivi-évaluation alignés sur le PNSD et les ODD</w:t>
                              </w:r>
                            </w:p>
                            <w:p w14:paraId="78370D9A" w14:textId="77777777" w:rsidR="00D46485" w:rsidRPr="00D4433B" w:rsidRDefault="00D46485" w:rsidP="00D46485">
                              <w:pPr>
                                <w:spacing w:after="60"/>
                                <w:rPr>
                                  <w:rFonts w:cs="Calibri"/>
                                  <w:sz w:val="18"/>
                                  <w:szCs w:val="18"/>
                                  <w:lang w:val="fr-CD"/>
                                </w:rPr>
                              </w:pPr>
                            </w:p>
                            <w:p w14:paraId="7311B76A" w14:textId="77777777" w:rsidR="00D46485" w:rsidRPr="00D4433B" w:rsidRDefault="00D46485" w:rsidP="00D46485">
                              <w:pPr>
                                <w:rPr>
                                  <w:sz w:val="18"/>
                                  <w:szCs w:val="18"/>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wps:wsp>
                        <wps:cNvPr id="357956951" name="Rectangle: Rounded Corners 357956951"/>
                        <wps:cNvSpPr/>
                        <wps:spPr>
                          <a:xfrm>
                            <a:off x="539778" y="516835"/>
                            <a:ext cx="9080500" cy="457200"/>
                          </a:xfrm>
                          <a:prstGeom prst="roundRect">
                            <a:avLst/>
                          </a:prstGeom>
                          <a:solidFill>
                            <a:sysClr val="window" lastClr="FFFFFF"/>
                          </a:solidFill>
                          <a:ln w="12700" cap="flat" cmpd="sng" algn="ctr">
                            <a:solidFill>
                              <a:srgbClr val="4AB5C4"/>
                            </a:solidFill>
                            <a:prstDash val="solid"/>
                            <a:miter lim="800000"/>
                          </a:ln>
                          <a:effectLst/>
                        </wps:spPr>
                        <wps:txbx>
                          <w:txbxContent>
                            <w:p w14:paraId="09B6620F" w14:textId="77777777" w:rsidR="00D46485" w:rsidRPr="00C00B48" w:rsidRDefault="00D46485" w:rsidP="00D46485">
                              <w:pPr>
                                <w:spacing w:after="0"/>
                                <w:jc w:val="center"/>
                                <w:rPr>
                                  <w:rFonts w:ascii="Avenir Next LT Pro" w:hAnsi="Avenir Next LT Pro"/>
                                  <w:b/>
                                  <w:bCs/>
                                  <w:sz w:val="20"/>
                                  <w:szCs w:val="20"/>
                                  <w:lang w:eastAsia="fr-FR"/>
                                </w:rPr>
                              </w:pPr>
                              <w:r w:rsidRPr="00C00B48">
                                <w:rPr>
                                  <w:rFonts w:ascii="Avenir Next LT Pro" w:hAnsi="Avenir Next LT Pro"/>
                                  <w:b/>
                                  <w:bCs/>
                                  <w:sz w:val="20"/>
                                  <w:szCs w:val="20"/>
                                  <w:lang w:eastAsia="fr-FR"/>
                                </w:rPr>
                                <w:t>IMPACT 1. Réduction des émissions de gaz à effet de serre dues au déboisement et à la dégradation des forêts ; et accroissement des absorptions par les puits de carbone forestier ; IMPACT 2 : Co-bénéfices de développement</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52" name="Rectangle: Rounded Corners 15"/>
                        <wps:cNvSpPr/>
                        <wps:spPr>
                          <a:xfrm rot="16200000">
                            <a:off x="-1006281" y="3280382"/>
                            <a:ext cx="2341245" cy="302260"/>
                          </a:xfrm>
                          <a:prstGeom prst="roundRect">
                            <a:avLst/>
                          </a:prstGeom>
                          <a:solidFill>
                            <a:sysClr val="window" lastClr="FFFFFF"/>
                          </a:solidFill>
                          <a:ln w="12700" cap="flat" cmpd="sng" algn="ctr">
                            <a:solidFill>
                              <a:srgbClr val="029676"/>
                            </a:solidFill>
                            <a:prstDash val="solid"/>
                            <a:miter lim="800000"/>
                          </a:ln>
                          <a:effectLst/>
                        </wps:spPr>
                        <wps:txbx>
                          <w:txbxContent>
                            <w:p w14:paraId="34DC995D" w14:textId="77777777" w:rsidR="00D46485" w:rsidRPr="00EB44B3" w:rsidRDefault="00D46485" w:rsidP="00D46485">
                              <w:pPr>
                                <w:jc w:val="center"/>
                                <w:rPr>
                                  <w:b/>
                                  <w:sz w:val="18"/>
                                  <w:szCs w:val="18"/>
                                </w:rPr>
                              </w:pPr>
                              <w:r>
                                <w:rPr>
                                  <w:b/>
                                  <w:bCs/>
                                  <w:sz w:val="18"/>
                                  <w:szCs w:val="18"/>
                                </w:rPr>
                                <w:t>ACTIVITES</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57956953" name="Rectangle: Rounded Corners 357956953"/>
                        <wps:cNvSpPr/>
                        <wps:spPr>
                          <a:xfrm rot="16200000">
                            <a:off x="-205740" y="6036541"/>
                            <a:ext cx="755650" cy="344170"/>
                          </a:xfrm>
                          <a:prstGeom prst="roundRect">
                            <a:avLst/>
                          </a:prstGeom>
                          <a:solidFill>
                            <a:sysClr val="window" lastClr="FFFFFF"/>
                          </a:solidFill>
                          <a:ln w="12700">
                            <a:solidFill>
                              <a:srgbClr val="8AB833">
                                <a:lumMod val="50000"/>
                              </a:srgbClr>
                            </a:solidFill>
                            <a:miter lim="800000"/>
                          </a:ln>
                          <a:effectLst/>
                        </wps:spPr>
                        <wps:txbx>
                          <w:txbxContent>
                            <w:p w14:paraId="0DF45C4E" w14:textId="77777777" w:rsidR="00D46485" w:rsidRPr="003B1E9F" w:rsidRDefault="00D46485" w:rsidP="00D46485">
                              <w:pPr>
                                <w:jc w:val="center"/>
                                <w:rPr>
                                  <w:b/>
                                  <w:sz w:val="18"/>
                                  <w:szCs w:val="18"/>
                                </w:rPr>
                              </w:pPr>
                              <w:r>
                                <w:rPr>
                                  <w:b/>
                                  <w:bCs/>
                                  <w:sz w:val="18"/>
                                  <w:szCs w:val="18"/>
                                </w:rPr>
                                <w:t>BARRIERES</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54" name="Rectangle: Rounded Corners 357956954"/>
                        <wps:cNvSpPr/>
                        <wps:spPr>
                          <a:xfrm>
                            <a:off x="635194" y="0"/>
                            <a:ext cx="9004300" cy="450850"/>
                          </a:xfrm>
                          <a:prstGeom prst="roundRect">
                            <a:avLst/>
                          </a:prstGeom>
                          <a:solidFill>
                            <a:sysClr val="window" lastClr="FFFFFF"/>
                          </a:solidFill>
                          <a:ln w="12700" cap="flat" cmpd="sng" algn="ctr">
                            <a:solidFill>
                              <a:srgbClr val="7030A0"/>
                            </a:solidFill>
                            <a:prstDash val="solid"/>
                            <a:miter lim="800000"/>
                          </a:ln>
                          <a:effectLst/>
                        </wps:spPr>
                        <wps:txbx>
                          <w:txbxContent>
                            <w:p w14:paraId="7285D5CE" w14:textId="77777777" w:rsidR="00D46485" w:rsidRPr="00C00B48" w:rsidRDefault="00D46485" w:rsidP="00D46485">
                              <w:pPr>
                                <w:spacing w:after="0"/>
                                <w:jc w:val="center"/>
                                <w:rPr>
                                  <w:rFonts w:ascii="Avenir Next LT Pro" w:hAnsi="Avenir Next LT Pro"/>
                                  <w:b/>
                                  <w:bCs/>
                                  <w:sz w:val="20"/>
                                  <w:szCs w:val="20"/>
                                  <w:u w:val="single"/>
                                  <w:lang w:eastAsia="fr-FR"/>
                                </w:rPr>
                              </w:pPr>
                              <w:r w:rsidRPr="00C00B48">
                                <w:rPr>
                                  <w:rFonts w:ascii="Avenir Next LT Pro" w:hAnsi="Avenir Next LT Pro"/>
                                  <w:b/>
                                  <w:bCs/>
                                  <w:sz w:val="20"/>
                                  <w:szCs w:val="20"/>
                                  <w:u w:val="single"/>
                                  <w:lang w:eastAsia="fr-FR"/>
                                </w:rPr>
                                <w:t>CHANGEMENT DESIRE</w:t>
                              </w:r>
                            </w:p>
                            <w:p w14:paraId="136825E4" w14:textId="77777777" w:rsidR="00D46485" w:rsidRPr="00C00B48" w:rsidRDefault="00D46485" w:rsidP="00D46485">
                              <w:pPr>
                                <w:jc w:val="center"/>
                                <w:rPr>
                                  <w:rFonts w:ascii="Avenir Next LT Pro" w:hAnsi="Avenir Next LT Pro"/>
                                  <w:b/>
                                  <w:bCs/>
                                  <w:sz w:val="20"/>
                                  <w:szCs w:val="20"/>
                                  <w:u w:val="single"/>
                                  <w:lang w:eastAsia="fr-FR"/>
                                </w:rPr>
                              </w:pPr>
                              <w:r w:rsidRPr="00C00B48">
                                <w:rPr>
                                  <w:rFonts w:ascii="Avenir Next LT Pro" w:hAnsi="Avenir Next LT Pro"/>
                                  <w:b/>
                                  <w:bCs/>
                                  <w:sz w:val="20"/>
                                  <w:szCs w:val="20"/>
                                  <w:u w:val="single"/>
                                  <w:lang w:eastAsia="fr-FR"/>
                                </w:rPr>
                                <w:t xml:space="preserve">La République Démocratique du Congo arrête, puis inverse la déforestation et la dégradation des forêts d’ici 2031 tout en s’assurant un développement durable </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55" name="Rounded Rectangle 23"/>
                        <wps:cNvSpPr/>
                        <wps:spPr>
                          <a:xfrm>
                            <a:off x="1955110" y="5915360"/>
                            <a:ext cx="1485900" cy="679450"/>
                          </a:xfrm>
                          <a:prstGeom prst="roundRect">
                            <a:avLst/>
                          </a:prstGeom>
                          <a:solidFill>
                            <a:sysClr val="window" lastClr="FFFFFF"/>
                          </a:solidFill>
                          <a:ln w="12700" cap="flat" cmpd="sng" algn="ctr">
                            <a:solidFill>
                              <a:srgbClr val="8AB833">
                                <a:lumMod val="50000"/>
                              </a:srgbClr>
                            </a:solidFill>
                            <a:prstDash val="solid"/>
                            <a:miter lim="800000"/>
                          </a:ln>
                          <a:effectLst/>
                        </wps:spPr>
                        <wps:txbx>
                          <w:txbxContent>
                            <w:p w14:paraId="1D825E97"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Infrastructures pour la participation aux marchés du carbone inadéquates ou inexistantes</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56" name="Rectangle: Rounded Corners 357956956"/>
                        <wps:cNvSpPr/>
                        <wps:spPr>
                          <a:xfrm rot="16200000">
                            <a:off x="-38762" y="1218454"/>
                            <a:ext cx="501595" cy="302260"/>
                          </a:xfrm>
                          <a:prstGeom prst="roundRect">
                            <a:avLst/>
                          </a:prstGeom>
                          <a:solidFill>
                            <a:sysClr val="window" lastClr="FFFFFF"/>
                          </a:solidFill>
                          <a:ln w="12700">
                            <a:solidFill>
                              <a:srgbClr val="70AD47"/>
                            </a:solidFill>
                            <a:miter lim="800000"/>
                          </a:ln>
                          <a:effectLst/>
                        </wps:spPr>
                        <wps:txbx>
                          <w:txbxContent>
                            <w:p w14:paraId="2D739AA0" w14:textId="77777777" w:rsidR="00D46485" w:rsidRPr="00D509AF" w:rsidRDefault="00D46485" w:rsidP="00D46485">
                              <w:pPr>
                                <w:jc w:val="center"/>
                                <w:rPr>
                                  <w:b/>
                                  <w:sz w:val="18"/>
                                  <w:szCs w:val="14"/>
                                </w:rPr>
                              </w:pPr>
                              <w:r>
                                <w:rPr>
                                  <w:b/>
                                  <w:bCs/>
                                  <w:sz w:val="18"/>
                                  <w:szCs w:val="18"/>
                                </w:rPr>
                                <w:t>EFFETS</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357956957" name="Rectangle: Rounded Corners 357956957"/>
                        <wps:cNvSpPr/>
                        <wps:spPr>
                          <a:xfrm>
                            <a:off x="539778" y="1017767"/>
                            <a:ext cx="4679950" cy="427990"/>
                          </a:xfrm>
                          <a:prstGeom prst="roundRect">
                            <a:avLst/>
                          </a:prstGeom>
                          <a:solidFill>
                            <a:sysClr val="window" lastClr="FFFFFF"/>
                          </a:solidFill>
                          <a:ln w="12700">
                            <a:solidFill>
                              <a:srgbClr val="70AD47"/>
                            </a:solidFill>
                            <a:miter lim="800000"/>
                          </a:ln>
                          <a:effectLst/>
                        </wps:spPr>
                        <wps:txbx>
                          <w:txbxContent>
                            <w:p w14:paraId="46FFC8D0" w14:textId="77777777" w:rsidR="00D46485" w:rsidRPr="00C00B48" w:rsidRDefault="00D46485" w:rsidP="00D46485">
                              <w:pPr>
                                <w:spacing w:after="0"/>
                                <w:jc w:val="center"/>
                                <w:rPr>
                                  <w:rFonts w:ascii="Avenir Next LT Pro" w:hAnsi="Avenir Next LT Pro"/>
                                  <w:sz w:val="18"/>
                                  <w:szCs w:val="18"/>
                                  <w:lang w:eastAsia="fr-FR"/>
                                </w:rPr>
                              </w:pPr>
                              <w:r w:rsidRPr="00C00B48">
                                <w:rPr>
                                  <w:rFonts w:ascii="Avenir Next LT Pro" w:hAnsi="Avenir Next LT Pro"/>
                                  <w:sz w:val="18"/>
                                  <w:szCs w:val="18"/>
                                  <w:lang w:eastAsia="fr-FR"/>
                                </w:rPr>
                                <w:t>L’accès aux marchés du carbone facilite la mobilisation des financements climatiques pour la mise en œuvre effective de la CDN dans le secteur forestier</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58" name="Rectangle: Rounded Corners 7"/>
                        <wps:cNvSpPr/>
                        <wps:spPr>
                          <a:xfrm>
                            <a:off x="5382122" y="1041621"/>
                            <a:ext cx="4260850" cy="410845"/>
                          </a:xfrm>
                          <a:prstGeom prst="roundRect">
                            <a:avLst/>
                          </a:prstGeom>
                          <a:solidFill>
                            <a:sysClr val="window" lastClr="FFFFFF"/>
                          </a:solidFill>
                          <a:ln w="12700">
                            <a:solidFill>
                              <a:srgbClr val="70AD47"/>
                            </a:solidFill>
                            <a:miter lim="800000"/>
                          </a:ln>
                          <a:effectLst/>
                        </wps:spPr>
                        <wps:txbx>
                          <w:txbxContent>
                            <w:p w14:paraId="5DC7A17D" w14:textId="77777777" w:rsidR="00D46485" w:rsidRPr="00C00B48" w:rsidRDefault="00D46485" w:rsidP="00D46485">
                              <w:pPr>
                                <w:spacing w:after="0"/>
                                <w:jc w:val="center"/>
                                <w:rPr>
                                  <w:rFonts w:ascii="Avenir Next LT Pro" w:hAnsi="Avenir Next LT Pro"/>
                                  <w:sz w:val="18"/>
                                  <w:szCs w:val="18"/>
                                  <w:lang w:eastAsia="fr-FR"/>
                                </w:rPr>
                              </w:pPr>
                              <w:r w:rsidRPr="00C00B48">
                                <w:rPr>
                                  <w:rFonts w:ascii="Avenir Next LT Pro" w:hAnsi="Avenir Next LT Pro"/>
                                  <w:sz w:val="18"/>
                                  <w:szCs w:val="18"/>
                                  <w:lang w:eastAsia="fr-FR"/>
                                </w:rPr>
                                <w:t xml:space="preserve">Les engagements d’atténuation de la CDN du secteur forestier sont mis en œuvre de manière effective, inclusive et participative </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59" name="Rectangle 357956959"/>
                        <wps:cNvSpPr/>
                        <wps:spPr>
                          <a:xfrm>
                            <a:off x="539748" y="1582173"/>
                            <a:ext cx="2660650" cy="368547"/>
                          </a:xfrm>
                          <a:prstGeom prst="rect">
                            <a:avLst/>
                          </a:prstGeom>
                          <a:gradFill rotWithShape="1">
                            <a:gsLst>
                              <a:gs pos="0">
                                <a:srgbClr val="C0CF3A">
                                  <a:lumMod val="110000"/>
                                  <a:satMod val="105000"/>
                                  <a:tint val="67000"/>
                                </a:srgbClr>
                              </a:gs>
                              <a:gs pos="50000">
                                <a:srgbClr val="C0CF3A">
                                  <a:lumMod val="105000"/>
                                  <a:satMod val="103000"/>
                                  <a:tint val="73000"/>
                                </a:srgbClr>
                              </a:gs>
                              <a:gs pos="100000">
                                <a:srgbClr val="C0CF3A">
                                  <a:lumMod val="105000"/>
                                  <a:satMod val="109000"/>
                                  <a:tint val="81000"/>
                                </a:srgbClr>
                              </a:gs>
                            </a:gsLst>
                            <a:lin ang="5400000" scaled="0"/>
                          </a:gradFill>
                          <a:ln w="6350" cap="flat" cmpd="sng" algn="ctr">
                            <a:solidFill>
                              <a:srgbClr val="C0CF3A"/>
                            </a:solidFill>
                            <a:prstDash val="solid"/>
                            <a:miter lim="800000"/>
                          </a:ln>
                          <a:effectLst/>
                        </wps:spPr>
                        <wps:txbx>
                          <w:txbxContent>
                            <w:p w14:paraId="4E8B0EA7" w14:textId="77777777" w:rsidR="00D46485" w:rsidRPr="00C00B48" w:rsidRDefault="00D46485" w:rsidP="00C00B48">
                              <w:pPr>
                                <w:spacing w:after="0"/>
                                <w:jc w:val="center"/>
                                <w:rPr>
                                  <w:rFonts w:ascii="Avenir Next LT Pro" w:hAnsi="Avenir Next LT Pro"/>
                                  <w:b/>
                                  <w:bCs/>
                                  <w:sz w:val="18"/>
                                  <w:szCs w:val="18"/>
                                  <w:lang w:eastAsia="fr-FR"/>
                                </w:rPr>
                              </w:pPr>
                              <w:r w:rsidRPr="00C00B48">
                                <w:rPr>
                                  <w:rFonts w:ascii="Avenir Next LT Pro" w:hAnsi="Avenir Next LT Pro"/>
                                  <w:b/>
                                  <w:bCs/>
                                  <w:sz w:val="18"/>
                                  <w:szCs w:val="18"/>
                                  <w:lang w:eastAsia="fr-FR"/>
                                </w:rPr>
                                <w:t>PRODUIT 1. Le cadre de gouvernance pour la mise en œuvre de la CDN est établi</w:t>
                              </w:r>
                            </w:p>
                            <w:p w14:paraId="47BDF921" w14:textId="77777777" w:rsidR="00D46485" w:rsidRPr="00D4433B" w:rsidRDefault="00D46485" w:rsidP="00D46485">
                              <w:pPr>
                                <w:jc w:val="center"/>
                                <w:rPr>
                                  <w:sz w:val="14"/>
                                  <w:szCs w:val="14"/>
                                  <w:lang w:val="fr-CD"/>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60" name="Rounded Rectangle 22"/>
                        <wps:cNvSpPr/>
                        <wps:spPr>
                          <a:xfrm>
                            <a:off x="6360133" y="5907416"/>
                            <a:ext cx="1040765" cy="717550"/>
                          </a:xfrm>
                          <a:prstGeom prst="roundRect">
                            <a:avLst/>
                          </a:prstGeom>
                          <a:solidFill>
                            <a:sysClr val="window" lastClr="FFFFFF"/>
                          </a:solidFill>
                          <a:ln w="12700" cap="flat" cmpd="sng" algn="ctr">
                            <a:solidFill>
                              <a:srgbClr val="8AB833">
                                <a:lumMod val="50000"/>
                              </a:srgbClr>
                            </a:solidFill>
                            <a:prstDash val="solid"/>
                            <a:miter lim="800000"/>
                          </a:ln>
                          <a:effectLst/>
                        </wps:spPr>
                        <wps:txbx>
                          <w:txbxContent>
                            <w:p w14:paraId="5E0B465F" w14:textId="79E6AA23"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Absence des mécanismes de collaboration intersectoriel</w:t>
                              </w:r>
                              <w:r w:rsidR="000710EE">
                                <w:rPr>
                                  <w:rFonts w:ascii="Avenir Next LT Pro" w:hAnsi="Avenir Next LT Pro"/>
                                  <w:sz w:val="16"/>
                                  <w:szCs w:val="16"/>
                                  <w:lang w:eastAsia="fr-FR"/>
                                </w:rPr>
                                <w:t>le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61" name="Rounded Rectangle 61"/>
                        <wps:cNvSpPr/>
                        <wps:spPr>
                          <a:xfrm>
                            <a:off x="4881190" y="5915360"/>
                            <a:ext cx="1289050" cy="704850"/>
                          </a:xfrm>
                          <a:prstGeom prst="roundRect">
                            <a:avLst/>
                          </a:prstGeom>
                          <a:solidFill>
                            <a:sysClr val="window" lastClr="FFFFFF"/>
                          </a:solidFill>
                          <a:ln w="12700" cap="flat" cmpd="sng" algn="ctr">
                            <a:solidFill>
                              <a:srgbClr val="8AB833">
                                <a:lumMod val="50000"/>
                              </a:srgbClr>
                            </a:solidFill>
                            <a:prstDash val="solid"/>
                            <a:miter lim="800000"/>
                          </a:ln>
                          <a:effectLst/>
                        </wps:spPr>
                        <wps:txbx>
                          <w:txbxContent>
                            <w:p w14:paraId="71978D1D"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Cadre institutionnel et juridique inapproprié</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62" name="Rectangle: Rounded Corners 357956962"/>
                        <wps:cNvSpPr/>
                        <wps:spPr>
                          <a:xfrm rot="5400000" flipV="1">
                            <a:off x="-81860" y="571059"/>
                            <a:ext cx="607695" cy="292735"/>
                          </a:xfrm>
                          <a:prstGeom prst="roundRect">
                            <a:avLst/>
                          </a:prstGeom>
                          <a:solidFill>
                            <a:sysClr val="window" lastClr="FFFFFF"/>
                          </a:solidFill>
                          <a:ln w="12700">
                            <a:solidFill>
                              <a:srgbClr val="0070C0"/>
                            </a:solidFill>
                            <a:miter lim="800000"/>
                          </a:ln>
                          <a:effectLst/>
                        </wps:spPr>
                        <wps:txbx>
                          <w:txbxContent>
                            <w:p w14:paraId="5E0D933C" w14:textId="77777777" w:rsidR="00D46485" w:rsidRPr="00D509AF" w:rsidRDefault="00D46485" w:rsidP="00D46485">
                              <w:pPr>
                                <w:jc w:val="center"/>
                                <w:rPr>
                                  <w:b/>
                                  <w:sz w:val="18"/>
                                  <w:szCs w:val="14"/>
                                </w:rPr>
                              </w:pPr>
                              <w:r>
                                <w:rPr>
                                  <w:b/>
                                  <w:bCs/>
                                  <w:sz w:val="18"/>
                                  <w:szCs w:val="18"/>
                                </w:rPr>
                                <w:t xml:space="preserve">IMPACTS </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63" name="Rounded Rectangle 21"/>
                        <wps:cNvSpPr/>
                        <wps:spPr>
                          <a:xfrm>
                            <a:off x="531827" y="5883541"/>
                            <a:ext cx="1308100" cy="711200"/>
                          </a:xfrm>
                          <a:prstGeom prst="roundRect">
                            <a:avLst/>
                          </a:prstGeom>
                          <a:solidFill>
                            <a:sysClr val="window" lastClr="FFFFFF"/>
                          </a:solidFill>
                          <a:ln w="12700" cap="flat" cmpd="sng" algn="ctr">
                            <a:solidFill>
                              <a:srgbClr val="8AB833">
                                <a:lumMod val="50000"/>
                              </a:srgbClr>
                            </a:solidFill>
                            <a:prstDash val="solid"/>
                            <a:miter lim="800000"/>
                          </a:ln>
                          <a:effectLst/>
                        </wps:spPr>
                        <wps:txbx>
                          <w:txbxContent>
                            <w:p w14:paraId="49D64ED2" w14:textId="77777777" w:rsidR="00D46485" w:rsidRPr="00C559AA" w:rsidRDefault="00D46485" w:rsidP="00D46485">
                              <w:pPr>
                                <w:spacing w:after="0"/>
                                <w:jc w:val="center"/>
                                <w:rPr>
                                  <w:rFonts w:ascii="Avenir Next LT Pro" w:hAnsi="Avenir Next LT Pro"/>
                                  <w:sz w:val="18"/>
                                  <w:szCs w:val="18"/>
                                  <w:lang w:eastAsia="fr-FR"/>
                                </w:rPr>
                              </w:pPr>
                              <w:r w:rsidRPr="00C559AA">
                                <w:rPr>
                                  <w:rFonts w:ascii="Avenir Next LT Pro" w:hAnsi="Avenir Next LT Pro"/>
                                  <w:sz w:val="18"/>
                                  <w:szCs w:val="18"/>
                                  <w:lang w:eastAsia="fr-FR"/>
                                </w:rPr>
                                <w:t>Absence de stratégie pour l’engagement de la RDC dans les divers marchés du carbone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64" name="Rounded Rectangle 61"/>
                        <wps:cNvSpPr/>
                        <wps:spPr>
                          <a:xfrm>
                            <a:off x="3561274" y="5907416"/>
                            <a:ext cx="1219200" cy="730250"/>
                          </a:xfrm>
                          <a:prstGeom prst="roundRect">
                            <a:avLst/>
                          </a:prstGeom>
                          <a:solidFill>
                            <a:sysClr val="window" lastClr="FFFFFF"/>
                          </a:solidFill>
                          <a:ln w="12700" cap="flat" cmpd="sng" algn="ctr">
                            <a:solidFill>
                              <a:srgbClr val="8AB833">
                                <a:lumMod val="50000"/>
                              </a:srgbClr>
                            </a:solidFill>
                            <a:prstDash val="solid"/>
                            <a:miter lim="800000"/>
                          </a:ln>
                          <a:effectLst/>
                        </wps:spPr>
                        <wps:txbx>
                          <w:txbxContent>
                            <w:p w14:paraId="3D9AA8F4"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Faible niveau de connaissance et savoir des acteurs nationaux et locaux</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65" name="Rounded Rectangle 22"/>
                        <wps:cNvSpPr/>
                        <wps:spPr>
                          <a:xfrm>
                            <a:off x="8888648" y="5875604"/>
                            <a:ext cx="1122680" cy="768350"/>
                          </a:xfrm>
                          <a:prstGeom prst="roundRect">
                            <a:avLst/>
                          </a:prstGeom>
                          <a:solidFill>
                            <a:sysClr val="window" lastClr="FFFFFF"/>
                          </a:solidFill>
                          <a:ln w="12700" cap="flat" cmpd="sng" algn="ctr">
                            <a:solidFill>
                              <a:srgbClr val="8AB833">
                                <a:lumMod val="50000"/>
                              </a:srgbClr>
                            </a:solidFill>
                            <a:prstDash val="solid"/>
                            <a:miter lim="800000"/>
                          </a:ln>
                          <a:effectLst/>
                        </wps:spPr>
                        <wps:txbx>
                          <w:txbxContent>
                            <w:p w14:paraId="71506A3C"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Communication et sensibilisation limitées des parties prenantes</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s:wsp>
                        <wps:cNvPr id="357956966" name="Rounded Rectangle 22"/>
                        <wps:cNvSpPr/>
                        <wps:spPr>
                          <a:xfrm>
                            <a:off x="7497169" y="5931268"/>
                            <a:ext cx="1301750" cy="800100"/>
                          </a:xfrm>
                          <a:prstGeom prst="roundRect">
                            <a:avLst/>
                          </a:prstGeom>
                          <a:solidFill>
                            <a:sysClr val="window" lastClr="FFFFFF"/>
                          </a:solidFill>
                          <a:ln w="12700" cap="flat" cmpd="sng" algn="ctr">
                            <a:solidFill>
                              <a:srgbClr val="ED7D31">
                                <a:lumMod val="50000"/>
                              </a:srgbClr>
                            </a:solidFill>
                            <a:prstDash val="solid"/>
                            <a:miter lim="800000"/>
                          </a:ln>
                          <a:effectLst/>
                        </wps:spPr>
                        <wps:txbx>
                          <w:txbxContent>
                            <w:p w14:paraId="35087895"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 xml:space="preserve">Absence de stratégie de mobilisation de financement de la CDN </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A155259" id="Group 4" o:spid="_x0000_s1026" style="position:absolute;left:0;text-align:left;margin-left:45.75pt;margin-top:-84.4pt;width:788.3pt;height:554.25pt;z-index:251662848;mso-position-horizontal-relative:page" coordsize="100113,67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">
                <v:rect id="Rectangle 357956946" o:spid="_x0000_s1027" style="position:absolute;left:67258;top:21466;width:29464;height:3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" fillcolor="window" strokecolor="#029676" strokeweight="1pt">
                  <v:textbox>
                    <w:txbxContent>
                      <w:p w14:paraId="32B11ACE"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Appuyer les cadres de concertation et dialogue inclusifs</w:t>
                        </w:r>
                        <w:r>
                          <w:rPr>
                            <w:rFonts w:cs="Calibri"/>
                            <w:sz w:val="20"/>
                            <w:szCs w:val="20"/>
                          </w:rPr>
                          <w:t xml:space="preserve"> </w:t>
                        </w:r>
                        <w:r w:rsidRPr="00C559AA">
                          <w:rPr>
                            <w:rFonts w:ascii="Avenir Next LT Pro" w:hAnsi="Avenir Next LT Pro"/>
                            <w:sz w:val="18"/>
                            <w:szCs w:val="18"/>
                            <w:lang w:eastAsia="fr-FR"/>
                          </w:rPr>
                          <w:t>et sensible au genre (ex. secteur public (gouvernement + parlement), secteur privé, société civile, PTF) sur les marchés du carbone et la CDN</w:t>
                        </w:r>
                      </w:p>
                      <w:p w14:paraId="4F5E182B"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Appuyer la diplomatie environnementale, les négociations internationales et les dialogues avec les bailleurs de fonds</w:t>
                        </w:r>
                      </w:p>
                      <w:p w14:paraId="67D20076"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et mettre en œuvre un plan d’information, communication et sensibilisation sensible au genre, sur les marchés du carbone et la CDN</w:t>
                        </w:r>
                      </w:p>
                      <w:p w14:paraId="7E689CB5" w14:textId="77777777" w:rsidR="00D46485" w:rsidRPr="00C559AA" w:rsidRDefault="00D46485" w:rsidP="00D46485">
                        <w:pPr>
                          <w:pStyle w:val="Paragraphedeliste"/>
                          <w:numPr>
                            <w:ilvl w:val="1"/>
                            <w:numId w:val="45"/>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et mettre en œuvre un plan de gestion des connaissances et savoir</w:t>
                        </w:r>
                      </w:p>
                      <w:p w14:paraId="0E50D6E6" w14:textId="77777777" w:rsidR="00D46485" w:rsidRPr="00812507" w:rsidRDefault="00D46485" w:rsidP="00D46485">
                        <w:pPr>
                          <w:rPr>
                            <w:sz w:val="15"/>
                            <w:szCs w:val="15"/>
                          </w:rPr>
                        </w:pPr>
                      </w:p>
                      <w:p w14:paraId="4E50F4DE" w14:textId="77777777" w:rsidR="00D46485" w:rsidRPr="00812507" w:rsidRDefault="00D46485" w:rsidP="00D46485">
                        <w:pPr>
                          <w:rPr>
                            <w:sz w:val="15"/>
                            <w:szCs w:val="15"/>
                          </w:rPr>
                        </w:pPr>
                      </w:p>
                    </w:txbxContent>
                  </v:textbox>
                </v:rect>
                <v:rect id="Rectangle 357956947" o:spid="_x0000_s1028" style="position:absolute;left:34181;top:19955;width:31445;height:37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" fillcolor="window" strokecolor="#029676" strokeweight="1pt">
                  <v:textbox>
                    <w:txbxContent>
                      <w:p w14:paraId="12CED526"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Développer et appuyer la mise en œuvre d’une stratégie d’accès aux marchés du carbone  </w:t>
                        </w:r>
                      </w:p>
                      <w:p w14:paraId="23D3C6E2"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Appuyer l’opérationnalisation de l’Autorité de Régulation du Marché de Carbone </w:t>
                        </w:r>
                      </w:p>
                      <w:p w14:paraId="0E8188CC"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Etablir et opérationnaliser les infrastructures essentielles des marchés du carbone (standards et sauvegardes nationales, y compris systèmes d’information des sauvegardes (SIS) ; registre ; système de partage équitable des bénéfices ; arrangements de nesting ; comptabilité du carbone ; certification ; mécanisme de réclamations et recours) et le développement d’instruments financiers et l’établissement d’un système de financement pérenne </w:t>
                        </w:r>
                      </w:p>
                      <w:p w14:paraId="1A69B288"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une politique nationale/Cadre de mise en œuvre de l’Article 6 de l’Accord de Paris</w:t>
                        </w:r>
                      </w:p>
                      <w:p w14:paraId="63F2DCA0" w14:textId="77777777" w:rsidR="00D46485" w:rsidRPr="00C559AA"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 xml:space="preserve">Appuyer la conception et/ou la mise en œuvre de programme juridictionnels sur les marchés du carbone </w:t>
                        </w:r>
                      </w:p>
                      <w:p w14:paraId="7706E26E" w14:textId="77777777" w:rsidR="00D46485" w:rsidRDefault="00D46485" w:rsidP="00D46485">
                        <w:pPr>
                          <w:pStyle w:val="Paragraphedeliste"/>
                          <w:numPr>
                            <w:ilvl w:val="1"/>
                            <w:numId w:val="46"/>
                          </w:numPr>
                          <w:spacing w:after="0" w:line="240" w:lineRule="auto"/>
                          <w:rPr>
                            <w:rFonts w:ascii="Avenir Next LT Pro" w:hAnsi="Avenir Next LT Pro"/>
                            <w:sz w:val="18"/>
                            <w:szCs w:val="18"/>
                            <w:lang w:eastAsia="fr-FR"/>
                          </w:rPr>
                        </w:pPr>
                        <w:r w:rsidRPr="00C559AA">
                          <w:rPr>
                            <w:rFonts w:ascii="Avenir Next LT Pro" w:hAnsi="Avenir Next LT Pro"/>
                            <w:sz w:val="18"/>
                            <w:szCs w:val="18"/>
                            <w:lang w:eastAsia="fr-FR"/>
                          </w:rPr>
                          <w:t>Elaborer et mettre en œuvre un plan robuste de renforcement des capacités continue et partage d’expérience Sud-Sud et Nord-Sud, inclusif et sensible au genre</w:t>
                        </w:r>
                      </w:p>
                      <w:p w14:paraId="50AAC0BF" w14:textId="6C7F1BA4" w:rsidR="0059639C" w:rsidRPr="00C559AA" w:rsidRDefault="0059639C" w:rsidP="00D46485">
                        <w:pPr>
                          <w:pStyle w:val="Paragraphedeliste"/>
                          <w:numPr>
                            <w:ilvl w:val="1"/>
                            <w:numId w:val="46"/>
                          </w:numPr>
                          <w:spacing w:after="0" w:line="240" w:lineRule="auto"/>
                          <w:rPr>
                            <w:rFonts w:ascii="Avenir Next LT Pro" w:hAnsi="Avenir Next LT Pro"/>
                            <w:sz w:val="18"/>
                            <w:szCs w:val="18"/>
                            <w:lang w:eastAsia="fr-FR"/>
                          </w:rPr>
                        </w:pPr>
                        <w:r w:rsidRPr="0059639C">
                          <w:rPr>
                            <w:rFonts w:ascii="Avenir Next LT Pro" w:hAnsi="Avenir Next LT Pro"/>
                            <w:sz w:val="18"/>
                            <w:szCs w:val="18"/>
                            <w:lang w:eastAsia="fr-FR"/>
                          </w:rPr>
                          <w:t>Un mécanisme pour le tracking des divers flux financiers à destination de la RDC est proposé pour faciliter le rapportage dans le cadre de la mise en œuvre de la CDN, notamment la production des BTR</w:t>
                        </w:r>
                      </w:p>
                      <w:p w14:paraId="5E297CE9" w14:textId="77777777" w:rsidR="00D46485" w:rsidRPr="00453896" w:rsidRDefault="00D46485" w:rsidP="00D46485">
                        <w:pPr>
                          <w:pStyle w:val="Paragraphedeliste"/>
                          <w:rPr>
                            <w:rFonts w:cs="Calibri"/>
                            <w:sz w:val="15"/>
                            <w:szCs w:val="15"/>
                          </w:rPr>
                        </w:pPr>
                      </w:p>
                      <w:p w14:paraId="78A9E6A9" w14:textId="77777777" w:rsidR="00D46485" w:rsidRPr="00453896" w:rsidRDefault="00D46485" w:rsidP="00D46485">
                        <w:pPr>
                          <w:spacing w:after="0"/>
                          <w:jc w:val="both"/>
                          <w:rPr>
                            <w:rFonts w:cs="Calibri"/>
                            <w:sz w:val="15"/>
                            <w:szCs w:val="15"/>
                          </w:rPr>
                        </w:pPr>
                      </w:p>
                      <w:p w14:paraId="2902D071" w14:textId="77777777" w:rsidR="00D46485" w:rsidRPr="00453896" w:rsidRDefault="00D46485" w:rsidP="00D46485">
                        <w:pPr>
                          <w:rPr>
                            <w:sz w:val="15"/>
                            <w:szCs w:val="15"/>
                          </w:rPr>
                        </w:pPr>
                      </w:p>
                    </w:txbxContent>
                  </v:textbox>
                </v:rect>
                <v:rect id="Rectangle 357956948" o:spid="_x0000_s1029" style="position:absolute;left:34016;top:14685;width:31801;height:4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" fillcolor="#9cc3dc" strokecolor="#0989b1" strokeweight=".5pt">
                  <v:fill color2="#79afcf" rotate="t" colors="0 #9cc3dc;.5 #8eb8d1;1 #79afcf" focus="100%" type="gradient">
                    <o:fill v:ext="view" type="gradientUnscaled"/>
                  </v:fill>
                  <v:textbox>
                    <w:txbxContent>
                      <w:p w14:paraId="6C033A04" w14:textId="77777777" w:rsidR="00D46485" w:rsidRPr="00C00B48" w:rsidRDefault="00D46485" w:rsidP="00D46485">
                        <w:pPr>
                          <w:jc w:val="center"/>
                          <w:rPr>
                            <w:rFonts w:ascii="Avenir Next LT Pro" w:hAnsi="Avenir Next LT Pro"/>
                            <w:b/>
                            <w:bCs/>
                            <w:sz w:val="18"/>
                            <w:szCs w:val="18"/>
                            <w:lang w:eastAsia="fr-FR"/>
                          </w:rPr>
                        </w:pPr>
                        <w:r w:rsidRPr="00C00B48">
                          <w:rPr>
                            <w:rFonts w:ascii="Avenir Next LT Pro" w:hAnsi="Avenir Next LT Pro"/>
                            <w:b/>
                            <w:bCs/>
                            <w:sz w:val="18"/>
                            <w:szCs w:val="18"/>
                            <w:lang w:eastAsia="fr-FR"/>
                          </w:rPr>
                          <w:t xml:space="preserve">PRODUIT 2. Le cadre de gouvernance pour le déploiement des marchés du carbone est développé   </w:t>
                        </w:r>
                      </w:p>
                    </w:txbxContent>
                  </v:textbox>
                </v:rect>
                <v:rect id="Rectangle 357956949" o:spid="_x0000_s1030" style="position:absolute;left:66861;top:14868;width:2959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" fillcolor="#9bcbb9" strokecolor="#029676" strokeweight=".5pt">
                  <v:fill color2="#79baa3" rotate="t" colors="0 #9bcbb9;.5 #8ec0ad;1 #79baa3" focus="100%" type="gradient">
                    <o:fill v:ext="view" type="gradientUnscaled"/>
                  </v:fill>
                  <v:textbox>
                    <w:txbxContent>
                      <w:p w14:paraId="52D5A9C8" w14:textId="77777777" w:rsidR="00D46485" w:rsidRPr="00C00B48" w:rsidRDefault="00D46485" w:rsidP="00D46485">
                        <w:pPr>
                          <w:jc w:val="center"/>
                          <w:rPr>
                            <w:rFonts w:ascii="Avenir Next LT Pro" w:hAnsi="Avenir Next LT Pro"/>
                            <w:b/>
                            <w:bCs/>
                            <w:sz w:val="18"/>
                            <w:szCs w:val="18"/>
                            <w:lang w:eastAsia="fr-FR"/>
                          </w:rPr>
                        </w:pPr>
                        <w:r w:rsidRPr="00C00B48">
                          <w:rPr>
                            <w:rFonts w:ascii="Avenir Next LT Pro" w:hAnsi="Avenir Next LT Pro"/>
                            <w:b/>
                            <w:bCs/>
                            <w:sz w:val="18"/>
                            <w:szCs w:val="18"/>
                            <w:lang w:eastAsia="fr-FR"/>
                          </w:rPr>
                          <w:t xml:space="preserve">PRODUIT 3. Des cadres de concertation inclusif et sensible au genre, la diplomatie environnementale, la communication sont renforcés </w:t>
                        </w:r>
                      </w:p>
                    </w:txbxContent>
                  </v:textbox>
                </v:rect>
                <v:rect id="Rectangle 357956950" o:spid="_x0000_s1031" style="position:absolute;left:4761;top:20191;width:27559;height:37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" fillcolor="window" strokecolor="#029676" strokeweight="1pt">
                  <v:textbox>
                    <w:txbxContent>
                      <w:p w14:paraId="69DF4115"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Appuyer la création et l’opérationnalisation du Conseil national de l’environnement et du développement durable (CNEDD)</w:t>
                        </w:r>
                      </w:p>
                      <w:p w14:paraId="34D0C441"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Appuyer la mise en place et le fonctionnement de la Cellule Technique de la CDN</w:t>
                        </w:r>
                      </w:p>
                      <w:p w14:paraId="4805D498"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Elaborer et appuyer la mise en œuvre de la stratégie nationale de financement de la CDN</w:t>
                        </w:r>
                      </w:p>
                      <w:p w14:paraId="22B9A309"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Finaliser le développement et opérationnalisation du système MRV de la CDN</w:t>
                        </w:r>
                      </w:p>
                      <w:p w14:paraId="46B0659D" w14:textId="77777777" w:rsidR="00D46485" w:rsidRPr="00C559AA" w:rsidRDefault="00D46485" w:rsidP="00D46485">
                        <w:pPr>
                          <w:pStyle w:val="Sansinterligne"/>
                          <w:numPr>
                            <w:ilvl w:val="1"/>
                            <w:numId w:val="44"/>
                          </w:numPr>
                          <w:rPr>
                            <w:rFonts w:ascii="Avenir Next LT Pro" w:hAnsi="Avenir Next LT Pro"/>
                            <w:sz w:val="18"/>
                            <w:szCs w:val="18"/>
                            <w:lang w:eastAsia="fr-FR"/>
                          </w:rPr>
                        </w:pPr>
                        <w:r w:rsidRPr="00C559AA">
                          <w:rPr>
                            <w:rFonts w:ascii="Avenir Next LT Pro" w:hAnsi="Avenir Next LT Pro"/>
                            <w:sz w:val="18"/>
                            <w:szCs w:val="18"/>
                            <w:lang w:eastAsia="fr-FR"/>
                          </w:rPr>
                          <w:t>Appuyer l’intégration/alignement de la CDN dans les stratégies et politiques nationales/provinciales et sectorielles et l’élaboration d’outils de planification et de suivi-évaluation alignés sur le PNSD et les ODD</w:t>
                        </w:r>
                      </w:p>
                      <w:p w14:paraId="78370D9A" w14:textId="77777777" w:rsidR="00D46485" w:rsidRPr="00D4433B" w:rsidRDefault="00D46485" w:rsidP="00D46485">
                        <w:pPr>
                          <w:spacing w:after="60"/>
                          <w:rPr>
                            <w:rFonts w:cs="Calibri"/>
                            <w:sz w:val="18"/>
                            <w:szCs w:val="18"/>
                            <w:lang w:val="fr-CD"/>
                          </w:rPr>
                        </w:pPr>
                      </w:p>
                      <w:p w14:paraId="7311B76A" w14:textId="77777777" w:rsidR="00D46485" w:rsidRPr="00D4433B" w:rsidRDefault="00D46485" w:rsidP="00D46485">
                        <w:pPr>
                          <w:rPr>
                            <w:sz w:val="18"/>
                            <w:szCs w:val="18"/>
                          </w:rPr>
                        </w:pPr>
                      </w:p>
                    </w:txbxContent>
                  </v:textbox>
                </v:rect>
                <v:roundrect id="Rectangle: Rounded Corners 357956951" o:spid="_x0000_s1032" style="position:absolute;left:5397;top:5168;width:90805;height:4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" fillcolor="window" strokecolor="#4ab5c4" strokeweight="1pt">
                  <v:stroke joinstyle="miter"/>
                  <v:textbox>
                    <w:txbxContent>
                      <w:p w14:paraId="09B6620F" w14:textId="77777777" w:rsidR="00D46485" w:rsidRPr="00C00B48" w:rsidRDefault="00D46485" w:rsidP="00D46485">
                        <w:pPr>
                          <w:spacing w:after="0"/>
                          <w:jc w:val="center"/>
                          <w:rPr>
                            <w:rFonts w:ascii="Avenir Next LT Pro" w:hAnsi="Avenir Next LT Pro"/>
                            <w:b/>
                            <w:bCs/>
                            <w:sz w:val="20"/>
                            <w:szCs w:val="20"/>
                            <w:lang w:eastAsia="fr-FR"/>
                          </w:rPr>
                        </w:pPr>
                        <w:r w:rsidRPr="00C00B48">
                          <w:rPr>
                            <w:rFonts w:ascii="Avenir Next LT Pro" w:hAnsi="Avenir Next LT Pro"/>
                            <w:b/>
                            <w:bCs/>
                            <w:sz w:val="20"/>
                            <w:szCs w:val="20"/>
                            <w:lang w:eastAsia="fr-FR"/>
                          </w:rPr>
                          <w:t>IMPACT 1. Réduction des émissions de gaz à effet de serre dues au déboisement et à la dégradation des forêts ; et accroissement des absorptions par les puits de carbone forestier ; IMPACT 2 : Co-bénéfices de développement</w:t>
                        </w:r>
                      </w:p>
                    </w:txbxContent>
                  </v:textbox>
                </v:roundrect>
                <v:roundrect id="Rectangle: Rounded Corners 15" o:spid="_x0000_s1033" style="position:absolute;left:-10064;top:32804;width:23413;height:3022;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" fillcolor="window" strokecolor="#029676" strokeweight="1pt">
                  <v:stroke joinstyle="miter"/>
                  <v:textbox>
                    <w:txbxContent>
                      <w:p w14:paraId="34DC995D" w14:textId="77777777" w:rsidR="00D46485" w:rsidRPr="00EB44B3" w:rsidRDefault="00D46485" w:rsidP="00D46485">
                        <w:pPr>
                          <w:jc w:val="center"/>
                          <w:rPr>
                            <w:b/>
                            <w:sz w:val="18"/>
                            <w:szCs w:val="18"/>
                          </w:rPr>
                        </w:pPr>
                        <w:r>
                          <w:rPr>
                            <w:b/>
                            <w:bCs/>
                            <w:sz w:val="18"/>
                            <w:szCs w:val="18"/>
                          </w:rPr>
                          <w:t>ACTIVITES</w:t>
                        </w:r>
                      </w:p>
                    </w:txbxContent>
                  </v:textbox>
                </v:roundrect>
                <v:roundrect id="Rectangle: Rounded Corners 357956953" o:spid="_x0000_s1034" style="position:absolute;left:-2057;top:60365;width:7556;height:3441;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" fillcolor="window" strokecolor="#455c19" strokeweight="1pt">
                  <v:stroke joinstyle="miter"/>
                  <v:textbox>
                    <w:txbxContent>
                      <w:p w14:paraId="0DF45C4E" w14:textId="77777777" w:rsidR="00D46485" w:rsidRPr="003B1E9F" w:rsidRDefault="00D46485" w:rsidP="00D46485">
                        <w:pPr>
                          <w:jc w:val="center"/>
                          <w:rPr>
                            <w:b/>
                            <w:sz w:val="18"/>
                            <w:szCs w:val="18"/>
                          </w:rPr>
                        </w:pPr>
                        <w:r>
                          <w:rPr>
                            <w:b/>
                            <w:bCs/>
                            <w:sz w:val="18"/>
                            <w:szCs w:val="18"/>
                          </w:rPr>
                          <w:t>BARRIERES</w:t>
                        </w:r>
                      </w:p>
                    </w:txbxContent>
                  </v:textbox>
                </v:roundrect>
                <v:roundrect id="Rectangle: Rounded Corners 357956954" o:spid="_x0000_s1035" style="position:absolute;left:6351;width:90043;height:45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" fillcolor="window" strokecolor="#7030a0" strokeweight="1pt">
                  <v:stroke joinstyle="miter"/>
                  <v:textbox>
                    <w:txbxContent>
                      <w:p w14:paraId="7285D5CE" w14:textId="77777777" w:rsidR="00D46485" w:rsidRPr="00C00B48" w:rsidRDefault="00D46485" w:rsidP="00D46485">
                        <w:pPr>
                          <w:spacing w:after="0"/>
                          <w:jc w:val="center"/>
                          <w:rPr>
                            <w:rFonts w:ascii="Avenir Next LT Pro" w:hAnsi="Avenir Next LT Pro"/>
                            <w:b/>
                            <w:bCs/>
                            <w:sz w:val="20"/>
                            <w:szCs w:val="20"/>
                            <w:u w:val="single"/>
                            <w:lang w:eastAsia="fr-FR"/>
                          </w:rPr>
                        </w:pPr>
                        <w:r w:rsidRPr="00C00B48">
                          <w:rPr>
                            <w:rFonts w:ascii="Avenir Next LT Pro" w:hAnsi="Avenir Next LT Pro"/>
                            <w:b/>
                            <w:bCs/>
                            <w:sz w:val="20"/>
                            <w:szCs w:val="20"/>
                            <w:u w:val="single"/>
                            <w:lang w:eastAsia="fr-FR"/>
                          </w:rPr>
                          <w:t>CHANGEMENT DESIRE</w:t>
                        </w:r>
                      </w:p>
                      <w:p w14:paraId="136825E4" w14:textId="77777777" w:rsidR="00D46485" w:rsidRPr="00C00B48" w:rsidRDefault="00D46485" w:rsidP="00D46485">
                        <w:pPr>
                          <w:jc w:val="center"/>
                          <w:rPr>
                            <w:rFonts w:ascii="Avenir Next LT Pro" w:hAnsi="Avenir Next LT Pro"/>
                            <w:b/>
                            <w:bCs/>
                            <w:sz w:val="20"/>
                            <w:szCs w:val="20"/>
                            <w:u w:val="single"/>
                            <w:lang w:eastAsia="fr-FR"/>
                          </w:rPr>
                        </w:pPr>
                        <w:r w:rsidRPr="00C00B48">
                          <w:rPr>
                            <w:rFonts w:ascii="Avenir Next LT Pro" w:hAnsi="Avenir Next LT Pro"/>
                            <w:b/>
                            <w:bCs/>
                            <w:sz w:val="20"/>
                            <w:szCs w:val="20"/>
                            <w:u w:val="single"/>
                            <w:lang w:eastAsia="fr-FR"/>
                          </w:rPr>
                          <w:t xml:space="preserve">La République Démocratique du Congo arrête, puis inverse la déforestation et la dégradation des forêts d’ici 2031 tout en s’assurant un développement durable </w:t>
                        </w:r>
                      </w:p>
                    </w:txbxContent>
                  </v:textbox>
                </v:roundrect>
                <v:roundrect id="Rounded Rectangle 23" o:spid="_x0000_s1036" style="position:absolute;left:19551;top:59153;width:14859;height:67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" fillcolor="window" strokecolor="#455c19" strokeweight="1pt">
                  <v:stroke joinstyle="miter"/>
                  <v:textbox>
                    <w:txbxContent>
                      <w:p w14:paraId="1D825E97"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Infrastructures pour la participation aux marchés du carbone inadéquates ou inexistantes</w:t>
                        </w:r>
                      </w:p>
                    </w:txbxContent>
                  </v:textbox>
                </v:roundrect>
                <v:roundrect id="Rectangle: Rounded Corners 357956956" o:spid="_x0000_s1037" style="position:absolute;left:-388;top:12184;width:5016;height:3022;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" fillcolor="window" strokecolor="#70ad47" strokeweight="1pt">
                  <v:stroke joinstyle="miter"/>
                  <v:textbox>
                    <w:txbxContent>
                      <w:p w14:paraId="2D739AA0" w14:textId="77777777" w:rsidR="00D46485" w:rsidRPr="00D509AF" w:rsidRDefault="00D46485" w:rsidP="00D46485">
                        <w:pPr>
                          <w:jc w:val="center"/>
                          <w:rPr>
                            <w:b/>
                            <w:sz w:val="18"/>
                            <w:szCs w:val="14"/>
                          </w:rPr>
                        </w:pPr>
                        <w:r>
                          <w:rPr>
                            <w:b/>
                            <w:bCs/>
                            <w:sz w:val="18"/>
                            <w:szCs w:val="18"/>
                          </w:rPr>
                          <w:t>EFFETS</w:t>
                        </w:r>
                      </w:p>
                    </w:txbxContent>
                  </v:textbox>
                </v:roundrect>
                <v:roundrect id="Rectangle: Rounded Corners 357956957" o:spid="_x0000_s1038" style="position:absolute;left:5397;top:10177;width:46800;height:42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" fillcolor="window" strokecolor="#70ad47" strokeweight="1pt">
                  <v:stroke joinstyle="miter"/>
                  <v:textbox>
                    <w:txbxContent>
                      <w:p w14:paraId="46FFC8D0" w14:textId="77777777" w:rsidR="00D46485" w:rsidRPr="00C00B48" w:rsidRDefault="00D46485" w:rsidP="00D46485">
                        <w:pPr>
                          <w:spacing w:after="0"/>
                          <w:jc w:val="center"/>
                          <w:rPr>
                            <w:rFonts w:ascii="Avenir Next LT Pro" w:hAnsi="Avenir Next LT Pro"/>
                            <w:sz w:val="18"/>
                            <w:szCs w:val="18"/>
                            <w:lang w:eastAsia="fr-FR"/>
                          </w:rPr>
                        </w:pPr>
                        <w:r w:rsidRPr="00C00B48">
                          <w:rPr>
                            <w:rFonts w:ascii="Avenir Next LT Pro" w:hAnsi="Avenir Next LT Pro"/>
                            <w:sz w:val="18"/>
                            <w:szCs w:val="18"/>
                            <w:lang w:eastAsia="fr-FR"/>
                          </w:rPr>
                          <w:t>L’accès aux marchés du carbone facilite la mobilisation des financements climatiques pour la mise en œuvre effective de la CDN dans le secteur forestier</w:t>
                        </w:r>
                      </w:p>
                    </w:txbxContent>
                  </v:textbox>
                </v:roundrect>
                <v:roundrect id="Rectangle: Rounded Corners 7" o:spid="_x0000_s1039" style="position:absolute;left:53821;top:10416;width:42608;height:41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" fillcolor="window" strokecolor="#70ad47" strokeweight="1pt">
                  <v:stroke joinstyle="miter"/>
                  <v:textbox>
                    <w:txbxContent>
                      <w:p w14:paraId="5DC7A17D" w14:textId="77777777" w:rsidR="00D46485" w:rsidRPr="00C00B48" w:rsidRDefault="00D46485" w:rsidP="00D46485">
                        <w:pPr>
                          <w:spacing w:after="0"/>
                          <w:jc w:val="center"/>
                          <w:rPr>
                            <w:rFonts w:ascii="Avenir Next LT Pro" w:hAnsi="Avenir Next LT Pro"/>
                            <w:sz w:val="18"/>
                            <w:szCs w:val="18"/>
                            <w:lang w:eastAsia="fr-FR"/>
                          </w:rPr>
                        </w:pPr>
                        <w:r w:rsidRPr="00C00B48">
                          <w:rPr>
                            <w:rFonts w:ascii="Avenir Next LT Pro" w:hAnsi="Avenir Next LT Pro"/>
                            <w:sz w:val="18"/>
                            <w:szCs w:val="18"/>
                            <w:lang w:eastAsia="fr-FR"/>
                          </w:rPr>
                          <w:t xml:space="preserve">Les engagements d’atténuation de la CDN du secteur forestier sont mis en œuvre de manière effective, inclusive et participative </w:t>
                        </w:r>
                      </w:p>
                    </w:txbxContent>
                  </v:textbox>
                </v:roundrect>
                <v:rect id="Rectangle 357956959" o:spid="_x0000_s1040" style="position:absolute;left:5397;top:15821;width:26606;height:3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" fillcolor="#dde6a5" strokecolor="#c0cf3a" strokeweight=".5pt">
                  <v:fill color2="#d4e084" rotate="t" colors="0 #dde6a5;.5 #d7e097;1 #d4e084" focus="100%" type="gradient">
                    <o:fill v:ext="view" type="gradientUnscaled"/>
                  </v:fill>
                  <v:textbox>
                    <w:txbxContent>
                      <w:p w14:paraId="4E8B0EA7" w14:textId="77777777" w:rsidR="00D46485" w:rsidRPr="00C00B48" w:rsidRDefault="00D46485" w:rsidP="00C00B48">
                        <w:pPr>
                          <w:spacing w:after="0"/>
                          <w:jc w:val="center"/>
                          <w:rPr>
                            <w:rFonts w:ascii="Avenir Next LT Pro" w:hAnsi="Avenir Next LT Pro"/>
                            <w:b/>
                            <w:bCs/>
                            <w:sz w:val="18"/>
                            <w:szCs w:val="18"/>
                            <w:lang w:eastAsia="fr-FR"/>
                          </w:rPr>
                        </w:pPr>
                        <w:r w:rsidRPr="00C00B48">
                          <w:rPr>
                            <w:rFonts w:ascii="Avenir Next LT Pro" w:hAnsi="Avenir Next LT Pro"/>
                            <w:b/>
                            <w:bCs/>
                            <w:sz w:val="18"/>
                            <w:szCs w:val="18"/>
                            <w:lang w:eastAsia="fr-FR"/>
                          </w:rPr>
                          <w:t>PRODUIT 1. Le cadre de gouvernance pour la mise en œuvre de la CDN est établi</w:t>
                        </w:r>
                      </w:p>
                      <w:p w14:paraId="47BDF921" w14:textId="77777777" w:rsidR="00D46485" w:rsidRPr="00D4433B" w:rsidRDefault="00D46485" w:rsidP="00D46485">
                        <w:pPr>
                          <w:jc w:val="center"/>
                          <w:rPr>
                            <w:sz w:val="14"/>
                            <w:szCs w:val="14"/>
                            <w:lang w:val="fr-CD"/>
                          </w:rPr>
                        </w:pPr>
                      </w:p>
                    </w:txbxContent>
                  </v:textbox>
                </v:rect>
                <v:roundrect id="Rounded Rectangle 22" o:spid="_x0000_s1041" style="position:absolute;left:63601;top:59074;width:10407;height:717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" fillcolor="window" strokecolor="#455c19" strokeweight="1pt">
                  <v:stroke joinstyle="miter"/>
                  <v:textbox>
                    <w:txbxContent>
                      <w:p w14:paraId="5E0B465F" w14:textId="79E6AA23"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Absence des mécanismes de collaboration intersectoriel</w:t>
                        </w:r>
                        <w:r w:rsidR="000710EE">
                          <w:rPr>
                            <w:rFonts w:ascii="Avenir Next LT Pro" w:hAnsi="Avenir Next LT Pro"/>
                            <w:sz w:val="16"/>
                            <w:szCs w:val="16"/>
                            <w:lang w:eastAsia="fr-FR"/>
                          </w:rPr>
                          <w:t>le</w:t>
                        </w:r>
                      </w:p>
                    </w:txbxContent>
                  </v:textbox>
                </v:roundrect>
                <v:roundrect id="Rounded Rectangle 61" o:spid="_x0000_s1042" style="position:absolute;left:48811;top:59153;width:12891;height:70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" fillcolor="window" strokecolor="#455c19" strokeweight="1pt">
                  <v:stroke joinstyle="miter"/>
                  <v:textbox>
                    <w:txbxContent>
                      <w:p w14:paraId="71978D1D"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Cadre institutionnel et juridique inapproprié</w:t>
                        </w:r>
                      </w:p>
                    </w:txbxContent>
                  </v:textbox>
                </v:roundrect>
                <v:roundrect id="Rectangle: Rounded Corners 357956962" o:spid="_x0000_s1043" style="position:absolute;left:-819;top:5710;width:6077;height:2927;rotation:-90;flip:y;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" fillcolor="window" strokecolor="#0070c0" strokeweight="1pt">
                  <v:stroke joinstyle="miter"/>
                  <v:textbox>
                    <w:txbxContent>
                      <w:p w14:paraId="5E0D933C" w14:textId="77777777" w:rsidR="00D46485" w:rsidRPr="00D509AF" w:rsidRDefault="00D46485" w:rsidP="00D46485">
                        <w:pPr>
                          <w:jc w:val="center"/>
                          <w:rPr>
                            <w:b/>
                            <w:sz w:val="18"/>
                            <w:szCs w:val="14"/>
                          </w:rPr>
                        </w:pPr>
                        <w:r>
                          <w:rPr>
                            <w:b/>
                            <w:bCs/>
                            <w:sz w:val="18"/>
                            <w:szCs w:val="18"/>
                          </w:rPr>
                          <w:t xml:space="preserve">IMPACTS </w:t>
                        </w:r>
                      </w:p>
                    </w:txbxContent>
                  </v:textbox>
                </v:roundrect>
                <v:roundrect id="Rounded Rectangle 21" o:spid="_x0000_s1044" style="position:absolute;left:5318;top:58835;width:13081;height:711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" fillcolor="window" strokecolor="#455c19" strokeweight="1pt">
                  <v:stroke joinstyle="miter"/>
                  <v:textbox>
                    <w:txbxContent>
                      <w:p w14:paraId="49D64ED2" w14:textId="77777777" w:rsidR="00D46485" w:rsidRPr="00C559AA" w:rsidRDefault="00D46485" w:rsidP="00D46485">
                        <w:pPr>
                          <w:spacing w:after="0"/>
                          <w:jc w:val="center"/>
                          <w:rPr>
                            <w:rFonts w:ascii="Avenir Next LT Pro" w:hAnsi="Avenir Next LT Pro"/>
                            <w:sz w:val="18"/>
                            <w:szCs w:val="18"/>
                            <w:lang w:eastAsia="fr-FR"/>
                          </w:rPr>
                        </w:pPr>
                        <w:r w:rsidRPr="00C559AA">
                          <w:rPr>
                            <w:rFonts w:ascii="Avenir Next LT Pro" w:hAnsi="Avenir Next LT Pro"/>
                            <w:sz w:val="18"/>
                            <w:szCs w:val="18"/>
                            <w:lang w:eastAsia="fr-FR"/>
                          </w:rPr>
                          <w:t>Absence de stratégie pour l’engagement de la RDC dans les divers marchés du carbone</w:t>
                        </w:r>
                      </w:p>
                    </w:txbxContent>
                  </v:textbox>
                </v:roundrect>
                <v:roundrect id="Rounded Rectangle 61" o:spid="_x0000_s1045" style="position:absolute;left:35612;top:59074;width:12192;height:73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" fillcolor="window" strokecolor="#455c19" strokeweight="1pt">
                  <v:stroke joinstyle="miter"/>
                  <v:textbox>
                    <w:txbxContent>
                      <w:p w14:paraId="3D9AA8F4"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Faible niveau de connaissance et savoir des acteurs nationaux et locaux</w:t>
                        </w:r>
                      </w:p>
                    </w:txbxContent>
                  </v:textbox>
                </v:roundrect>
                <v:roundrect id="Rounded Rectangle 22" o:spid="_x0000_s1046" style="position:absolute;left:88886;top:58756;width:11227;height:76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" fillcolor="window" strokecolor="#455c19" strokeweight="1pt">
                  <v:stroke joinstyle="miter"/>
                  <v:textbox>
                    <w:txbxContent>
                      <w:p w14:paraId="71506A3C"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Communication et sensibilisation limitées des parties prenantes</w:t>
                        </w:r>
                      </w:p>
                    </w:txbxContent>
                  </v:textbox>
                </v:roundrect>
                <v:roundrect id="Rounded Rectangle 22" o:spid="_x0000_s1047" style="position:absolute;left:74971;top:59312;width:13018;height:8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" fillcolor="window" strokecolor="#843c0c" strokeweight="1pt">
                  <v:stroke joinstyle="miter"/>
                  <v:textbox>
                    <w:txbxContent>
                      <w:p w14:paraId="35087895" w14:textId="77777777" w:rsidR="00D46485" w:rsidRPr="00C559AA" w:rsidRDefault="00D46485" w:rsidP="00D46485">
                        <w:pPr>
                          <w:spacing w:after="0"/>
                          <w:jc w:val="center"/>
                          <w:rPr>
                            <w:rFonts w:ascii="Avenir Next LT Pro" w:hAnsi="Avenir Next LT Pro"/>
                            <w:sz w:val="16"/>
                            <w:szCs w:val="16"/>
                            <w:lang w:eastAsia="fr-FR"/>
                          </w:rPr>
                        </w:pPr>
                        <w:r w:rsidRPr="00C559AA">
                          <w:rPr>
                            <w:rFonts w:ascii="Avenir Next LT Pro" w:hAnsi="Avenir Next LT Pro"/>
                            <w:sz w:val="16"/>
                            <w:szCs w:val="16"/>
                            <w:lang w:eastAsia="fr-FR"/>
                          </w:rPr>
                          <w:t xml:space="preserve">Absence de stratégie de mobilisation de financement de la CDN </w:t>
                        </w:r>
                      </w:p>
                    </w:txbxContent>
                  </v:textbox>
                </v:roundrect>
                <w10:wrap anchorx="page"/>
              </v:group>
            </w:pict>
          </mc:Fallback>
        </mc:AlternateContent>
      </w:r>
    </w:p>
    <w:p w14:paraId="5A0F0594" w14:textId="77777777" w:rsidR="007E07E5" w:rsidRDefault="007E07E5" w:rsidP="00A7529C">
      <w:pPr>
        <w:pStyle w:val="Titre3"/>
        <w:rPr>
          <w:color w:val="auto"/>
        </w:rPr>
      </w:pPr>
    </w:p>
    <w:p w14:paraId="0E77A892" w14:textId="2155223B" w:rsidR="00A71F45" w:rsidRDefault="00A71F45" w:rsidP="00A7529C">
      <w:pPr>
        <w:pStyle w:val="Titre3"/>
        <w:rPr>
          <w:color w:val="auto"/>
        </w:rPr>
      </w:pPr>
      <w:r w:rsidRPr="00395BF7">
        <w:rPr>
          <w:color w:val="auto"/>
        </w:rPr>
        <w:t>Approche stratégique</w:t>
      </w:r>
      <w:bookmarkEnd w:id="16"/>
    </w:p>
    <w:p w14:paraId="18790E9C" w14:textId="3F8BAEFE"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La stratégie d’intervention retenue repose sur trois piliers fondamentaux et complémentaires qui seront mis en œuvre de manière </w:t>
      </w:r>
      <w:r w:rsidR="001A6A1F">
        <w:rPr>
          <w:rFonts w:ascii="Avenir Next LT Pro" w:hAnsi="Avenir Next LT Pro" w:cstheme="minorHAnsi"/>
          <w:sz w:val="20"/>
          <w:szCs w:val="20"/>
        </w:rPr>
        <w:t>intégrée</w:t>
      </w:r>
      <w:r w:rsidRPr="00BE6CCB">
        <w:rPr>
          <w:rFonts w:ascii="Avenir Next LT Pro" w:hAnsi="Avenir Next LT Pro" w:cstheme="minorHAnsi"/>
          <w:sz w:val="20"/>
          <w:szCs w:val="20"/>
        </w:rPr>
        <w:t>. Il s’agit notamment :</w:t>
      </w:r>
    </w:p>
    <w:p w14:paraId="77322CC4" w14:textId="77777777" w:rsidR="00AD69AF" w:rsidRPr="00BE6CCB" w:rsidRDefault="00AD69AF" w:rsidP="00AD69AF">
      <w:pPr>
        <w:spacing w:after="0"/>
        <w:rPr>
          <w:rFonts w:ascii="Avenir Next LT Pro" w:hAnsi="Avenir Next LT Pro" w:cstheme="minorHAnsi"/>
          <w:b/>
          <w:bCs/>
          <w:sz w:val="20"/>
          <w:szCs w:val="20"/>
        </w:rPr>
      </w:pPr>
    </w:p>
    <w:p w14:paraId="5AEC60F3" w14:textId="77777777" w:rsidR="00AD69AF" w:rsidRPr="00BE6CCB" w:rsidRDefault="00AD69AF" w:rsidP="00AD69AF">
      <w:pPr>
        <w:spacing w:after="0"/>
        <w:jc w:val="both"/>
        <w:rPr>
          <w:rFonts w:ascii="Avenir Next LT Pro" w:hAnsi="Avenir Next LT Pro" w:cstheme="minorHAnsi"/>
          <w:b/>
          <w:bCs/>
          <w:sz w:val="20"/>
          <w:szCs w:val="20"/>
        </w:rPr>
      </w:pPr>
      <w:r w:rsidRPr="00BE6CCB">
        <w:rPr>
          <w:rFonts w:ascii="Avenir Next LT Pro" w:hAnsi="Avenir Next LT Pro" w:cstheme="minorHAnsi"/>
          <w:b/>
          <w:bCs/>
          <w:sz w:val="20"/>
          <w:szCs w:val="20"/>
        </w:rPr>
        <w:t>Pilier 1 : Renforcement du cadre de gouvernance pour la mise en œuvre effective de la CDN</w:t>
      </w:r>
    </w:p>
    <w:p w14:paraId="39502CF5" w14:textId="77777777" w:rsidR="00AD69AF" w:rsidRPr="00BE6CCB" w:rsidRDefault="00AD69AF" w:rsidP="00AD69AF">
      <w:pPr>
        <w:spacing w:after="0"/>
        <w:jc w:val="both"/>
        <w:rPr>
          <w:rFonts w:ascii="Avenir Next LT Pro" w:hAnsi="Avenir Next LT Pro" w:cstheme="minorHAnsi"/>
          <w:sz w:val="20"/>
          <w:szCs w:val="20"/>
        </w:rPr>
      </w:pPr>
    </w:p>
    <w:p w14:paraId="53D9954F" w14:textId="6011F9DB"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Il s’agira dans le cadre de ce pilier de parachever le processus de mise en œuvre effective de la CDN aussi bien au niveaux institutionnel, stratégique, politique et opérationnel. </w:t>
      </w:r>
      <w:r w:rsidRPr="00BE6CCB">
        <w:rPr>
          <w:rFonts w:ascii="Avenir Next LT Pro" w:hAnsi="Avenir Next LT Pro" w:cstheme="minorHAnsi"/>
          <w:b/>
          <w:bCs/>
          <w:i/>
          <w:iCs/>
          <w:sz w:val="20"/>
          <w:szCs w:val="20"/>
        </w:rPr>
        <w:t>Au niveau institutionnel</w:t>
      </w:r>
      <w:r w:rsidRPr="00BE6CCB">
        <w:rPr>
          <w:rFonts w:ascii="Avenir Next LT Pro" w:hAnsi="Avenir Next LT Pro" w:cstheme="minorHAnsi"/>
          <w:sz w:val="20"/>
          <w:szCs w:val="20"/>
        </w:rPr>
        <w:t xml:space="preserve">, il s’agira principalement de l’opérationnalisation de deux entités devant jouer un rôle fondamental dans la mise en œuvre effective de la CDN. Il s’agit notamment du CNEDD placé sous l’autorité du Premier Ministre et ayant </w:t>
      </w:r>
      <w:r w:rsidR="00423D91">
        <w:rPr>
          <w:rFonts w:ascii="Avenir Next LT Pro" w:hAnsi="Avenir Next LT Pro" w:cstheme="minorHAnsi"/>
          <w:sz w:val="20"/>
          <w:szCs w:val="20"/>
        </w:rPr>
        <w:t xml:space="preserve">un </w:t>
      </w:r>
      <w:r w:rsidRPr="00BE6CCB">
        <w:rPr>
          <w:rFonts w:ascii="Avenir Next LT Pro" w:hAnsi="Avenir Next LT Pro" w:cstheme="minorHAnsi"/>
          <w:sz w:val="20"/>
          <w:szCs w:val="20"/>
        </w:rPr>
        <w:t xml:space="preserve">mandat </w:t>
      </w:r>
      <w:r w:rsidR="00423D91">
        <w:rPr>
          <w:rFonts w:ascii="Avenir Next LT Pro" w:hAnsi="Avenir Next LT Pro" w:cstheme="minorHAnsi"/>
          <w:sz w:val="20"/>
          <w:szCs w:val="20"/>
        </w:rPr>
        <w:t>de</w:t>
      </w:r>
      <w:r w:rsidR="00423D91" w:rsidRPr="00BE6CCB">
        <w:rPr>
          <w:rFonts w:ascii="Avenir Next LT Pro" w:hAnsi="Avenir Next LT Pro" w:cstheme="minorHAnsi"/>
          <w:sz w:val="20"/>
          <w:szCs w:val="20"/>
        </w:rPr>
        <w:t xml:space="preserve"> </w:t>
      </w:r>
      <w:r w:rsidRPr="00BE6CCB">
        <w:rPr>
          <w:rFonts w:ascii="Avenir Next LT Pro" w:hAnsi="Avenir Next LT Pro" w:cstheme="minorHAnsi"/>
          <w:sz w:val="20"/>
          <w:szCs w:val="20"/>
        </w:rPr>
        <w:t>‘suivi et évaluation de la mise en œuvre effective de la CDN’ et de la Cellule Technique de la CDN placée sous l’autorité du MEDD et ayant pour mandat la mise en œuvre de la CDN. Il s’agira dans l’ensemble d’apporter un appui à l’élaboration des textes juridiques de création et fonctionnement, ainsi qu’un appui technique et logistique continue, notamment en termes d’organisation et facilitation des réunions du Conseil et de la Cellule Technique. Le Projet favorisera l’établissement des mécanismes redditionnels transparents, des espaces de dialogue inclusifs et une participation citoyenne effective, dans le respect de l’équité et de l’égalité de genre.</w:t>
      </w:r>
    </w:p>
    <w:p w14:paraId="5D41DD86" w14:textId="77777777" w:rsidR="00AD69AF" w:rsidRPr="00BE6CCB" w:rsidRDefault="00AD69AF" w:rsidP="00AD69AF">
      <w:pPr>
        <w:spacing w:after="0"/>
        <w:jc w:val="both"/>
        <w:rPr>
          <w:rFonts w:ascii="Avenir Next LT Pro" w:hAnsi="Avenir Next LT Pro" w:cstheme="minorHAnsi"/>
          <w:sz w:val="20"/>
          <w:szCs w:val="20"/>
        </w:rPr>
      </w:pPr>
    </w:p>
    <w:p w14:paraId="42DC581D" w14:textId="2CAB1FF3"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b/>
          <w:bCs/>
          <w:i/>
          <w:iCs/>
          <w:sz w:val="20"/>
          <w:szCs w:val="20"/>
        </w:rPr>
        <w:t>Au niveau stratégique</w:t>
      </w:r>
      <w:r w:rsidRPr="00BE6CCB">
        <w:rPr>
          <w:rFonts w:ascii="Avenir Next LT Pro" w:hAnsi="Avenir Next LT Pro" w:cstheme="minorHAnsi"/>
          <w:sz w:val="20"/>
          <w:szCs w:val="20"/>
        </w:rPr>
        <w:t>, il s’agira d’élaborer et initier l’opérationnalisation d’une stratégie robuste de financement climatique innovant de la CDN et complémentaire aux marchés du carbone tel que poursuivis dans le cadre de ce projet. Cette stratégie permettra de : i) établir un inventaire quasi-exhaustif des différents appuis financiers en cours et/ou projeté</w:t>
      </w:r>
      <w:r w:rsidR="006F51BE">
        <w:rPr>
          <w:rFonts w:ascii="Avenir Next LT Pro" w:hAnsi="Avenir Next LT Pro" w:cstheme="minorHAnsi"/>
          <w:sz w:val="20"/>
          <w:szCs w:val="20"/>
        </w:rPr>
        <w:t>s</w:t>
      </w:r>
      <w:r w:rsidRPr="00BE6CCB">
        <w:rPr>
          <w:rFonts w:ascii="Avenir Next LT Pro" w:hAnsi="Avenir Next LT Pro" w:cstheme="minorHAnsi"/>
          <w:sz w:val="20"/>
          <w:szCs w:val="20"/>
        </w:rPr>
        <w:t xml:space="preserve"> aussi bien du côté gouvernement que des partenaires au développement ; ii) identifier les gaps vis-à-vis des ambitions d’atténuation et d’adaptation de la CDN ; et iii) explorer les différentes mesures, notamment les financements innovants pour pallier </w:t>
      </w:r>
      <w:proofErr w:type="gramStart"/>
      <w:r w:rsidR="006F51BE">
        <w:rPr>
          <w:rFonts w:ascii="Avenir Next LT Pro" w:hAnsi="Avenir Next LT Pro" w:cstheme="minorHAnsi"/>
          <w:sz w:val="20"/>
          <w:szCs w:val="20"/>
        </w:rPr>
        <w:t>aux</w:t>
      </w:r>
      <w:proofErr w:type="gramEnd"/>
      <w:r w:rsidR="006F51BE" w:rsidRPr="00BE6CCB">
        <w:rPr>
          <w:rFonts w:ascii="Avenir Next LT Pro" w:hAnsi="Avenir Next LT Pro" w:cstheme="minorHAnsi"/>
          <w:sz w:val="20"/>
          <w:szCs w:val="20"/>
        </w:rPr>
        <w:t xml:space="preserve"> </w:t>
      </w:r>
      <w:r w:rsidRPr="00BE6CCB">
        <w:rPr>
          <w:rFonts w:ascii="Avenir Next LT Pro" w:hAnsi="Avenir Next LT Pro" w:cstheme="minorHAnsi"/>
          <w:sz w:val="20"/>
          <w:szCs w:val="20"/>
        </w:rPr>
        <w:t xml:space="preserve">gaps financiers identifiés afin de garantir une mise en œuvre effective de la CDN. </w:t>
      </w:r>
      <w:r w:rsidR="00337A8E">
        <w:rPr>
          <w:rFonts w:ascii="Avenir Next LT Pro" w:hAnsi="Avenir Next LT Pro" w:cstheme="minorHAnsi"/>
          <w:sz w:val="20"/>
          <w:szCs w:val="20"/>
        </w:rPr>
        <w:t xml:space="preserve">Cette stratégie </w:t>
      </w:r>
      <w:r w:rsidR="00AB79EF">
        <w:rPr>
          <w:rFonts w:ascii="Avenir Next LT Pro" w:hAnsi="Avenir Next LT Pro" w:cstheme="minorHAnsi"/>
          <w:sz w:val="20"/>
          <w:szCs w:val="20"/>
        </w:rPr>
        <w:t xml:space="preserve">permettra également de définir un cadre de gouvernance robuste </w:t>
      </w:r>
      <w:r w:rsidR="00E81F8C">
        <w:rPr>
          <w:rFonts w:ascii="Avenir Next LT Pro" w:hAnsi="Avenir Next LT Pro" w:cstheme="minorHAnsi"/>
          <w:sz w:val="20"/>
          <w:szCs w:val="20"/>
        </w:rPr>
        <w:t xml:space="preserve">pour la mobilisation et le suivi effectif des flux financiers </w:t>
      </w:r>
      <w:r w:rsidR="005B314B">
        <w:rPr>
          <w:rFonts w:ascii="Avenir Next LT Pro" w:hAnsi="Avenir Next LT Pro" w:cstheme="minorHAnsi"/>
          <w:sz w:val="20"/>
          <w:szCs w:val="20"/>
        </w:rPr>
        <w:t xml:space="preserve">climatiques en RDC. </w:t>
      </w:r>
    </w:p>
    <w:p w14:paraId="1A2D22BC" w14:textId="77777777" w:rsidR="00AD69AF" w:rsidRPr="00BE6CCB" w:rsidRDefault="00AD69AF" w:rsidP="00AD69AF">
      <w:pPr>
        <w:spacing w:after="0"/>
        <w:jc w:val="both"/>
        <w:rPr>
          <w:rFonts w:ascii="Avenir Next LT Pro" w:hAnsi="Avenir Next LT Pro" w:cstheme="minorHAnsi"/>
          <w:sz w:val="20"/>
          <w:szCs w:val="20"/>
        </w:rPr>
      </w:pPr>
    </w:p>
    <w:p w14:paraId="509A43BD" w14:textId="77777777"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b/>
          <w:bCs/>
          <w:i/>
          <w:iCs/>
          <w:sz w:val="20"/>
          <w:szCs w:val="20"/>
        </w:rPr>
        <w:t>Au niveau politique</w:t>
      </w:r>
      <w:r w:rsidRPr="00BE6CCB">
        <w:rPr>
          <w:rFonts w:ascii="Avenir Next LT Pro" w:hAnsi="Avenir Next LT Pro" w:cstheme="minorHAnsi"/>
          <w:sz w:val="20"/>
          <w:szCs w:val="20"/>
        </w:rPr>
        <w:t xml:space="preserve">, il sera question de renforcer l’intégration de la CDN dans les processus et politiques existantes, notamment l’alignement de la CDN au </w:t>
      </w:r>
      <w:hyperlink r:id="rId19" w:history="1">
        <w:r w:rsidRPr="00BE6CCB">
          <w:rPr>
            <w:rFonts w:ascii="Avenir Next LT Pro" w:hAnsi="Avenir Next LT Pro" w:cstheme="minorHAnsi"/>
            <w:sz w:val="20"/>
            <w:szCs w:val="20"/>
            <w:u w:val="single"/>
          </w:rPr>
          <w:t>Plan National Stratégique de Développement</w:t>
        </w:r>
      </w:hyperlink>
      <w:r w:rsidRPr="00BE6CCB">
        <w:rPr>
          <w:rFonts w:ascii="Avenir Next LT Pro" w:hAnsi="Avenir Next LT Pro" w:cstheme="minorHAnsi"/>
          <w:sz w:val="20"/>
          <w:szCs w:val="20"/>
          <w:u w:val="single"/>
        </w:rPr>
        <w:t xml:space="preserve"> (PNSD)</w:t>
      </w:r>
      <w:r w:rsidRPr="00BE6CCB">
        <w:rPr>
          <w:rFonts w:ascii="Avenir Next LT Pro" w:hAnsi="Avenir Next LT Pro" w:cstheme="minorHAnsi"/>
          <w:sz w:val="20"/>
          <w:szCs w:val="20"/>
        </w:rPr>
        <w:t xml:space="preserve">, ainsi qu’au plan de développement local PDL-145 Territoires, l’alignement CDN-SDG, ainsi que le définition d’une approche cohérente d’intégration de la CDN dans les processus de budgétisation au niveau national et provincial et le suivi. </w:t>
      </w:r>
    </w:p>
    <w:p w14:paraId="49258167" w14:textId="77777777" w:rsidR="00AD69AF" w:rsidRPr="00BE6CCB" w:rsidRDefault="00AD69AF" w:rsidP="00AD69AF">
      <w:pPr>
        <w:spacing w:after="0"/>
        <w:jc w:val="both"/>
        <w:rPr>
          <w:rFonts w:ascii="Avenir Next LT Pro" w:hAnsi="Avenir Next LT Pro" w:cstheme="minorHAnsi"/>
          <w:sz w:val="20"/>
          <w:szCs w:val="20"/>
        </w:rPr>
      </w:pPr>
    </w:p>
    <w:p w14:paraId="3EE21ACB" w14:textId="77777777"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b/>
          <w:bCs/>
          <w:i/>
          <w:iCs/>
          <w:sz w:val="20"/>
          <w:szCs w:val="20"/>
        </w:rPr>
        <w:t>Au plan opérationnel</w:t>
      </w:r>
      <w:r w:rsidRPr="00BE6CCB">
        <w:rPr>
          <w:rFonts w:ascii="Avenir Next LT Pro" w:hAnsi="Avenir Next LT Pro" w:cstheme="minorHAnsi"/>
          <w:sz w:val="20"/>
          <w:szCs w:val="20"/>
        </w:rPr>
        <w:t xml:space="preserve">, il s’agira de renforcer et opérationnaliser le Système MRV de la CDN devant servir comme tableau de bord pour un </w:t>
      </w:r>
      <w:proofErr w:type="spellStart"/>
      <w:r w:rsidRPr="00BE6CCB">
        <w:rPr>
          <w:rFonts w:ascii="Avenir Next LT Pro" w:hAnsi="Avenir Next LT Pro" w:cstheme="minorHAnsi"/>
          <w:sz w:val="20"/>
          <w:szCs w:val="20"/>
        </w:rPr>
        <w:t>suivi-évaluation</w:t>
      </w:r>
      <w:proofErr w:type="spellEnd"/>
      <w:r w:rsidRPr="00BE6CCB">
        <w:rPr>
          <w:rFonts w:ascii="Avenir Next LT Pro" w:hAnsi="Avenir Next LT Pro" w:cstheme="minorHAnsi"/>
          <w:sz w:val="20"/>
          <w:szCs w:val="20"/>
        </w:rPr>
        <w:t xml:space="preserve"> effectif de la mise en œuvre des mesures d’atténuation dans le secteur forestier, ainsi que de promouvoir son appropriation effective au niveau national et provincial. Il s’agira également de développer les différents scenarios et trajectoires, y compris sectoriels, de mise en œuvre de la CDN, notamment dans le cadre de la mise en œuvre de la Stratégie nationale sur les marchés du carbone qui sera élaborée dans le cadre du pilier 2 ci-dessous. </w:t>
      </w:r>
    </w:p>
    <w:p w14:paraId="032AB770" w14:textId="42EB1884"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D’autres outils de planification et de </w:t>
      </w:r>
      <w:proofErr w:type="spellStart"/>
      <w:r w:rsidRPr="00BE6CCB">
        <w:rPr>
          <w:rFonts w:ascii="Avenir Next LT Pro" w:hAnsi="Avenir Next LT Pro" w:cstheme="minorHAnsi"/>
          <w:sz w:val="20"/>
          <w:szCs w:val="20"/>
        </w:rPr>
        <w:t>suivi-évaluation</w:t>
      </w:r>
      <w:proofErr w:type="spellEnd"/>
      <w:r w:rsidRPr="00BE6CCB">
        <w:rPr>
          <w:rFonts w:ascii="Avenir Next LT Pro" w:hAnsi="Avenir Next LT Pro" w:cstheme="minorHAnsi"/>
          <w:sz w:val="20"/>
          <w:szCs w:val="20"/>
        </w:rPr>
        <w:t xml:space="preserve"> seront aussi promus pour faciliter la mise en œuvre rigoureuse et systématique de la CDN, des politiques/stratégies sectorielles alignées sur le PNSD et les ODD ainsi que leur suivi efficient.</w:t>
      </w:r>
      <w:r w:rsidR="00C559AA">
        <w:rPr>
          <w:rFonts w:ascii="Avenir Next LT Pro" w:hAnsi="Avenir Next LT Pro" w:cstheme="minorHAnsi"/>
          <w:sz w:val="20"/>
          <w:szCs w:val="20"/>
        </w:rPr>
        <w:t xml:space="preserve"> Il s’agira également de renforcer les capacités des administrations sectorielles concernées par la CDN  à travers la prise en compte des questions climatiques et notamment la CDN dans leur outils de planification budgétaire, de suivi-évaluation et de rapportage. </w:t>
      </w:r>
    </w:p>
    <w:p w14:paraId="18CC076D" w14:textId="77777777" w:rsidR="00AD69AF" w:rsidRPr="00BE6CCB" w:rsidRDefault="00AD69AF" w:rsidP="00AD69AF">
      <w:pPr>
        <w:spacing w:after="0"/>
        <w:jc w:val="both"/>
        <w:rPr>
          <w:rFonts w:ascii="Avenir Next LT Pro" w:hAnsi="Avenir Next LT Pro" w:cstheme="minorHAnsi"/>
          <w:sz w:val="20"/>
          <w:szCs w:val="20"/>
        </w:rPr>
      </w:pPr>
    </w:p>
    <w:p w14:paraId="66459BDE" w14:textId="77777777" w:rsidR="00AD69AF" w:rsidRPr="00BE6CCB" w:rsidRDefault="00AD69AF" w:rsidP="00AD69AF">
      <w:pPr>
        <w:spacing w:after="0"/>
        <w:jc w:val="both"/>
        <w:rPr>
          <w:rFonts w:ascii="Avenir Next LT Pro" w:hAnsi="Avenir Next LT Pro" w:cstheme="minorHAnsi"/>
          <w:b/>
          <w:bCs/>
          <w:sz w:val="20"/>
          <w:szCs w:val="20"/>
        </w:rPr>
      </w:pPr>
      <w:r w:rsidRPr="00BE6CCB">
        <w:rPr>
          <w:rFonts w:ascii="Avenir Next LT Pro" w:hAnsi="Avenir Next LT Pro" w:cstheme="minorHAnsi"/>
          <w:b/>
          <w:bCs/>
          <w:sz w:val="20"/>
          <w:szCs w:val="20"/>
        </w:rPr>
        <w:t>Pilier 2 : Renforcement du cadre de gouvernance pour la mobilisation effective des financements d’envergure sur les marchés du carbone</w:t>
      </w:r>
    </w:p>
    <w:p w14:paraId="17797821" w14:textId="77777777" w:rsidR="00AD69AF" w:rsidRPr="00BE6CCB" w:rsidRDefault="00AD69AF" w:rsidP="00AD69AF">
      <w:pPr>
        <w:spacing w:after="0"/>
        <w:jc w:val="both"/>
        <w:rPr>
          <w:rFonts w:ascii="Avenir Next LT Pro" w:hAnsi="Avenir Next LT Pro" w:cstheme="minorHAnsi"/>
          <w:b/>
          <w:bCs/>
          <w:sz w:val="20"/>
          <w:szCs w:val="20"/>
        </w:rPr>
      </w:pPr>
    </w:p>
    <w:p w14:paraId="2A0253B8" w14:textId="77777777"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lastRenderedPageBreak/>
        <w:t xml:space="preserve">De manière similaire au pilier 1, il s’agit de poser les fondements solides pour le déploiement effectif des marchés du carbone aussi bien aux niveaux institutionnel, stratégique, politique, et opérationnel. </w:t>
      </w:r>
    </w:p>
    <w:p w14:paraId="3652897E" w14:textId="77777777" w:rsidR="00AD69AF" w:rsidRPr="00BE6CCB" w:rsidRDefault="00AD69AF" w:rsidP="00AD69AF">
      <w:pPr>
        <w:spacing w:after="0"/>
        <w:jc w:val="both"/>
        <w:rPr>
          <w:rFonts w:ascii="Avenir Next LT Pro" w:hAnsi="Avenir Next LT Pro" w:cstheme="minorHAnsi"/>
          <w:sz w:val="20"/>
          <w:szCs w:val="20"/>
        </w:rPr>
      </w:pPr>
    </w:p>
    <w:p w14:paraId="177183D6" w14:textId="4F1CAC60"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b/>
          <w:bCs/>
          <w:i/>
          <w:iCs/>
          <w:sz w:val="20"/>
          <w:szCs w:val="20"/>
        </w:rPr>
        <w:t>Au niveau institutionnel</w:t>
      </w:r>
      <w:r w:rsidRPr="00BE6CCB">
        <w:rPr>
          <w:rFonts w:ascii="Avenir Next LT Pro" w:hAnsi="Avenir Next LT Pro" w:cstheme="minorHAnsi"/>
          <w:sz w:val="20"/>
          <w:szCs w:val="20"/>
        </w:rPr>
        <w:t xml:space="preserve">, il s’agira </w:t>
      </w:r>
      <w:r w:rsidR="00E35D2B">
        <w:rPr>
          <w:rFonts w:ascii="Avenir Next LT Pro" w:hAnsi="Avenir Next LT Pro" w:cstheme="minorHAnsi"/>
          <w:sz w:val="20"/>
          <w:szCs w:val="20"/>
        </w:rPr>
        <w:t xml:space="preserve">d’appuyer </w:t>
      </w:r>
      <w:r w:rsidRPr="00BE6CCB">
        <w:rPr>
          <w:rFonts w:ascii="Avenir Next LT Pro" w:hAnsi="Avenir Next LT Pro" w:cstheme="minorHAnsi"/>
          <w:sz w:val="20"/>
          <w:szCs w:val="20"/>
        </w:rPr>
        <w:t>l’opérationnalisation effective de l’ARMCA. Concrètement, il s’agira entre autres sur le plan logistique d’appuyer l’ARMCA dans la rédaction de son manuel opérationnel (ex. procédure administrative et financière, passation des marchés, etc.). Les commissions de rédaction/révision des textes juridiques de référence pour l’ARMCA (ex. Arrêtés interministériels portant homologation des projets carbones, etc.) bénéficieront d’un appui. Le Projet contribuera aussi à doter l’Autorité en matériel logistique nécessaire pour son fonctionnement. Un appui-conseil technique sera aussi apporté pour renforcer le rôle de l’ARMCA en vue de lui permettre d’exercer pleinement ses fonctions</w:t>
      </w:r>
      <w:r w:rsidR="00A93014">
        <w:rPr>
          <w:rFonts w:ascii="Avenir Next LT Pro" w:hAnsi="Avenir Next LT Pro" w:cstheme="minorHAnsi"/>
          <w:sz w:val="20"/>
          <w:szCs w:val="20"/>
        </w:rPr>
        <w:t>, cela consistera prioritairement à une mise à niveau du personnel sur les questions techniques liées aux marchés du carbone</w:t>
      </w:r>
      <w:r w:rsidR="00A93014" w:rsidRPr="00BE6CCB">
        <w:rPr>
          <w:rFonts w:ascii="Avenir Next LT Pro" w:hAnsi="Avenir Next LT Pro" w:cstheme="minorHAnsi"/>
          <w:sz w:val="20"/>
          <w:szCs w:val="20"/>
        </w:rPr>
        <w:t>.</w:t>
      </w:r>
      <w:r w:rsidR="00A93014">
        <w:rPr>
          <w:rFonts w:ascii="Avenir Next LT Pro" w:hAnsi="Avenir Next LT Pro" w:cstheme="minorHAnsi"/>
          <w:sz w:val="20"/>
          <w:szCs w:val="20"/>
        </w:rPr>
        <w:t xml:space="preserve"> Les outils de renforcements  des capacités développés par le PNUD seront mis à contribution à cette fin. </w:t>
      </w:r>
    </w:p>
    <w:p w14:paraId="78DB7325" w14:textId="77777777" w:rsidR="00AD69AF" w:rsidRPr="00BE6CCB" w:rsidRDefault="00AD69AF" w:rsidP="00AD69AF">
      <w:pPr>
        <w:spacing w:after="0"/>
        <w:jc w:val="both"/>
        <w:rPr>
          <w:rFonts w:ascii="Avenir Next LT Pro" w:hAnsi="Avenir Next LT Pro" w:cstheme="minorHAnsi"/>
          <w:sz w:val="20"/>
          <w:szCs w:val="20"/>
        </w:rPr>
      </w:pPr>
    </w:p>
    <w:p w14:paraId="15DD3A72" w14:textId="199B423D"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b/>
          <w:bCs/>
          <w:i/>
          <w:iCs/>
          <w:sz w:val="20"/>
          <w:szCs w:val="20"/>
        </w:rPr>
        <w:t>Au niveau stratégique</w:t>
      </w:r>
      <w:r w:rsidRPr="00BE6CCB">
        <w:rPr>
          <w:rFonts w:ascii="Avenir Next LT Pro" w:hAnsi="Avenir Next LT Pro" w:cstheme="minorHAnsi"/>
          <w:sz w:val="20"/>
          <w:szCs w:val="20"/>
        </w:rPr>
        <w:t xml:space="preserve">, il s’agira principalement </w:t>
      </w:r>
      <w:r w:rsidR="00822D37">
        <w:rPr>
          <w:rFonts w:ascii="Avenir Next LT Pro" w:hAnsi="Avenir Next LT Pro" w:cstheme="minorHAnsi"/>
          <w:sz w:val="20"/>
          <w:szCs w:val="20"/>
        </w:rPr>
        <w:t>d’appuyer</w:t>
      </w:r>
      <w:r w:rsidR="00822D37" w:rsidRPr="00BE6CCB">
        <w:rPr>
          <w:rFonts w:ascii="Avenir Next LT Pro" w:hAnsi="Avenir Next LT Pro" w:cstheme="minorHAnsi"/>
          <w:sz w:val="20"/>
          <w:szCs w:val="20"/>
        </w:rPr>
        <w:t xml:space="preserve"> </w:t>
      </w:r>
      <w:r w:rsidRPr="00BE6CCB">
        <w:rPr>
          <w:rFonts w:ascii="Avenir Next LT Pro" w:hAnsi="Avenir Next LT Pro" w:cstheme="minorHAnsi"/>
          <w:sz w:val="20"/>
          <w:szCs w:val="20"/>
        </w:rPr>
        <w:t xml:space="preserve">l’élaboration d’une </w:t>
      </w:r>
      <w:r w:rsidRPr="00BE6CCB">
        <w:rPr>
          <w:rFonts w:ascii="Avenir Next LT Pro" w:hAnsi="Avenir Next LT Pro" w:cstheme="minorHAnsi"/>
          <w:b/>
          <w:bCs/>
          <w:sz w:val="20"/>
          <w:szCs w:val="20"/>
        </w:rPr>
        <w:t>Stratégie nationale sur les marchés du carbone</w:t>
      </w:r>
      <w:r w:rsidRPr="00BE6CCB">
        <w:rPr>
          <w:rFonts w:ascii="Avenir Next LT Pro" w:hAnsi="Avenir Next LT Pro" w:cstheme="minorHAnsi"/>
          <w:sz w:val="20"/>
          <w:szCs w:val="20"/>
        </w:rPr>
        <w:t xml:space="preserve"> couvrant aussi bien le marché volontaire que les marchés de conformité (Article 6.2, Article 6.4, et éventuellement les mécanismes non marchands de l’Article 6.8). Cette stratégie permettra de déterminer le potentiel de réduction et d’absorption des émissions. Elle permettra aussi de déterminer </w:t>
      </w:r>
      <w:r w:rsidR="002C3A03">
        <w:rPr>
          <w:rFonts w:ascii="Avenir Next LT Pro" w:hAnsi="Avenir Next LT Pro" w:cstheme="minorHAnsi"/>
          <w:sz w:val="20"/>
          <w:szCs w:val="20"/>
        </w:rPr>
        <w:t>le potentiel en</w:t>
      </w:r>
      <w:r w:rsidR="002C3A03" w:rsidRPr="00BE6CCB">
        <w:rPr>
          <w:rFonts w:ascii="Avenir Next LT Pro" w:hAnsi="Avenir Next LT Pro" w:cstheme="minorHAnsi"/>
          <w:sz w:val="20"/>
          <w:szCs w:val="20"/>
        </w:rPr>
        <w:t xml:space="preserve"> </w:t>
      </w:r>
      <w:r w:rsidRPr="00BE6CCB">
        <w:rPr>
          <w:rFonts w:ascii="Avenir Next LT Pro" w:hAnsi="Avenir Next LT Pro" w:cstheme="minorHAnsi"/>
          <w:sz w:val="20"/>
          <w:szCs w:val="20"/>
        </w:rPr>
        <w:t>crédits carbones aussi bien du point de vue sectoriel que national, ainsi que les volumes cibles de vente des crédits carbone</w:t>
      </w:r>
      <w:r w:rsidR="00E7557C">
        <w:rPr>
          <w:rFonts w:ascii="Avenir Next LT Pro" w:hAnsi="Avenir Next LT Pro" w:cstheme="minorHAnsi"/>
          <w:sz w:val="20"/>
          <w:szCs w:val="20"/>
        </w:rPr>
        <w:t>s</w:t>
      </w:r>
      <w:r w:rsidRPr="00BE6CCB">
        <w:rPr>
          <w:rFonts w:ascii="Avenir Next LT Pro" w:hAnsi="Avenir Next LT Pro" w:cstheme="minorHAnsi"/>
          <w:sz w:val="20"/>
          <w:szCs w:val="20"/>
        </w:rPr>
        <w:t xml:space="preserve"> au cours du temps en fonction des différents segments de marchés en prenant en compte les implications vis-à-vis de la mise en œuvre de la CDN. La stratégie permettra par ailleurs de déterminer les arrangements institutionnelles et règlementaires spécifiques (ex. partage des bénéfices), les implications fiscales et autres mesures d’incitation financière et non financière pour les investisseurs nationaux et internationaux.</w:t>
      </w:r>
      <w:r w:rsidR="00A93014">
        <w:rPr>
          <w:rFonts w:ascii="Avenir Next LT Pro" w:hAnsi="Avenir Next LT Pro" w:cstheme="minorHAnsi"/>
          <w:sz w:val="20"/>
          <w:szCs w:val="20"/>
        </w:rPr>
        <w:t xml:space="preserve"> Au-delà de la stratégie nationale sur les marchés du carbone,</w:t>
      </w:r>
      <w:r w:rsidRPr="00BE6CCB">
        <w:rPr>
          <w:rFonts w:ascii="Avenir Next LT Pro" w:hAnsi="Avenir Next LT Pro" w:cstheme="minorHAnsi"/>
          <w:sz w:val="20"/>
          <w:szCs w:val="20"/>
        </w:rPr>
        <w:t xml:space="preserve"> </w:t>
      </w:r>
      <w:r w:rsidR="00A93014">
        <w:rPr>
          <w:rFonts w:ascii="Avenir Next LT Pro" w:hAnsi="Avenir Next LT Pro" w:cstheme="minorHAnsi"/>
          <w:sz w:val="20"/>
          <w:szCs w:val="20"/>
        </w:rPr>
        <w:t>l</w:t>
      </w:r>
      <w:r w:rsidRPr="00BE6CCB">
        <w:rPr>
          <w:rFonts w:ascii="Avenir Next LT Pro" w:hAnsi="Avenir Next LT Pro" w:cstheme="minorHAnsi"/>
          <w:sz w:val="20"/>
          <w:szCs w:val="20"/>
        </w:rPr>
        <w:t xml:space="preserve">e projet soutiendra aussi le dialogue inclusif et la coordination intersectorielle pour le développement d’instruments financiers et la mise en place d’un mécanisme de financement robuste et pérenne pour encadrer les marchés du carbone et la mise en œuvre de la CDN en RDC. </w:t>
      </w:r>
    </w:p>
    <w:p w14:paraId="6317DF62" w14:textId="77777777" w:rsidR="00AD69AF" w:rsidRPr="00BE6CCB" w:rsidRDefault="00AD69AF" w:rsidP="00AD69AF">
      <w:pPr>
        <w:spacing w:after="0"/>
        <w:jc w:val="both"/>
        <w:rPr>
          <w:rFonts w:ascii="Avenir Next LT Pro" w:hAnsi="Avenir Next LT Pro" w:cstheme="minorHAnsi"/>
          <w:sz w:val="20"/>
          <w:szCs w:val="20"/>
        </w:rPr>
      </w:pPr>
    </w:p>
    <w:p w14:paraId="25E1A6BE" w14:textId="4D807083"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b/>
          <w:bCs/>
          <w:i/>
          <w:iCs/>
          <w:sz w:val="20"/>
          <w:szCs w:val="20"/>
        </w:rPr>
        <w:t>Au niveau politique</w:t>
      </w:r>
      <w:r w:rsidRPr="00BE6CCB">
        <w:rPr>
          <w:rFonts w:ascii="Avenir Next LT Pro" w:hAnsi="Avenir Next LT Pro" w:cstheme="minorHAnsi"/>
          <w:sz w:val="20"/>
          <w:szCs w:val="20"/>
        </w:rPr>
        <w:t xml:space="preserve">, il s’agira notamment d’élaborer une Politique ou un Cadre national sur les marchés du carbone qui permettra notamment de </w:t>
      </w:r>
      <w:r w:rsidR="009410FE">
        <w:rPr>
          <w:rFonts w:ascii="Avenir Next LT Pro" w:hAnsi="Avenir Next LT Pro" w:cstheme="minorHAnsi"/>
          <w:sz w:val="20"/>
          <w:szCs w:val="20"/>
        </w:rPr>
        <w:t xml:space="preserve">fixer les règles relatives </w:t>
      </w:r>
      <w:proofErr w:type="spellStart"/>
      <w:r w:rsidR="009410FE">
        <w:rPr>
          <w:rFonts w:ascii="Avenir Next LT Pro" w:hAnsi="Avenir Next LT Pro" w:cstheme="minorHAnsi"/>
          <w:sz w:val="20"/>
          <w:szCs w:val="20"/>
        </w:rPr>
        <w:t>à</w:t>
      </w:r>
      <w:proofErr w:type="spellEnd"/>
      <w:r w:rsidR="009410FE">
        <w:rPr>
          <w:rFonts w:ascii="Avenir Next LT Pro" w:hAnsi="Avenir Next LT Pro" w:cstheme="minorHAnsi"/>
          <w:sz w:val="20"/>
          <w:szCs w:val="20"/>
        </w:rPr>
        <w:t xml:space="preserve"> : i) la génération des crédits carbone (conditions pour l’approbation des projets), ii) la commercialisation des crédits carbone (droit de propriété sur le carbone et autres dispositions liées au partages des bénéfices), l’utilisation des crédits carbone (dispositions spécifiques liées au double comptage, ajustements correspondants).  </w:t>
      </w:r>
      <w:r w:rsidRPr="00BE6CCB">
        <w:rPr>
          <w:rFonts w:ascii="Avenir Next LT Pro" w:hAnsi="Avenir Next LT Pro" w:cstheme="minorHAnsi"/>
          <w:sz w:val="20"/>
          <w:szCs w:val="20"/>
        </w:rPr>
        <w:t>.</w:t>
      </w:r>
      <w:r w:rsidRPr="00BE6CCB">
        <w:rPr>
          <w:rFonts w:ascii="Avenir Next LT Pro" w:hAnsi="Avenir Next LT Pro" w:cstheme="minorHAnsi"/>
          <w:sz w:val="20"/>
          <w:szCs w:val="20"/>
        </w:rPr>
        <w:cr/>
      </w:r>
    </w:p>
    <w:p w14:paraId="5CC68F54" w14:textId="77777777"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b/>
          <w:bCs/>
          <w:i/>
          <w:iCs/>
          <w:sz w:val="20"/>
          <w:szCs w:val="20"/>
        </w:rPr>
        <w:t>Au niveau opérationnel</w:t>
      </w:r>
      <w:r w:rsidRPr="00BE6CCB">
        <w:rPr>
          <w:rFonts w:ascii="Avenir Next LT Pro" w:hAnsi="Avenir Next LT Pro" w:cstheme="minorHAnsi"/>
          <w:sz w:val="20"/>
          <w:szCs w:val="20"/>
        </w:rPr>
        <w:t>, il s’agira principalement d’appuyer le processus de re-visitation</w:t>
      </w:r>
      <w:r w:rsidRPr="00BE6CCB">
        <w:rPr>
          <w:rFonts w:ascii="Avenir Next LT Pro" w:hAnsi="Avenir Next LT Pro"/>
          <w:sz w:val="20"/>
          <w:szCs w:val="20"/>
        </w:rPr>
        <w:t xml:space="preserve"> des </w:t>
      </w:r>
      <w:r w:rsidRPr="00BE6CCB">
        <w:rPr>
          <w:rFonts w:ascii="Avenir Next LT Pro" w:hAnsi="Avenir Next LT Pro" w:cstheme="minorHAnsi"/>
          <w:sz w:val="20"/>
          <w:szCs w:val="20"/>
        </w:rPr>
        <w:t>textes légaux et règlementaires devant encadrer les marchés carbones en vue de renforcer le cadre juridique et la conception et la mise en œuvre de quelques programmes juridictionnels pilotes, y compris l’appui à la conformité et la certification ART-TREES. C’est dans ce contexte spécifique que des synergies ou des activités conjointes pourront être mise en œuvre avec les initiatives et projets en cours et projetés par le PNUD et d’autres acteurs de la finance carbone en RDC (ex. plan d’expansion du projet ERA Congo dans les provinces de la Tshopo, Nord Ubangi, Sud Ubangi et Equateur ; PIREDD Oriental et Haute Uele mis en œuvre par le PNUD, etc.). Par ailleurs, des actions synergiques seront développées avec le PDL-145T, notamment dans le cadre de la création et le soutien au développement des chaines de valeur agro-</w:t>
      </w:r>
      <w:proofErr w:type="spellStart"/>
      <w:r w:rsidRPr="00BE6CCB">
        <w:rPr>
          <w:rFonts w:ascii="Avenir Next LT Pro" w:hAnsi="Avenir Next LT Pro" w:cstheme="minorHAnsi"/>
          <w:sz w:val="20"/>
          <w:szCs w:val="20"/>
        </w:rPr>
        <w:t>sylvo</w:t>
      </w:r>
      <w:proofErr w:type="spellEnd"/>
      <w:r w:rsidRPr="00BE6CCB">
        <w:rPr>
          <w:rFonts w:ascii="Avenir Next LT Pro" w:hAnsi="Avenir Next LT Pro" w:cstheme="minorHAnsi"/>
          <w:sz w:val="20"/>
          <w:szCs w:val="20"/>
        </w:rPr>
        <w:t xml:space="preserve">-pastorales dans les territoires (P.2.2.), ainsi que la création et l’appui aux coopératives et groupements d’intérêt économique (P.2.3). </w:t>
      </w:r>
    </w:p>
    <w:p w14:paraId="48756E38" w14:textId="77777777" w:rsidR="00AD69AF" w:rsidRPr="00BE6CCB" w:rsidRDefault="00AD69AF" w:rsidP="00AD69AF">
      <w:pPr>
        <w:spacing w:after="0"/>
        <w:jc w:val="both"/>
        <w:rPr>
          <w:rFonts w:ascii="Avenir Next LT Pro" w:hAnsi="Avenir Next LT Pro" w:cstheme="minorHAnsi"/>
          <w:sz w:val="20"/>
          <w:szCs w:val="20"/>
        </w:rPr>
      </w:pPr>
    </w:p>
    <w:p w14:paraId="5C1238FA" w14:textId="4E994A14"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Il s’agira également d’appuyer le développement d’un Registre national des marchés du carbone, d’accompagner la finalisation du développement du Registre national REDD+ et d’assurer une connexion entre les deux registres</w:t>
      </w:r>
      <w:r w:rsidR="0016138A">
        <w:rPr>
          <w:rFonts w:ascii="Avenir Next LT Pro" w:hAnsi="Avenir Next LT Pro" w:cstheme="minorHAnsi"/>
          <w:sz w:val="20"/>
          <w:szCs w:val="20"/>
        </w:rPr>
        <w:t xml:space="preserve">, sinon de l’extension </w:t>
      </w:r>
      <w:r w:rsidR="00AC594E">
        <w:rPr>
          <w:rFonts w:ascii="Avenir Next LT Pro" w:hAnsi="Avenir Next LT Pro" w:cstheme="minorHAnsi"/>
          <w:sz w:val="20"/>
          <w:szCs w:val="20"/>
        </w:rPr>
        <w:t xml:space="preserve">du Registre national REDD+ </w:t>
      </w:r>
      <w:r w:rsidR="00AC594E" w:rsidRPr="00AC594E">
        <w:rPr>
          <w:rFonts w:ascii="Avenir Next LT Pro" w:hAnsi="Avenir Next LT Pro" w:cstheme="minorHAnsi"/>
          <w:sz w:val="20"/>
          <w:szCs w:val="20"/>
        </w:rPr>
        <w:t xml:space="preserve">à </w:t>
      </w:r>
      <w:r w:rsidR="00AC594E">
        <w:rPr>
          <w:rFonts w:ascii="Avenir Next LT Pro" w:hAnsi="Avenir Next LT Pro" w:cstheme="minorHAnsi"/>
          <w:sz w:val="20"/>
          <w:szCs w:val="20"/>
        </w:rPr>
        <w:t xml:space="preserve">l’ensemble </w:t>
      </w:r>
      <w:r w:rsidR="00D502F6">
        <w:rPr>
          <w:rFonts w:ascii="Avenir Next LT Pro" w:hAnsi="Avenir Next LT Pro" w:cstheme="minorHAnsi"/>
          <w:sz w:val="20"/>
          <w:szCs w:val="20"/>
        </w:rPr>
        <w:t xml:space="preserve">des </w:t>
      </w:r>
      <w:r w:rsidR="00D3054F">
        <w:rPr>
          <w:rFonts w:ascii="Avenir Next LT Pro" w:hAnsi="Avenir Next LT Pro" w:cstheme="minorHAnsi"/>
          <w:sz w:val="20"/>
          <w:szCs w:val="20"/>
        </w:rPr>
        <w:t>catégories</w:t>
      </w:r>
      <w:r w:rsidR="00D502F6">
        <w:rPr>
          <w:rFonts w:ascii="Avenir Next LT Pro" w:hAnsi="Avenir Next LT Pro" w:cstheme="minorHAnsi"/>
          <w:sz w:val="20"/>
          <w:szCs w:val="20"/>
        </w:rPr>
        <w:t xml:space="preserve"> d’activités carbone mis en œuvre sur le territoire national </w:t>
      </w:r>
      <w:r w:rsidRPr="00BE6CCB">
        <w:rPr>
          <w:rFonts w:ascii="Avenir Next LT Pro" w:hAnsi="Avenir Next LT Pro" w:cstheme="minorHAnsi"/>
          <w:sz w:val="20"/>
          <w:szCs w:val="20"/>
        </w:rPr>
        <w:t xml:space="preserve">. </w:t>
      </w:r>
    </w:p>
    <w:p w14:paraId="4220B878" w14:textId="77777777" w:rsidR="00AD69AF" w:rsidRPr="00BE6CCB" w:rsidRDefault="00AD69AF" w:rsidP="00AD69AF">
      <w:pPr>
        <w:spacing w:after="0"/>
        <w:jc w:val="both"/>
        <w:rPr>
          <w:rFonts w:ascii="Avenir Next LT Pro" w:hAnsi="Avenir Next LT Pro" w:cstheme="minorHAnsi"/>
          <w:sz w:val="20"/>
          <w:szCs w:val="20"/>
        </w:rPr>
      </w:pPr>
    </w:p>
    <w:p w14:paraId="7C51B1C6" w14:textId="77777777"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Le Projet appuiera par ailleurs le développement d’un Système national de comptabilisation du carbone prenant en compte les exigences d’ajustement correspondant dans le cadre des périodes </w:t>
      </w:r>
      <w:r w:rsidRPr="00BE6CCB">
        <w:rPr>
          <w:rFonts w:ascii="Avenir Next LT Pro" w:hAnsi="Avenir Next LT Pro" w:cstheme="minorHAnsi"/>
          <w:sz w:val="20"/>
          <w:szCs w:val="20"/>
        </w:rPr>
        <w:lastRenderedPageBreak/>
        <w:t xml:space="preserve">de comptabilisation de la CDN. Eventuellement, il s’agira d’établir et/ou de renforcer les Systèmes de sauvegarde environnementale et sociale relatifs aux marchés du carbone, ainsi que d’élaborer un Cadre national intégré pour la REDD+ (REDD+ </w:t>
      </w:r>
      <w:proofErr w:type="spellStart"/>
      <w:r w:rsidRPr="00BE6CCB">
        <w:rPr>
          <w:rFonts w:ascii="Avenir Next LT Pro" w:hAnsi="Avenir Next LT Pro" w:cstheme="minorHAnsi"/>
          <w:sz w:val="20"/>
          <w:szCs w:val="20"/>
        </w:rPr>
        <w:t>Nesting</w:t>
      </w:r>
      <w:proofErr w:type="spellEnd"/>
      <w:r w:rsidRPr="00BE6CCB">
        <w:rPr>
          <w:rFonts w:ascii="Avenir Next LT Pro" w:hAnsi="Avenir Next LT Pro" w:cstheme="minorHAnsi"/>
          <w:sz w:val="20"/>
          <w:szCs w:val="20"/>
        </w:rPr>
        <w:t xml:space="preserve"> Framework) qui définira une démarche robuste d’intégration des projets juridictionnel REDD+. </w:t>
      </w:r>
    </w:p>
    <w:p w14:paraId="651E057E" w14:textId="77777777" w:rsidR="00AD69AF" w:rsidRPr="00BE6CCB" w:rsidRDefault="00AD69AF" w:rsidP="00AD69AF">
      <w:pPr>
        <w:spacing w:after="0"/>
        <w:jc w:val="both"/>
        <w:rPr>
          <w:rFonts w:ascii="Avenir Next LT Pro" w:hAnsi="Avenir Next LT Pro" w:cstheme="minorHAnsi"/>
          <w:sz w:val="20"/>
          <w:szCs w:val="20"/>
        </w:rPr>
      </w:pPr>
    </w:p>
    <w:p w14:paraId="4BC5A9AF" w14:textId="69BBBC4D"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En matière de renforcement des capacités et partage d’expérience, le Projet favorisera l’élaboration et le déploiement d’un Plan robuste de renforcement des capacités en continue sur les différents marchés du carbone. Ce Plan de renforcement des capacités identifiera les lacunes spécifiques des différentes catégories d’acteurs pertinents aussi bien au niveau national que provincial et définira des activités spécifiques de formation correspondantes (ex. généralités sur les marchés de conformité/volontaires ; formulation des projets carbones du secteur forestier ; instruments financiers innovants de la finance climatique, etc.).</w:t>
      </w:r>
      <w:r w:rsidR="00453C3F">
        <w:rPr>
          <w:rFonts w:ascii="Avenir Next LT Pro" w:hAnsi="Avenir Next LT Pro" w:cstheme="minorHAnsi"/>
          <w:sz w:val="20"/>
          <w:szCs w:val="20"/>
        </w:rPr>
        <w:t>Aussi, le PNUD établira une collaboration avec le RIFFEAC</w:t>
      </w:r>
      <w:r w:rsidR="00453C3F">
        <w:rPr>
          <w:rStyle w:val="Appelnotedebasdep"/>
          <w:rFonts w:ascii="Avenir Next LT Pro" w:hAnsi="Avenir Next LT Pro" w:cstheme="minorHAnsi"/>
          <w:sz w:val="20"/>
          <w:szCs w:val="20"/>
        </w:rPr>
        <w:footnoteReference w:id="13"/>
      </w:r>
      <w:r w:rsidR="00453C3F">
        <w:rPr>
          <w:rFonts w:ascii="Avenir Next LT Pro" w:hAnsi="Avenir Next LT Pro" w:cstheme="minorHAnsi"/>
          <w:sz w:val="20"/>
          <w:szCs w:val="20"/>
        </w:rPr>
        <w:t xml:space="preserve"> </w:t>
      </w:r>
      <w:r w:rsidR="007168D1">
        <w:rPr>
          <w:rFonts w:ascii="Avenir Next LT Pro" w:hAnsi="Avenir Next LT Pro" w:cstheme="minorHAnsi"/>
          <w:sz w:val="20"/>
          <w:szCs w:val="20"/>
        </w:rPr>
        <w:t xml:space="preserve">afin de développer des curricula de formation sur la finance climatique et les marchés du carbone. Cette collaboration permettra d’outiller </w:t>
      </w:r>
      <w:r w:rsidR="004E4302">
        <w:rPr>
          <w:rFonts w:ascii="Avenir Next LT Pro" w:hAnsi="Avenir Next LT Pro" w:cstheme="minorHAnsi"/>
          <w:sz w:val="20"/>
          <w:szCs w:val="20"/>
        </w:rPr>
        <w:t>les institutions de formations supérieures au-delà de la RDC. Le PNUD dispose déjà de ressources techniques qui serviront de base pour l’élaboration des guides/manuels de formation</w:t>
      </w:r>
      <w:r w:rsidRPr="00BE6CCB">
        <w:rPr>
          <w:rFonts w:ascii="Avenir Next LT Pro" w:hAnsi="Avenir Next LT Pro" w:cstheme="minorHAnsi"/>
          <w:sz w:val="20"/>
          <w:szCs w:val="20"/>
        </w:rPr>
        <w:t xml:space="preserve">. Eventuellement, le projet financera des formations de courte durée de certaines parties prenantes clés sur des thématiques importantes des marchés du carbone et de la CDN à l’étranger. Il s’agira par ailleurs d’offrir des stages d’apprentissage sur les thématiques des marchés du carbone et de la CDN aux étudiants en cycle de master ou doctorat au niveau du PNUD ou d’autres partenaires. </w:t>
      </w:r>
    </w:p>
    <w:p w14:paraId="790B8287" w14:textId="77777777" w:rsidR="00AD69AF" w:rsidRPr="00BE6CCB" w:rsidRDefault="00AD69AF" w:rsidP="00AD69AF">
      <w:pPr>
        <w:spacing w:after="0"/>
        <w:jc w:val="both"/>
        <w:rPr>
          <w:rFonts w:ascii="Avenir Next LT Pro" w:hAnsi="Avenir Next LT Pro" w:cstheme="minorHAnsi"/>
          <w:sz w:val="20"/>
          <w:szCs w:val="20"/>
        </w:rPr>
      </w:pPr>
    </w:p>
    <w:p w14:paraId="499B5AB8" w14:textId="77777777"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Au niveau du partage d’expérience et des bonnes pratiques, le Projet favorisera des échanges d’expérience Sud-Sud et Nord-Sud avec les pays démontrant une avancée significative dans les thématiques d’intérêt du gouvernement de la RDC (ex. paiements pour service environnementaux ; instruments financiers innovants tels que les obligations vertes ; marchés du carbone ; paiements basés sur les résultats REDD+, etc.). Ces échanges d’expérience se feront soit en ligne, soit en présentiel en fonction des circonstances. Il s’agira éventuellement de déployer le personnel des ministères clés dans d’autres pays pour un apprentissage continue de courte durée sur le terrain ou vice-versa, notamment le déploiement des experts des pays d’apprentissage en RDC pour un renforcement des capacités locales. </w:t>
      </w:r>
    </w:p>
    <w:p w14:paraId="67F4316A" w14:textId="77777777" w:rsidR="00AD69AF" w:rsidRPr="00BE6CCB" w:rsidRDefault="00AD69AF" w:rsidP="00AD69AF">
      <w:pPr>
        <w:spacing w:after="0"/>
        <w:jc w:val="both"/>
        <w:rPr>
          <w:rFonts w:ascii="Avenir Next LT Pro" w:hAnsi="Avenir Next LT Pro" w:cstheme="minorHAnsi"/>
          <w:sz w:val="20"/>
          <w:szCs w:val="20"/>
        </w:rPr>
      </w:pPr>
    </w:p>
    <w:p w14:paraId="2F7C3FF1" w14:textId="77777777" w:rsidR="00AD69AF" w:rsidRPr="00BE6CCB" w:rsidRDefault="00AD69AF" w:rsidP="00AD69AF">
      <w:pPr>
        <w:spacing w:after="0"/>
        <w:jc w:val="both"/>
        <w:rPr>
          <w:rFonts w:ascii="Avenir Next LT Pro" w:hAnsi="Avenir Next LT Pro" w:cstheme="minorHAnsi"/>
          <w:b/>
          <w:bCs/>
          <w:sz w:val="20"/>
          <w:szCs w:val="20"/>
        </w:rPr>
      </w:pPr>
    </w:p>
    <w:p w14:paraId="4CADDFB6" w14:textId="77777777" w:rsidR="00AD69AF" w:rsidRPr="00BE6CCB" w:rsidRDefault="00AD69AF" w:rsidP="00AD69AF">
      <w:pPr>
        <w:spacing w:after="0"/>
        <w:jc w:val="both"/>
        <w:rPr>
          <w:rFonts w:ascii="Avenir Next LT Pro" w:hAnsi="Avenir Next LT Pro" w:cstheme="minorHAnsi"/>
          <w:b/>
          <w:bCs/>
          <w:sz w:val="20"/>
          <w:szCs w:val="20"/>
        </w:rPr>
      </w:pPr>
      <w:r w:rsidRPr="00BE6CCB">
        <w:rPr>
          <w:rFonts w:ascii="Avenir Next LT Pro" w:hAnsi="Avenir Next LT Pro" w:cstheme="minorHAnsi"/>
          <w:b/>
          <w:bCs/>
          <w:sz w:val="20"/>
          <w:szCs w:val="20"/>
        </w:rPr>
        <w:t>Pilier 3 : Cadres de concertation et de dialogue inclusif, communication et gestion du savoir</w:t>
      </w:r>
    </w:p>
    <w:p w14:paraId="456C16D1" w14:textId="77777777" w:rsidR="00AD69AF" w:rsidRPr="00BE6CCB" w:rsidRDefault="00AD69AF" w:rsidP="00AD69AF">
      <w:pPr>
        <w:spacing w:after="0"/>
        <w:jc w:val="both"/>
        <w:rPr>
          <w:rFonts w:ascii="Avenir Next LT Pro" w:hAnsi="Avenir Next LT Pro" w:cstheme="minorHAnsi"/>
          <w:sz w:val="20"/>
          <w:szCs w:val="20"/>
        </w:rPr>
      </w:pPr>
    </w:p>
    <w:p w14:paraId="5EB437A0" w14:textId="77777777"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Il s’agit d’un pilier transversal dont les interventions complèteront et renforceront celles des pilier 1 et 2. D’emblée, il sera question de promouvoir un </w:t>
      </w:r>
      <w:r w:rsidRPr="00BE6CCB">
        <w:rPr>
          <w:rFonts w:ascii="Avenir Next LT Pro" w:hAnsi="Avenir Next LT Pro" w:cstheme="minorHAnsi"/>
          <w:b/>
          <w:bCs/>
          <w:i/>
          <w:iCs/>
          <w:sz w:val="20"/>
          <w:szCs w:val="20"/>
        </w:rPr>
        <w:t>dialogue national</w:t>
      </w:r>
      <w:r w:rsidRPr="00BE6CCB">
        <w:rPr>
          <w:rFonts w:ascii="Avenir Next LT Pro" w:hAnsi="Avenir Next LT Pro" w:cstheme="minorHAnsi"/>
          <w:sz w:val="20"/>
          <w:szCs w:val="20"/>
        </w:rPr>
        <w:t xml:space="preserve"> large, inclusif et multi-acteurs sur la CDN et les marchés du carbone en mobilisant diverses plateformes de concertation existantes à l’instar du Groupe de Travail Climat REDD+ Rénové (GTCRR) en ce qui concerne la société civile, la Fédération des Entreprises du Congo (FEC) en ce qui concerne le secteur privé et porteurs de projet, les universités et les institutions de recherche. Il s’agira de renforcer le dialogue politique, notamment avec les élus du peuple et des représentants des peuples autochtones et des autres membres des communautés aux niveaux national et provincial (ex. députés, sénateurs, gouverneurs provinciaux, etc.). Une attention sera aussi accordée à la participation des jeunes et des femmes. Le Projet s’appuiera sur les plateformes existantes à l’instar des Commissions Environnement, Gestion des Ressources Naturelles &amp; Tourisme de l’Assemblée nationale et du Sénat, ainsi que le Réseaux des Parlementaires sur les Objectifs de Développement Durable en RDC. Au niveau </w:t>
      </w:r>
      <w:r w:rsidRPr="00BE6CCB">
        <w:rPr>
          <w:rFonts w:ascii="Avenir Next LT Pro" w:hAnsi="Avenir Next LT Pro" w:cstheme="minorHAnsi"/>
          <w:b/>
          <w:bCs/>
          <w:i/>
          <w:iCs/>
          <w:sz w:val="20"/>
          <w:szCs w:val="20"/>
        </w:rPr>
        <w:t>dialogue</w:t>
      </w:r>
      <w:r w:rsidRPr="00BE6CCB">
        <w:rPr>
          <w:rFonts w:ascii="Avenir Next LT Pro" w:hAnsi="Avenir Next LT Pro" w:cstheme="minorHAnsi"/>
          <w:sz w:val="20"/>
          <w:szCs w:val="20"/>
        </w:rPr>
        <w:t xml:space="preserve"> </w:t>
      </w:r>
      <w:r w:rsidRPr="00BE6CCB">
        <w:rPr>
          <w:rFonts w:ascii="Avenir Next LT Pro" w:hAnsi="Avenir Next LT Pro" w:cstheme="minorHAnsi"/>
          <w:b/>
          <w:bCs/>
          <w:i/>
          <w:iCs/>
          <w:sz w:val="20"/>
          <w:szCs w:val="20"/>
        </w:rPr>
        <w:t>international</w:t>
      </w:r>
      <w:r w:rsidRPr="00BE6CCB">
        <w:rPr>
          <w:rFonts w:ascii="Avenir Next LT Pro" w:hAnsi="Avenir Next LT Pro" w:cstheme="minorHAnsi"/>
          <w:sz w:val="20"/>
          <w:szCs w:val="20"/>
        </w:rPr>
        <w:t xml:space="preserve">, il s’agira également de renforcer la diplomatie environnementale de la RDC pour un engagement plus effectif aux négociations sur le climat dans le cadre de la CCNUCC (ex. Groupe de négociateurs africains sur le climat) et sur la finance climatique (ex. dialogues avec les bailleurs de fonds, accords de financement internationaux). </w:t>
      </w:r>
    </w:p>
    <w:p w14:paraId="42C6DDF3" w14:textId="77777777" w:rsidR="00AD69AF" w:rsidRPr="00BE6CCB" w:rsidRDefault="00AD69AF" w:rsidP="00AD69AF">
      <w:pPr>
        <w:spacing w:after="0"/>
        <w:jc w:val="both"/>
        <w:rPr>
          <w:rFonts w:ascii="Avenir Next LT Pro" w:hAnsi="Avenir Next LT Pro" w:cstheme="minorHAnsi"/>
          <w:sz w:val="20"/>
          <w:szCs w:val="20"/>
        </w:rPr>
      </w:pPr>
    </w:p>
    <w:p w14:paraId="623D9189" w14:textId="2B4E2F81"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lastRenderedPageBreak/>
        <w:t xml:space="preserve">En matière de communication, il s’agira à travers le Projet de renforcer la communication et la sensibilisation sur la CDN et les marchés du carbone aussi bien au niveau national que provincial. Le Plan de communication qui sera élaboré identifiera les diverses audiences cibles, ainsi que les outils adéquats de communication et de sensibilisation tout au long de la durée du </w:t>
      </w:r>
      <w:r w:rsidR="003A7A74">
        <w:rPr>
          <w:rFonts w:ascii="Avenir Next LT Pro" w:hAnsi="Avenir Next LT Pro" w:cstheme="minorHAnsi"/>
          <w:sz w:val="20"/>
          <w:szCs w:val="20"/>
        </w:rPr>
        <w:t>P</w:t>
      </w:r>
      <w:r w:rsidRPr="00BE6CCB">
        <w:rPr>
          <w:rFonts w:ascii="Avenir Next LT Pro" w:hAnsi="Avenir Next LT Pro" w:cstheme="minorHAnsi"/>
          <w:sz w:val="20"/>
          <w:szCs w:val="20"/>
        </w:rPr>
        <w:t xml:space="preserve">rojet. A ce Plan de communication sera associé un Plan de gestion des connaissances qui sera mis en œuvre de manière conjointe et ayant pour but de documenter et amplifier les bonnes pratiques et leçons apprises dans le cadre de la mise en œuvre du </w:t>
      </w:r>
      <w:r w:rsidR="003A7A74">
        <w:rPr>
          <w:rFonts w:ascii="Avenir Next LT Pro" w:hAnsi="Avenir Next LT Pro" w:cstheme="minorHAnsi"/>
          <w:sz w:val="20"/>
          <w:szCs w:val="20"/>
        </w:rPr>
        <w:t>P</w:t>
      </w:r>
      <w:r w:rsidRPr="00BE6CCB">
        <w:rPr>
          <w:rFonts w:ascii="Avenir Next LT Pro" w:hAnsi="Avenir Next LT Pro" w:cstheme="minorHAnsi"/>
          <w:sz w:val="20"/>
          <w:szCs w:val="20"/>
        </w:rPr>
        <w:t xml:space="preserve">rojet, ainsi dans le cadre de projet similaires au niveau national et international. </w:t>
      </w:r>
    </w:p>
    <w:p w14:paraId="6F0521F0" w14:textId="77777777" w:rsidR="00AD69AF" w:rsidRPr="00BE6CCB" w:rsidRDefault="00AD69AF" w:rsidP="00AD69AF">
      <w:pPr>
        <w:spacing w:after="0"/>
        <w:jc w:val="both"/>
        <w:rPr>
          <w:rFonts w:ascii="Avenir Next LT Pro" w:hAnsi="Avenir Next LT Pro" w:cstheme="minorHAnsi"/>
          <w:sz w:val="20"/>
          <w:szCs w:val="20"/>
        </w:rPr>
      </w:pPr>
    </w:p>
    <w:p w14:paraId="32F3E6FB" w14:textId="457B3A02"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Il convient de souligner que cette stratégie d’intervention sera davantage renforcée par une </w:t>
      </w:r>
      <w:r w:rsidRPr="00BE6CCB">
        <w:rPr>
          <w:rFonts w:ascii="Avenir Next LT Pro" w:hAnsi="Avenir Next LT Pro" w:cstheme="minorHAnsi"/>
          <w:b/>
          <w:bCs/>
          <w:i/>
          <w:iCs/>
          <w:sz w:val="20"/>
          <w:szCs w:val="20"/>
        </w:rPr>
        <w:t xml:space="preserve">Etude de </w:t>
      </w:r>
      <w:r w:rsidR="009A6F3D">
        <w:rPr>
          <w:rFonts w:ascii="Avenir Next LT Pro" w:hAnsi="Avenir Next LT Pro" w:cstheme="minorHAnsi"/>
          <w:b/>
          <w:bCs/>
          <w:i/>
          <w:iCs/>
          <w:sz w:val="20"/>
          <w:szCs w:val="20"/>
        </w:rPr>
        <w:t>cadrage</w:t>
      </w:r>
      <w:r w:rsidR="009A6F3D" w:rsidRPr="00BE6CCB">
        <w:rPr>
          <w:rFonts w:ascii="Avenir Next LT Pro" w:hAnsi="Avenir Next LT Pro" w:cstheme="minorHAnsi"/>
          <w:sz w:val="20"/>
          <w:szCs w:val="20"/>
        </w:rPr>
        <w:t xml:space="preserve"> </w:t>
      </w:r>
      <w:r w:rsidRPr="00BE6CCB">
        <w:rPr>
          <w:rFonts w:ascii="Avenir Next LT Pro" w:hAnsi="Avenir Next LT Pro" w:cstheme="minorHAnsi"/>
          <w:sz w:val="20"/>
          <w:szCs w:val="20"/>
        </w:rPr>
        <w:t xml:space="preserve">qui sera effectuée pendant la phase de démarrage du projet. Cette étude de </w:t>
      </w:r>
      <w:r w:rsidR="009A6F3D">
        <w:rPr>
          <w:rFonts w:ascii="Avenir Next LT Pro" w:hAnsi="Avenir Next LT Pro" w:cstheme="minorHAnsi"/>
          <w:sz w:val="20"/>
          <w:szCs w:val="20"/>
        </w:rPr>
        <w:t>cadrage</w:t>
      </w:r>
      <w:r w:rsidR="009A6F3D" w:rsidRPr="00BE6CCB">
        <w:rPr>
          <w:rFonts w:ascii="Avenir Next LT Pro" w:hAnsi="Avenir Next LT Pro" w:cstheme="minorHAnsi"/>
          <w:sz w:val="20"/>
          <w:szCs w:val="20"/>
        </w:rPr>
        <w:t xml:space="preserve"> </w:t>
      </w:r>
      <w:r w:rsidRPr="00BE6CCB">
        <w:rPr>
          <w:rFonts w:ascii="Avenir Next LT Pro" w:hAnsi="Avenir Next LT Pro" w:cstheme="minorHAnsi"/>
          <w:sz w:val="20"/>
          <w:szCs w:val="20"/>
        </w:rPr>
        <w:t xml:space="preserve">sera assortie d’un </w:t>
      </w:r>
      <w:r w:rsidRPr="00BE6CCB">
        <w:rPr>
          <w:rFonts w:ascii="Avenir Next LT Pro" w:hAnsi="Avenir Next LT Pro" w:cstheme="minorHAnsi"/>
          <w:b/>
          <w:bCs/>
          <w:i/>
          <w:iCs/>
          <w:sz w:val="20"/>
          <w:szCs w:val="20"/>
        </w:rPr>
        <w:t>Plan opérationnel</w:t>
      </w:r>
      <w:r w:rsidRPr="00BE6CCB">
        <w:rPr>
          <w:rFonts w:ascii="Avenir Next LT Pro" w:hAnsi="Avenir Next LT Pro" w:cstheme="minorHAnsi"/>
          <w:sz w:val="20"/>
          <w:szCs w:val="20"/>
        </w:rPr>
        <w:t xml:space="preserve"> décrivant de manière détaillée l’approche et le calendrier de mise en œuvre des différentes activités retenues. L’étude de </w:t>
      </w:r>
      <w:r w:rsidR="009A6F3D">
        <w:rPr>
          <w:rFonts w:ascii="Avenir Next LT Pro" w:hAnsi="Avenir Next LT Pro" w:cstheme="minorHAnsi"/>
          <w:sz w:val="20"/>
          <w:szCs w:val="20"/>
        </w:rPr>
        <w:t>cadrage</w:t>
      </w:r>
      <w:r w:rsidR="009A6F3D" w:rsidRPr="00BE6CCB">
        <w:rPr>
          <w:rFonts w:ascii="Avenir Next LT Pro" w:hAnsi="Avenir Next LT Pro" w:cstheme="minorHAnsi"/>
          <w:sz w:val="20"/>
          <w:szCs w:val="20"/>
        </w:rPr>
        <w:t xml:space="preserve"> </w:t>
      </w:r>
      <w:r w:rsidRPr="00BE6CCB">
        <w:rPr>
          <w:rFonts w:ascii="Avenir Next LT Pro" w:hAnsi="Avenir Next LT Pro" w:cstheme="minorHAnsi"/>
          <w:sz w:val="20"/>
          <w:szCs w:val="20"/>
        </w:rPr>
        <w:t xml:space="preserve">et le plan opérationnel associé seront élaborés suivant une approche participative et inclusive en vue de renforcer l’appropriation du projet par les parties prenantes. De même, ils feront l’objet d’une validation préalablement ou dans le cadre d’un atelier de lancement des activités du projet. </w:t>
      </w:r>
    </w:p>
    <w:p w14:paraId="51F0E926" w14:textId="77777777" w:rsidR="00AD69AF" w:rsidRPr="00BE6CCB" w:rsidRDefault="00AD69AF" w:rsidP="00AD69AF">
      <w:pPr>
        <w:spacing w:after="0"/>
        <w:jc w:val="both"/>
        <w:rPr>
          <w:rFonts w:ascii="Avenir Next LT Pro" w:hAnsi="Avenir Next LT Pro" w:cstheme="minorHAnsi"/>
          <w:sz w:val="20"/>
          <w:szCs w:val="20"/>
        </w:rPr>
      </w:pPr>
    </w:p>
    <w:p w14:paraId="222D38F7" w14:textId="236D4455" w:rsidR="00AD69AF" w:rsidRPr="00BE6CCB" w:rsidRDefault="00AD69AF" w:rsidP="00AD69AF">
      <w:pPr>
        <w:spacing w:after="0"/>
        <w:jc w:val="both"/>
        <w:rPr>
          <w:rFonts w:ascii="Avenir Next LT Pro" w:hAnsi="Avenir Next LT Pro" w:cstheme="minorHAnsi"/>
          <w:sz w:val="20"/>
          <w:szCs w:val="20"/>
        </w:rPr>
      </w:pPr>
      <w:r w:rsidRPr="00BE6CCB">
        <w:rPr>
          <w:rFonts w:ascii="Avenir Next LT Pro" w:hAnsi="Avenir Next LT Pro" w:cstheme="minorHAnsi"/>
          <w:sz w:val="20"/>
          <w:szCs w:val="20"/>
        </w:rPr>
        <w:t xml:space="preserve">Enfin, il convient de noter que le </w:t>
      </w:r>
      <w:r w:rsidR="00106284">
        <w:rPr>
          <w:rFonts w:ascii="Avenir Next LT Pro" w:hAnsi="Avenir Next LT Pro" w:cstheme="minorHAnsi"/>
          <w:sz w:val="20"/>
          <w:szCs w:val="20"/>
        </w:rPr>
        <w:t>P</w:t>
      </w:r>
      <w:r w:rsidRPr="00BE6CCB">
        <w:rPr>
          <w:rFonts w:ascii="Avenir Next LT Pro" w:hAnsi="Avenir Next LT Pro" w:cstheme="minorHAnsi"/>
          <w:sz w:val="20"/>
          <w:szCs w:val="20"/>
        </w:rPr>
        <w:t>rojet sera mis en œuvre sur la base d’un certain nombre de principes directeurs, notamment :</w:t>
      </w:r>
    </w:p>
    <w:p w14:paraId="3BEF0D42" w14:textId="77777777" w:rsidR="00AD69AF" w:rsidRPr="00BE6CCB" w:rsidRDefault="00AD69AF" w:rsidP="00AD69AF">
      <w:pPr>
        <w:spacing w:after="0"/>
        <w:jc w:val="both"/>
        <w:rPr>
          <w:rFonts w:ascii="Avenir Next LT Pro" w:hAnsi="Avenir Next LT Pro" w:cs="Calibri"/>
          <w:b/>
          <w:bCs/>
          <w:sz w:val="20"/>
          <w:szCs w:val="20"/>
        </w:rPr>
      </w:pPr>
    </w:p>
    <w:p w14:paraId="5CDC7949" w14:textId="4CD0CE44" w:rsidR="00AD69AF" w:rsidRPr="00BE6CCB" w:rsidRDefault="00AD69AF" w:rsidP="00AD69AF">
      <w:pPr>
        <w:spacing w:after="0"/>
        <w:jc w:val="both"/>
        <w:rPr>
          <w:rFonts w:ascii="Avenir Next LT Pro" w:hAnsi="Avenir Next LT Pro" w:cs="Calibri"/>
          <w:sz w:val="20"/>
          <w:szCs w:val="20"/>
        </w:rPr>
      </w:pPr>
      <w:r w:rsidRPr="00BE6CCB">
        <w:rPr>
          <w:rFonts w:ascii="Avenir Next LT Pro" w:hAnsi="Avenir Next LT Pro" w:cs="Calibri"/>
          <w:b/>
          <w:bCs/>
          <w:sz w:val="20"/>
          <w:szCs w:val="20"/>
        </w:rPr>
        <w:t>Genre</w:t>
      </w:r>
      <w:r w:rsidRPr="00BE6CCB">
        <w:rPr>
          <w:rFonts w:ascii="Avenir Next LT Pro" w:hAnsi="Avenir Next LT Pro" w:cs="Calibri"/>
          <w:sz w:val="20"/>
          <w:szCs w:val="20"/>
        </w:rPr>
        <w:t xml:space="preserve"> : Le projet mettra un accent particulier sur les questions du Genre en s’assurant autant que possible de la participation effective et équitable de toutes les couches sociales (femmes, jeunes, etc.) conformément à la </w:t>
      </w:r>
      <w:hyperlink r:id="rId20" w:history="1">
        <w:r w:rsidRPr="00BE6CCB">
          <w:rPr>
            <w:rFonts w:ascii="Avenir Next LT Pro" w:hAnsi="Avenir Next LT Pro" w:cs="Calibri"/>
            <w:sz w:val="20"/>
            <w:szCs w:val="20"/>
            <w:u w:val="single"/>
          </w:rPr>
          <w:t>Stratégie sur l’Egalité Genre 2022-2025</w:t>
        </w:r>
      </w:hyperlink>
      <w:r w:rsidRPr="00BE6CCB">
        <w:rPr>
          <w:rFonts w:ascii="Avenir Next LT Pro" w:hAnsi="Avenir Next LT Pro" w:cs="Calibri"/>
          <w:sz w:val="20"/>
          <w:szCs w:val="20"/>
        </w:rPr>
        <w:t xml:space="preserve"> du PNUD. </w:t>
      </w:r>
      <w:r w:rsidR="00106284">
        <w:rPr>
          <w:rFonts w:ascii="Avenir Next LT Pro" w:hAnsi="Avenir Next LT Pro" w:cs="Calibri"/>
          <w:sz w:val="20"/>
          <w:szCs w:val="20"/>
        </w:rPr>
        <w:t>S</w:t>
      </w:r>
      <w:r w:rsidRPr="00BE6CCB">
        <w:rPr>
          <w:rFonts w:ascii="Avenir Next LT Pro" w:hAnsi="Avenir Next LT Pro" w:cs="Calibri"/>
          <w:sz w:val="20"/>
          <w:szCs w:val="20"/>
        </w:rPr>
        <w:t xml:space="preserve">ur cette base, le </w:t>
      </w:r>
      <w:r w:rsidR="00106284">
        <w:rPr>
          <w:rFonts w:ascii="Avenir Next LT Pro" w:hAnsi="Avenir Next LT Pro" w:cs="Calibri"/>
          <w:sz w:val="20"/>
          <w:szCs w:val="20"/>
        </w:rPr>
        <w:t>P</w:t>
      </w:r>
      <w:r w:rsidRPr="00BE6CCB">
        <w:rPr>
          <w:rFonts w:ascii="Avenir Next LT Pro" w:hAnsi="Avenir Next LT Pro" w:cs="Calibri"/>
          <w:sz w:val="20"/>
          <w:szCs w:val="20"/>
        </w:rPr>
        <w:t xml:space="preserve">rojet adoptera une approche </w:t>
      </w:r>
      <w:r w:rsidR="00106284">
        <w:rPr>
          <w:rFonts w:ascii="Avenir Next LT Pro" w:hAnsi="Avenir Next LT Pro" w:cs="Calibri"/>
          <w:sz w:val="20"/>
          <w:szCs w:val="20"/>
        </w:rPr>
        <w:t>inclusive</w:t>
      </w:r>
      <w:r w:rsidR="00106284" w:rsidRPr="00BE6CCB">
        <w:rPr>
          <w:rFonts w:ascii="Avenir Next LT Pro" w:hAnsi="Avenir Next LT Pro" w:cs="Calibri"/>
          <w:sz w:val="20"/>
          <w:szCs w:val="20"/>
        </w:rPr>
        <w:t xml:space="preserve"> </w:t>
      </w:r>
      <w:r w:rsidRPr="00BE6CCB">
        <w:rPr>
          <w:rFonts w:ascii="Avenir Next LT Pro" w:hAnsi="Avenir Next LT Pro" w:cs="Calibri"/>
          <w:sz w:val="20"/>
          <w:szCs w:val="20"/>
        </w:rPr>
        <w:t>d’interventions sensibles au genre afin d’assurer que les besoins et les intérêts des différentes couches sociales sont pris en compte et que leurs droits sont respectés.</w:t>
      </w:r>
    </w:p>
    <w:p w14:paraId="1125DD55" w14:textId="77777777" w:rsidR="00AD69AF" w:rsidRPr="00BE6CCB" w:rsidRDefault="00AD69AF" w:rsidP="00AD69AF">
      <w:pPr>
        <w:spacing w:after="0"/>
        <w:jc w:val="both"/>
        <w:rPr>
          <w:rFonts w:ascii="Avenir Next LT Pro" w:hAnsi="Avenir Next LT Pro" w:cs="Calibri"/>
          <w:b/>
          <w:bCs/>
          <w:sz w:val="20"/>
          <w:szCs w:val="20"/>
        </w:rPr>
      </w:pPr>
    </w:p>
    <w:p w14:paraId="74A8CA5C" w14:textId="0185E917" w:rsidR="00AD69AF" w:rsidRPr="00BE6CCB" w:rsidRDefault="00AD69AF" w:rsidP="00AD69AF">
      <w:pPr>
        <w:spacing w:after="0"/>
        <w:jc w:val="both"/>
        <w:rPr>
          <w:rFonts w:ascii="Avenir Next LT Pro" w:hAnsi="Avenir Next LT Pro" w:cs="Calibri"/>
          <w:sz w:val="20"/>
          <w:szCs w:val="20"/>
        </w:rPr>
      </w:pPr>
      <w:r w:rsidRPr="00BE6CCB">
        <w:rPr>
          <w:rFonts w:ascii="Avenir Next LT Pro" w:hAnsi="Avenir Next LT Pro" w:cs="Calibri"/>
          <w:b/>
          <w:bCs/>
          <w:sz w:val="20"/>
          <w:szCs w:val="20"/>
        </w:rPr>
        <w:t xml:space="preserve">Intégration au cadre politique et stratégique existant : </w:t>
      </w:r>
      <w:r w:rsidRPr="00BE6CCB">
        <w:rPr>
          <w:rFonts w:ascii="Avenir Next LT Pro" w:hAnsi="Avenir Next LT Pro" w:cs="Calibri"/>
          <w:sz w:val="20"/>
          <w:szCs w:val="20"/>
        </w:rPr>
        <w:t xml:space="preserve">Toutes les activités du </w:t>
      </w:r>
      <w:r w:rsidR="007263A6">
        <w:rPr>
          <w:rFonts w:ascii="Avenir Next LT Pro" w:hAnsi="Avenir Next LT Pro" w:cs="Calibri"/>
          <w:sz w:val="20"/>
          <w:szCs w:val="20"/>
        </w:rPr>
        <w:t>P</w:t>
      </w:r>
      <w:r w:rsidRPr="00BE6CCB">
        <w:rPr>
          <w:rFonts w:ascii="Avenir Next LT Pro" w:hAnsi="Avenir Next LT Pro" w:cs="Calibri"/>
          <w:sz w:val="20"/>
          <w:szCs w:val="20"/>
        </w:rPr>
        <w:t xml:space="preserve">rojet seront mises en œuvre de manière à s’assurer une cohérence et une intégration étroite avec le cadre politique et stratégique existant aussi bien dans le secteur forestier que dans les secteurs connexes. Par exemple, le développement de la Stratégie de mobilisation des financements climatiques va s’arrimer aux processus nationaux de budgétisations en ce qui concerne spécifiquement la mobilisation des financements publics. </w:t>
      </w:r>
    </w:p>
    <w:p w14:paraId="0A682C61" w14:textId="77777777" w:rsidR="00AD69AF" w:rsidRPr="00BE6CCB" w:rsidRDefault="00AD69AF" w:rsidP="00AD69AF">
      <w:pPr>
        <w:spacing w:after="0"/>
        <w:jc w:val="both"/>
        <w:rPr>
          <w:rFonts w:ascii="Avenir Next LT Pro" w:hAnsi="Avenir Next LT Pro" w:cs="Calibri"/>
          <w:b/>
          <w:bCs/>
          <w:sz w:val="20"/>
          <w:szCs w:val="20"/>
        </w:rPr>
      </w:pPr>
    </w:p>
    <w:p w14:paraId="597B2994" w14:textId="38C8A08C" w:rsidR="00AD69AF" w:rsidRPr="00BE6CCB" w:rsidRDefault="00AD69AF" w:rsidP="006E67CA">
      <w:pPr>
        <w:spacing w:after="0"/>
        <w:jc w:val="both"/>
        <w:rPr>
          <w:rFonts w:ascii="Avenir Next LT Pro" w:hAnsi="Avenir Next LT Pro" w:cs="Calibri"/>
          <w:b/>
          <w:bCs/>
          <w:i/>
          <w:iCs/>
          <w:sz w:val="20"/>
          <w:szCs w:val="20"/>
        </w:rPr>
      </w:pPr>
      <w:r w:rsidRPr="00BE6CCB">
        <w:rPr>
          <w:rFonts w:ascii="Avenir Next LT Pro" w:hAnsi="Avenir Next LT Pro" w:cs="Calibri"/>
          <w:b/>
          <w:bCs/>
          <w:sz w:val="20"/>
          <w:szCs w:val="20"/>
        </w:rPr>
        <w:t>Synergie avec les interventions en cours et projetées</w:t>
      </w:r>
      <w:r w:rsidRPr="00BE6CCB">
        <w:rPr>
          <w:rFonts w:ascii="Avenir Next LT Pro" w:hAnsi="Avenir Next LT Pro" w:cs="Calibri"/>
          <w:sz w:val="20"/>
          <w:szCs w:val="20"/>
        </w:rPr>
        <w:t xml:space="preserve"> : Autant que faire se peut, le </w:t>
      </w:r>
      <w:r w:rsidR="007263A6">
        <w:rPr>
          <w:rFonts w:ascii="Avenir Next LT Pro" w:hAnsi="Avenir Next LT Pro" w:cs="Calibri"/>
          <w:sz w:val="20"/>
          <w:szCs w:val="20"/>
        </w:rPr>
        <w:t>P</w:t>
      </w:r>
      <w:r w:rsidRPr="00BE6CCB">
        <w:rPr>
          <w:rFonts w:ascii="Avenir Next LT Pro" w:hAnsi="Avenir Next LT Pro" w:cs="Calibri"/>
          <w:sz w:val="20"/>
          <w:szCs w:val="20"/>
        </w:rPr>
        <w:t xml:space="preserve">rojet mettra un accent particulier sur le développement des synergies dans le cadre des interventions propres du PNUD, mais aussi et surtout avec les interventions similaires mises en œuvre par les autres partenaires au développement (Banque mondiale, USAID, US Forest Service, Grande Bretagne, Allemagne-GIZ, UE, FAO, Initiative des marchés du carbone en Afrique) et/ou financées par CAFI. Il en est ainsi par exemple de synergies potentielles avec le </w:t>
      </w:r>
      <w:r w:rsidRPr="00BE6CCB">
        <w:rPr>
          <w:rFonts w:ascii="Avenir Next LT Pro" w:hAnsi="Avenir Next LT Pro" w:cs="Calibri"/>
          <w:b/>
          <w:bCs/>
          <w:i/>
          <w:iCs/>
          <w:sz w:val="20"/>
          <w:szCs w:val="20"/>
        </w:rPr>
        <w:t xml:space="preserve">Projet </w:t>
      </w:r>
      <w:r w:rsidR="00304C45">
        <w:rPr>
          <w:rFonts w:ascii="Avenir Next LT Pro" w:hAnsi="Avenir Next LT Pro" w:cs="Calibri"/>
          <w:b/>
          <w:bCs/>
          <w:i/>
          <w:iCs/>
          <w:sz w:val="20"/>
          <w:szCs w:val="20"/>
        </w:rPr>
        <w:t>relatif à</w:t>
      </w:r>
      <w:r w:rsidR="006E67CA">
        <w:rPr>
          <w:rFonts w:ascii="Avenir Next LT Pro" w:hAnsi="Avenir Next LT Pro" w:cs="Calibri"/>
          <w:b/>
          <w:bCs/>
          <w:i/>
          <w:iCs/>
          <w:sz w:val="20"/>
          <w:szCs w:val="20"/>
        </w:rPr>
        <w:t xml:space="preserve"> la </w:t>
      </w:r>
      <w:r w:rsidR="006E67CA" w:rsidRPr="006E67CA">
        <w:rPr>
          <w:rFonts w:ascii="Avenir Next LT Pro" w:hAnsi="Avenir Next LT Pro" w:cs="Calibri"/>
          <w:b/>
          <w:bCs/>
          <w:i/>
          <w:iCs/>
          <w:sz w:val="20"/>
          <w:szCs w:val="20"/>
        </w:rPr>
        <w:t>Plateforme sur les instruments financiers et numériques pour les forêts tropicales</w:t>
      </w:r>
      <w:r w:rsidRPr="00BE6CCB">
        <w:rPr>
          <w:rFonts w:ascii="Avenir Next LT Pro" w:hAnsi="Avenir Next LT Pro" w:cs="Calibri"/>
          <w:sz w:val="20"/>
          <w:szCs w:val="20"/>
        </w:rPr>
        <w:t xml:space="preserve"> en cours de développement par CAFI dans le cadre du partage des expériences Sud-Sud. Il en est de même du développement du Registre national REDD+ qui bénéficie actuellement de l’appui de divers partenaires au développement. </w:t>
      </w:r>
    </w:p>
    <w:p w14:paraId="31F45719" w14:textId="4B37C309" w:rsidR="00930C36" w:rsidRPr="00395BF7" w:rsidRDefault="00930C36" w:rsidP="00A7529C">
      <w:pPr>
        <w:pStyle w:val="Titre3"/>
        <w:rPr>
          <w:color w:val="auto"/>
        </w:rPr>
      </w:pPr>
      <w:bookmarkStart w:id="17" w:name="_Toc147793181"/>
      <w:bookmarkStart w:id="18" w:name="_Toc163230369"/>
      <w:r w:rsidRPr="00395BF7">
        <w:rPr>
          <w:color w:val="auto"/>
        </w:rPr>
        <w:t xml:space="preserve">Bénéficiaires et partenaires </w:t>
      </w:r>
      <w:r w:rsidR="009543FB" w:rsidRPr="00395BF7">
        <w:rPr>
          <w:color w:val="auto"/>
        </w:rPr>
        <w:t xml:space="preserve">clés </w:t>
      </w:r>
      <w:r w:rsidRPr="00395BF7">
        <w:rPr>
          <w:color w:val="auto"/>
        </w:rPr>
        <w:t>ciblés</w:t>
      </w:r>
      <w:bookmarkEnd w:id="17"/>
      <w:bookmarkEnd w:id="18"/>
    </w:p>
    <w:p w14:paraId="71E74DDA" w14:textId="7FA844E6" w:rsidR="00EC6389" w:rsidRDefault="00B258BD" w:rsidP="00C64D72">
      <w:pPr>
        <w:spacing w:after="120"/>
        <w:jc w:val="both"/>
        <w:rPr>
          <w:rFonts w:ascii="Avenir Next LT Pro" w:hAnsi="Avenir Next LT Pro"/>
          <w:sz w:val="20"/>
          <w:szCs w:val="20"/>
          <w:lang w:eastAsia="fr-FR"/>
        </w:rPr>
      </w:pPr>
      <w:r>
        <w:rPr>
          <w:rFonts w:ascii="Avenir Next LT Pro" w:hAnsi="Avenir Next LT Pro"/>
          <w:sz w:val="20"/>
          <w:szCs w:val="20"/>
          <w:lang w:eastAsia="fr-FR"/>
        </w:rPr>
        <w:t xml:space="preserve">Le principal bénéficiaire de ce Projet est le Gouvernement de la RDC et plus particulièrement </w:t>
      </w:r>
      <w:r w:rsidR="003F0E80">
        <w:rPr>
          <w:rFonts w:ascii="Avenir Next LT Pro" w:hAnsi="Avenir Next LT Pro"/>
          <w:sz w:val="20"/>
          <w:szCs w:val="20"/>
          <w:lang w:eastAsia="fr-FR"/>
        </w:rPr>
        <w:t xml:space="preserve">le MEDD, </w:t>
      </w:r>
      <w:r w:rsidR="00347318">
        <w:rPr>
          <w:rFonts w:ascii="Avenir Next LT Pro" w:hAnsi="Avenir Next LT Pro"/>
          <w:sz w:val="20"/>
          <w:szCs w:val="20"/>
          <w:lang w:eastAsia="fr-FR"/>
        </w:rPr>
        <w:t xml:space="preserve">et le Ministère des Finances </w:t>
      </w:r>
      <w:r w:rsidR="003F0E80">
        <w:rPr>
          <w:rFonts w:ascii="Avenir Next LT Pro" w:hAnsi="Avenir Next LT Pro"/>
          <w:sz w:val="20"/>
          <w:szCs w:val="20"/>
          <w:lang w:eastAsia="fr-FR"/>
        </w:rPr>
        <w:t xml:space="preserve">ainsi que les ministères connexes, notamment </w:t>
      </w:r>
      <w:r w:rsidR="00347318">
        <w:rPr>
          <w:rFonts w:ascii="Avenir Next LT Pro" w:hAnsi="Avenir Next LT Pro"/>
          <w:sz w:val="20"/>
          <w:szCs w:val="20"/>
          <w:lang w:eastAsia="fr-FR"/>
        </w:rPr>
        <w:t xml:space="preserve">le Ministère du Plan, </w:t>
      </w:r>
      <w:r w:rsidR="000945FF">
        <w:rPr>
          <w:rFonts w:ascii="Avenir Next LT Pro" w:hAnsi="Avenir Next LT Pro"/>
          <w:sz w:val="20"/>
          <w:szCs w:val="20"/>
          <w:lang w:eastAsia="fr-FR"/>
        </w:rPr>
        <w:t xml:space="preserve">le Ministère du Budget, </w:t>
      </w:r>
      <w:r w:rsidR="000A2188">
        <w:rPr>
          <w:rFonts w:ascii="Avenir Next LT Pro" w:hAnsi="Avenir Next LT Pro"/>
          <w:sz w:val="20"/>
          <w:szCs w:val="20"/>
          <w:lang w:eastAsia="fr-FR"/>
        </w:rPr>
        <w:t>le Ministère de</w:t>
      </w:r>
      <w:r w:rsidR="003409D9">
        <w:rPr>
          <w:rFonts w:ascii="Avenir Next LT Pro" w:hAnsi="Avenir Next LT Pro"/>
          <w:sz w:val="20"/>
          <w:szCs w:val="20"/>
          <w:lang w:eastAsia="fr-FR"/>
        </w:rPr>
        <w:t xml:space="preserve"> l’Agriculture, </w:t>
      </w:r>
      <w:r w:rsidR="00C64D72">
        <w:rPr>
          <w:rFonts w:ascii="Avenir Next LT Pro" w:hAnsi="Avenir Next LT Pro"/>
          <w:sz w:val="20"/>
          <w:szCs w:val="20"/>
          <w:lang w:eastAsia="fr-FR"/>
        </w:rPr>
        <w:t>le Ministère de l’</w:t>
      </w:r>
      <w:r w:rsidR="001275B6">
        <w:rPr>
          <w:rFonts w:ascii="Avenir Next LT Pro" w:hAnsi="Avenir Next LT Pro"/>
          <w:sz w:val="20"/>
          <w:szCs w:val="20"/>
          <w:lang w:eastAsia="fr-FR"/>
        </w:rPr>
        <w:t>Energie</w:t>
      </w:r>
      <w:r w:rsidR="00C64D72">
        <w:rPr>
          <w:rFonts w:ascii="Avenir Next LT Pro" w:hAnsi="Avenir Next LT Pro"/>
          <w:sz w:val="20"/>
          <w:szCs w:val="20"/>
          <w:lang w:eastAsia="fr-FR"/>
        </w:rPr>
        <w:t>, le Ministère de l’</w:t>
      </w:r>
      <w:r w:rsidR="001275B6">
        <w:rPr>
          <w:rFonts w:ascii="Avenir Next LT Pro" w:hAnsi="Avenir Next LT Pro"/>
          <w:sz w:val="20"/>
          <w:szCs w:val="20"/>
          <w:lang w:eastAsia="fr-FR"/>
        </w:rPr>
        <w:t>Aménagement du Territoire</w:t>
      </w:r>
      <w:r w:rsidR="00BA4499">
        <w:rPr>
          <w:rFonts w:ascii="Avenir Next LT Pro" w:hAnsi="Avenir Next LT Pro"/>
          <w:sz w:val="20"/>
          <w:szCs w:val="20"/>
          <w:lang w:eastAsia="fr-FR"/>
        </w:rPr>
        <w:t xml:space="preserve">. </w:t>
      </w:r>
      <w:r w:rsidR="00735E19">
        <w:rPr>
          <w:rFonts w:ascii="Avenir Next LT Pro" w:hAnsi="Avenir Next LT Pro"/>
          <w:sz w:val="20"/>
          <w:szCs w:val="20"/>
          <w:lang w:eastAsia="fr-FR"/>
        </w:rPr>
        <w:t xml:space="preserve">Compte également parmi les bénéficiaires </w:t>
      </w:r>
      <w:r w:rsidR="006B3A7B">
        <w:rPr>
          <w:rFonts w:ascii="Avenir Next LT Pro" w:hAnsi="Avenir Next LT Pro"/>
          <w:sz w:val="20"/>
          <w:szCs w:val="20"/>
          <w:lang w:eastAsia="fr-FR"/>
        </w:rPr>
        <w:t xml:space="preserve">visés </w:t>
      </w:r>
      <w:r w:rsidR="00735E19">
        <w:rPr>
          <w:rFonts w:ascii="Avenir Next LT Pro" w:hAnsi="Avenir Next LT Pro"/>
          <w:sz w:val="20"/>
          <w:szCs w:val="20"/>
          <w:lang w:eastAsia="fr-FR"/>
        </w:rPr>
        <w:t xml:space="preserve">les élus </w:t>
      </w:r>
      <w:r w:rsidR="006B3A7B">
        <w:rPr>
          <w:rFonts w:ascii="Avenir Next LT Pro" w:hAnsi="Avenir Next LT Pro"/>
          <w:sz w:val="20"/>
          <w:szCs w:val="20"/>
          <w:lang w:eastAsia="fr-FR"/>
        </w:rPr>
        <w:t xml:space="preserve">provinciaux et nationaux (ex. </w:t>
      </w:r>
      <w:r w:rsidR="001829A4">
        <w:rPr>
          <w:rFonts w:ascii="Avenir Next LT Pro" w:hAnsi="Avenir Next LT Pro"/>
          <w:sz w:val="20"/>
          <w:szCs w:val="20"/>
          <w:lang w:eastAsia="fr-FR"/>
        </w:rPr>
        <w:t xml:space="preserve">gouverneurs provinciaux, </w:t>
      </w:r>
      <w:r w:rsidR="006B3A7B">
        <w:rPr>
          <w:rFonts w:ascii="Avenir Next LT Pro" w:hAnsi="Avenir Next LT Pro"/>
          <w:sz w:val="20"/>
          <w:szCs w:val="20"/>
          <w:lang w:eastAsia="fr-FR"/>
        </w:rPr>
        <w:t xml:space="preserve">sénateurs et </w:t>
      </w:r>
      <w:r w:rsidR="001829A4">
        <w:rPr>
          <w:rFonts w:ascii="Avenir Next LT Pro" w:hAnsi="Avenir Next LT Pro"/>
          <w:sz w:val="20"/>
          <w:szCs w:val="20"/>
          <w:lang w:eastAsia="fr-FR"/>
        </w:rPr>
        <w:t xml:space="preserve">députés), ainsi </w:t>
      </w:r>
      <w:r w:rsidR="002362B9">
        <w:rPr>
          <w:rFonts w:ascii="Avenir Next LT Pro" w:hAnsi="Avenir Next LT Pro"/>
          <w:sz w:val="20"/>
          <w:szCs w:val="20"/>
          <w:lang w:eastAsia="fr-FR"/>
        </w:rPr>
        <w:t xml:space="preserve">les acteurs de la société civile et du secteur privé. </w:t>
      </w:r>
    </w:p>
    <w:p w14:paraId="7719A8DF" w14:textId="78B7278E" w:rsidR="00545A42" w:rsidRPr="00D57028" w:rsidRDefault="00C45B7A" w:rsidP="00C64D72">
      <w:pPr>
        <w:spacing w:after="120"/>
        <w:jc w:val="both"/>
        <w:rPr>
          <w:rFonts w:ascii="Avenir Next LT Pro" w:hAnsi="Avenir Next LT Pro"/>
          <w:sz w:val="20"/>
          <w:szCs w:val="20"/>
          <w:lang w:eastAsia="fr-FR"/>
        </w:rPr>
      </w:pPr>
      <w:r>
        <w:rPr>
          <w:rFonts w:ascii="Avenir Next LT Pro" w:hAnsi="Avenir Next LT Pro"/>
          <w:sz w:val="20"/>
          <w:szCs w:val="20"/>
          <w:lang w:eastAsia="fr-FR"/>
        </w:rPr>
        <w:t>Les partenaires clés ciblés sont notamment les partenaires techniques et financiers de la RDC</w:t>
      </w:r>
      <w:r w:rsidR="00935AFB">
        <w:rPr>
          <w:rFonts w:ascii="Avenir Next LT Pro" w:hAnsi="Avenir Next LT Pro"/>
          <w:sz w:val="20"/>
          <w:szCs w:val="20"/>
          <w:lang w:eastAsia="fr-FR"/>
        </w:rPr>
        <w:t xml:space="preserve"> à</w:t>
      </w:r>
      <w:r w:rsidR="002B4477">
        <w:rPr>
          <w:rFonts w:ascii="Avenir Next LT Pro" w:hAnsi="Avenir Next LT Pro"/>
          <w:sz w:val="20"/>
          <w:szCs w:val="20"/>
          <w:lang w:eastAsia="fr-FR"/>
        </w:rPr>
        <w:t xml:space="preserve"> travers le G</w:t>
      </w:r>
      <w:r w:rsidR="00852AF8">
        <w:rPr>
          <w:rFonts w:ascii="Avenir Next LT Pro" w:hAnsi="Avenir Next LT Pro"/>
          <w:sz w:val="20"/>
          <w:szCs w:val="20"/>
          <w:lang w:eastAsia="fr-FR"/>
        </w:rPr>
        <w:t>roupe Inter-bailleurs sur l’Environnement et le</w:t>
      </w:r>
      <w:r w:rsidR="00190704">
        <w:rPr>
          <w:rFonts w:ascii="Avenir Next LT Pro" w:hAnsi="Avenir Next LT Pro"/>
          <w:sz w:val="20"/>
          <w:szCs w:val="20"/>
          <w:lang w:eastAsia="fr-FR"/>
        </w:rPr>
        <w:t xml:space="preserve"> Changement Climatique (GIBEC)</w:t>
      </w:r>
      <w:r w:rsidR="00935AFB">
        <w:rPr>
          <w:rFonts w:ascii="Avenir Next LT Pro" w:hAnsi="Avenir Next LT Pro"/>
          <w:sz w:val="20"/>
          <w:szCs w:val="20"/>
          <w:lang w:eastAsia="fr-FR"/>
        </w:rPr>
        <w:t xml:space="preserve">, </w:t>
      </w:r>
      <w:r w:rsidR="009E4D67">
        <w:rPr>
          <w:rFonts w:ascii="Avenir Next LT Pro" w:hAnsi="Avenir Next LT Pro"/>
          <w:sz w:val="20"/>
          <w:szCs w:val="20"/>
          <w:lang w:eastAsia="fr-FR"/>
        </w:rPr>
        <w:t xml:space="preserve">les </w:t>
      </w:r>
      <w:r w:rsidR="0062761F">
        <w:rPr>
          <w:rFonts w:ascii="Avenir Next LT Pro" w:hAnsi="Avenir Next LT Pro"/>
          <w:sz w:val="20"/>
          <w:szCs w:val="20"/>
          <w:lang w:eastAsia="fr-FR"/>
        </w:rPr>
        <w:lastRenderedPageBreak/>
        <w:t xml:space="preserve">investisseurs privés (ex. </w:t>
      </w:r>
      <w:r w:rsidR="009E4D67">
        <w:rPr>
          <w:rFonts w:ascii="Avenir Next LT Pro" w:hAnsi="Avenir Next LT Pro"/>
          <w:sz w:val="20"/>
          <w:szCs w:val="20"/>
          <w:lang w:eastAsia="fr-FR"/>
        </w:rPr>
        <w:t>promoteurs de projet carbone</w:t>
      </w:r>
      <w:r w:rsidR="0062761F">
        <w:rPr>
          <w:rFonts w:ascii="Avenir Next LT Pro" w:hAnsi="Avenir Next LT Pro"/>
          <w:sz w:val="20"/>
          <w:szCs w:val="20"/>
          <w:lang w:eastAsia="fr-FR"/>
        </w:rPr>
        <w:t xml:space="preserve">), les </w:t>
      </w:r>
      <w:r w:rsidR="000543A5">
        <w:rPr>
          <w:rFonts w:ascii="Avenir Next LT Pro" w:hAnsi="Avenir Next LT Pro"/>
          <w:sz w:val="20"/>
          <w:szCs w:val="20"/>
          <w:lang w:eastAsia="fr-FR"/>
        </w:rPr>
        <w:t xml:space="preserve">banques nationales et multilatérales intéressées par la question des marchés du carbone. </w:t>
      </w:r>
      <w:r w:rsidR="009E4D67">
        <w:rPr>
          <w:rFonts w:ascii="Avenir Next LT Pro" w:hAnsi="Avenir Next LT Pro"/>
          <w:sz w:val="20"/>
          <w:szCs w:val="20"/>
          <w:lang w:eastAsia="fr-FR"/>
        </w:rPr>
        <w:t xml:space="preserve"> </w:t>
      </w:r>
      <w:r>
        <w:rPr>
          <w:rFonts w:ascii="Avenir Next LT Pro" w:hAnsi="Avenir Next LT Pro"/>
          <w:sz w:val="20"/>
          <w:szCs w:val="20"/>
          <w:lang w:eastAsia="fr-FR"/>
        </w:rPr>
        <w:t xml:space="preserve"> </w:t>
      </w:r>
      <w:r w:rsidR="001829A4">
        <w:rPr>
          <w:rFonts w:ascii="Avenir Next LT Pro" w:hAnsi="Avenir Next LT Pro"/>
          <w:sz w:val="20"/>
          <w:szCs w:val="20"/>
          <w:lang w:eastAsia="fr-FR"/>
        </w:rPr>
        <w:t xml:space="preserve"> </w:t>
      </w:r>
      <w:r w:rsidR="006B3A7B">
        <w:rPr>
          <w:rFonts w:ascii="Avenir Next LT Pro" w:hAnsi="Avenir Next LT Pro"/>
          <w:sz w:val="20"/>
          <w:szCs w:val="20"/>
          <w:lang w:eastAsia="fr-FR"/>
        </w:rPr>
        <w:t xml:space="preserve"> </w:t>
      </w:r>
      <w:r w:rsidR="00C64D72">
        <w:rPr>
          <w:rFonts w:ascii="Avenir Next LT Pro" w:hAnsi="Avenir Next LT Pro"/>
          <w:sz w:val="20"/>
          <w:szCs w:val="20"/>
          <w:lang w:eastAsia="fr-FR"/>
        </w:rPr>
        <w:t xml:space="preserve"> </w:t>
      </w:r>
      <w:r w:rsidR="003F0E80">
        <w:rPr>
          <w:rFonts w:ascii="Avenir Next LT Pro" w:hAnsi="Avenir Next LT Pro"/>
          <w:sz w:val="20"/>
          <w:szCs w:val="20"/>
          <w:lang w:eastAsia="fr-FR"/>
        </w:rPr>
        <w:t xml:space="preserve"> </w:t>
      </w:r>
    </w:p>
    <w:p w14:paraId="03F06F0C" w14:textId="0B1EBEE8" w:rsidR="00A7529C" w:rsidRDefault="004009C0" w:rsidP="00A7529C">
      <w:pPr>
        <w:pStyle w:val="Titre3"/>
        <w:rPr>
          <w:color w:val="auto"/>
        </w:rPr>
      </w:pPr>
      <w:bookmarkStart w:id="19" w:name="_Toc147793182"/>
      <w:bookmarkStart w:id="20" w:name="_Toc163230370"/>
      <w:r w:rsidRPr="00395BF7">
        <w:rPr>
          <w:color w:val="auto"/>
        </w:rPr>
        <w:t>Zone géographique ciblée</w:t>
      </w:r>
      <w:bookmarkEnd w:id="19"/>
      <w:bookmarkEnd w:id="20"/>
    </w:p>
    <w:p w14:paraId="7B0E2FD0" w14:textId="77777777" w:rsidR="0080748A" w:rsidRPr="0080748A" w:rsidRDefault="00EE0E94" w:rsidP="00B17AE2">
      <w:pPr>
        <w:pStyle w:val="Titre2"/>
        <w:rPr>
          <w:rFonts w:ascii="Avenir Next LT Pro" w:hAnsi="Avenir Next LT Pro"/>
        </w:rPr>
      </w:pPr>
      <w:r w:rsidRPr="00F42699">
        <w:rPr>
          <w:rFonts w:ascii="Avenir Next LT Pro" w:hAnsi="Avenir Next LT Pro"/>
          <w:sz w:val="20"/>
          <w:szCs w:val="20"/>
          <w:lang w:val="fr-CH"/>
        </w:rPr>
        <w:t xml:space="preserve">La zone géographique ciblée </w:t>
      </w:r>
    </w:p>
    <w:p w14:paraId="2E822CFE" w14:textId="77777777" w:rsidR="0080748A" w:rsidRPr="0080748A" w:rsidRDefault="0080748A" w:rsidP="0080748A">
      <w:pPr>
        <w:pStyle w:val="Titre2"/>
        <w:numPr>
          <w:ilvl w:val="0"/>
          <w:numId w:val="0"/>
        </w:numPr>
        <w:ind w:left="720"/>
        <w:rPr>
          <w:rFonts w:ascii="Avenir Next LT Pro" w:hAnsi="Avenir Next LT Pro"/>
        </w:rPr>
      </w:pPr>
    </w:p>
    <w:p w14:paraId="25B16114" w14:textId="28C1553F" w:rsidR="0080748A" w:rsidRDefault="007F45AB" w:rsidP="007F45AB">
      <w:pPr>
        <w:pStyle w:val="Titre2"/>
        <w:numPr>
          <w:ilvl w:val="0"/>
          <w:numId w:val="0"/>
        </w:numPr>
        <w:rPr>
          <w:rFonts w:ascii="Avenir Next LT Pro" w:hAnsi="Avenir Next LT Pro"/>
          <w:sz w:val="20"/>
          <w:szCs w:val="20"/>
          <w:lang w:val="fr-CH"/>
        </w:rPr>
      </w:pPr>
      <w:r>
        <w:rPr>
          <w:rFonts w:ascii="Avenir Next LT Pro" w:eastAsia="Times New Roman" w:hAnsi="Avenir Next LT Pro" w:cstheme="minorHAnsi"/>
          <w:b w:val="0"/>
          <w:bCs w:val="0"/>
          <w:sz w:val="20"/>
          <w:szCs w:val="20"/>
          <w:lang w:val="fr-CD" w:eastAsia="en-GB"/>
        </w:rPr>
        <w:t xml:space="preserve">La zone cible du projet </w:t>
      </w:r>
      <w:r w:rsidR="00EE0E94" w:rsidRPr="0080748A">
        <w:rPr>
          <w:rFonts w:ascii="Avenir Next LT Pro" w:eastAsia="Times New Roman" w:hAnsi="Avenir Next LT Pro" w:cstheme="minorHAnsi"/>
          <w:b w:val="0"/>
          <w:bCs w:val="0"/>
          <w:sz w:val="20"/>
          <w:szCs w:val="20"/>
          <w:lang w:val="fr-CD" w:eastAsia="en-GB"/>
        </w:rPr>
        <w:t xml:space="preserve">est l’ensemble du territoire de la RDC avec des interventions </w:t>
      </w:r>
      <w:r w:rsidR="00E64C70" w:rsidRPr="0080748A">
        <w:rPr>
          <w:rFonts w:ascii="Avenir Next LT Pro" w:eastAsia="Times New Roman" w:hAnsi="Avenir Next LT Pro" w:cstheme="minorHAnsi"/>
          <w:b w:val="0"/>
          <w:bCs w:val="0"/>
          <w:sz w:val="20"/>
          <w:szCs w:val="20"/>
          <w:lang w:val="fr-CD" w:eastAsia="en-GB"/>
        </w:rPr>
        <w:t xml:space="preserve">spécifiques dans certaines provinces. </w:t>
      </w:r>
      <w:r w:rsidR="00011494" w:rsidRPr="0080748A">
        <w:rPr>
          <w:rFonts w:ascii="Avenir Next LT Pro" w:eastAsia="Times New Roman" w:hAnsi="Avenir Next LT Pro" w:cstheme="minorHAnsi"/>
          <w:b w:val="0"/>
          <w:bCs w:val="0"/>
          <w:sz w:val="20"/>
          <w:szCs w:val="20"/>
          <w:lang w:val="fr-CD" w:eastAsia="en-GB"/>
        </w:rPr>
        <w:t xml:space="preserve">Par exemple, les activités pilotes </w:t>
      </w:r>
      <w:r w:rsidR="001551AB" w:rsidRPr="0080748A">
        <w:rPr>
          <w:rFonts w:ascii="Avenir Next LT Pro" w:eastAsia="Times New Roman" w:hAnsi="Avenir Next LT Pro" w:cstheme="minorHAnsi"/>
          <w:b w:val="0"/>
          <w:bCs w:val="0"/>
          <w:sz w:val="20"/>
          <w:szCs w:val="20"/>
          <w:lang w:val="fr-CD" w:eastAsia="en-GB"/>
        </w:rPr>
        <w:t xml:space="preserve">de </w:t>
      </w:r>
      <w:r w:rsidR="00E91BB9" w:rsidRPr="0080748A">
        <w:rPr>
          <w:rFonts w:ascii="Avenir Next LT Pro" w:eastAsia="Times New Roman" w:hAnsi="Avenir Next LT Pro" w:cstheme="minorHAnsi"/>
          <w:b w:val="0"/>
          <w:bCs w:val="0"/>
          <w:sz w:val="20"/>
          <w:szCs w:val="20"/>
          <w:lang w:val="fr-CD" w:eastAsia="en-GB"/>
        </w:rPr>
        <w:t>génération des crédits carbones auront</w:t>
      </w:r>
      <w:r w:rsidR="00347318" w:rsidRPr="0080748A">
        <w:rPr>
          <w:rFonts w:ascii="Avenir Next LT Pro" w:eastAsia="Times New Roman" w:hAnsi="Avenir Next LT Pro" w:cstheme="minorHAnsi"/>
          <w:b w:val="0"/>
          <w:bCs w:val="0"/>
          <w:sz w:val="20"/>
          <w:szCs w:val="20"/>
          <w:lang w:val="fr-CD" w:eastAsia="en-GB"/>
        </w:rPr>
        <w:t xml:space="preserve"> lieu</w:t>
      </w:r>
      <w:r w:rsidR="00E91BB9" w:rsidRPr="0080748A">
        <w:rPr>
          <w:rFonts w:ascii="Avenir Next LT Pro" w:eastAsia="Times New Roman" w:hAnsi="Avenir Next LT Pro" w:cstheme="minorHAnsi"/>
          <w:b w:val="0"/>
          <w:bCs w:val="0"/>
          <w:sz w:val="20"/>
          <w:szCs w:val="20"/>
          <w:lang w:val="fr-CD" w:eastAsia="en-GB"/>
        </w:rPr>
        <w:t xml:space="preserve"> dans les provinces </w:t>
      </w:r>
      <w:r w:rsidR="007D2678" w:rsidRPr="0080748A">
        <w:rPr>
          <w:rFonts w:ascii="Avenir Next LT Pro" w:eastAsia="Times New Roman" w:hAnsi="Avenir Next LT Pro" w:cstheme="minorHAnsi"/>
          <w:b w:val="0"/>
          <w:bCs w:val="0"/>
          <w:sz w:val="20"/>
          <w:szCs w:val="20"/>
          <w:lang w:val="fr-CD" w:eastAsia="en-GB"/>
        </w:rPr>
        <w:t xml:space="preserve">où sont mis en œuvre </w:t>
      </w:r>
      <w:r w:rsidR="0043514A" w:rsidRPr="0080748A">
        <w:rPr>
          <w:rFonts w:ascii="Avenir Next LT Pro" w:eastAsia="Times New Roman" w:hAnsi="Avenir Next LT Pro" w:cstheme="minorHAnsi"/>
          <w:b w:val="0"/>
          <w:bCs w:val="0"/>
          <w:sz w:val="20"/>
          <w:szCs w:val="20"/>
          <w:lang w:val="fr-CD" w:eastAsia="en-GB"/>
        </w:rPr>
        <w:t xml:space="preserve">les projets qui ont été identifiés pour servir à cette fin, notamment la Province du Haut Uele </w:t>
      </w:r>
      <w:r w:rsidR="00265529" w:rsidRPr="0080748A">
        <w:rPr>
          <w:rFonts w:ascii="Avenir Next LT Pro" w:eastAsia="Times New Roman" w:hAnsi="Avenir Next LT Pro" w:cstheme="minorHAnsi"/>
          <w:b w:val="0"/>
          <w:bCs w:val="0"/>
          <w:sz w:val="20"/>
          <w:szCs w:val="20"/>
          <w:lang w:val="fr-CD" w:eastAsia="en-GB"/>
        </w:rPr>
        <w:t xml:space="preserve">avec le projet PI-REDD. </w:t>
      </w:r>
      <w:r w:rsidR="00617880" w:rsidRPr="0080748A">
        <w:rPr>
          <w:rFonts w:ascii="Avenir Next LT Pro" w:eastAsia="Times New Roman" w:hAnsi="Avenir Next LT Pro" w:cstheme="minorHAnsi"/>
          <w:b w:val="0"/>
          <w:bCs w:val="0"/>
          <w:sz w:val="20"/>
          <w:szCs w:val="20"/>
          <w:lang w:val="fr-CD" w:eastAsia="en-GB"/>
        </w:rPr>
        <w:t xml:space="preserve">Les activités de formation et de renforcement des capacités, ainsi que les activités de sensibilisation seront </w:t>
      </w:r>
      <w:r w:rsidR="002937FC" w:rsidRPr="0080748A">
        <w:rPr>
          <w:rFonts w:ascii="Avenir Next LT Pro" w:eastAsia="Times New Roman" w:hAnsi="Avenir Next LT Pro" w:cstheme="minorHAnsi"/>
          <w:b w:val="0"/>
          <w:bCs w:val="0"/>
          <w:sz w:val="20"/>
          <w:szCs w:val="20"/>
          <w:lang w:val="fr-CD" w:eastAsia="en-GB"/>
        </w:rPr>
        <w:t>programmées dans différentes provinces/départements, de manière à s’assurer une couverture géographique équilibrée et sur la base des besoins identifiés, notamment dans le cadre de la mise en œuvre du Plan de renforcement des capacités et du Plan de communication.</w:t>
      </w:r>
      <w:r w:rsidR="002937FC" w:rsidRPr="00F42699">
        <w:rPr>
          <w:rFonts w:ascii="Avenir Next LT Pro" w:hAnsi="Avenir Next LT Pro"/>
          <w:sz w:val="20"/>
          <w:szCs w:val="20"/>
          <w:lang w:val="fr-CH"/>
        </w:rPr>
        <w:t xml:space="preserve"> </w:t>
      </w:r>
      <w:r w:rsidR="00617880" w:rsidRPr="00F42699">
        <w:rPr>
          <w:rFonts w:ascii="Avenir Next LT Pro" w:hAnsi="Avenir Next LT Pro"/>
          <w:sz w:val="20"/>
          <w:szCs w:val="20"/>
          <w:lang w:val="fr-CH"/>
        </w:rPr>
        <w:t xml:space="preserve"> </w:t>
      </w:r>
      <w:r w:rsidR="0043514A" w:rsidRPr="00F42699">
        <w:rPr>
          <w:rFonts w:ascii="Avenir Next LT Pro" w:hAnsi="Avenir Next LT Pro"/>
          <w:sz w:val="20"/>
          <w:szCs w:val="20"/>
          <w:lang w:val="fr-CH"/>
        </w:rPr>
        <w:t xml:space="preserve"> </w:t>
      </w:r>
      <w:bookmarkStart w:id="21" w:name="_Toc163230371"/>
    </w:p>
    <w:p w14:paraId="6FC868C5" w14:textId="77777777" w:rsidR="007F45AB" w:rsidRDefault="007F45AB" w:rsidP="0080748A">
      <w:pPr>
        <w:pStyle w:val="Titre2"/>
        <w:numPr>
          <w:ilvl w:val="0"/>
          <w:numId w:val="0"/>
        </w:numPr>
        <w:ind w:left="360"/>
        <w:rPr>
          <w:rFonts w:ascii="Avenir Next LT Pro" w:hAnsi="Avenir Next LT Pro"/>
          <w:sz w:val="20"/>
          <w:szCs w:val="20"/>
          <w:lang w:val="fr-CH"/>
        </w:rPr>
      </w:pPr>
    </w:p>
    <w:p w14:paraId="45A3F1E4" w14:textId="6F0A0E03" w:rsidR="00B17AE2" w:rsidRPr="00C345C4" w:rsidRDefault="00B17AE2" w:rsidP="0080748A">
      <w:pPr>
        <w:pStyle w:val="Titre2"/>
        <w:numPr>
          <w:ilvl w:val="0"/>
          <w:numId w:val="0"/>
        </w:numPr>
        <w:ind w:left="360"/>
        <w:rPr>
          <w:rFonts w:ascii="Avenir Next LT Pro" w:hAnsi="Avenir Next LT Pro"/>
        </w:rPr>
      </w:pPr>
      <w:r w:rsidRPr="269B353C">
        <w:rPr>
          <w:rFonts w:ascii="Avenir Next LT Pro" w:hAnsi="Avenir Next LT Pro"/>
        </w:rPr>
        <w:t xml:space="preserve">Description des capacités des </w:t>
      </w:r>
      <w:r w:rsidR="00872E8B" w:rsidRPr="269B353C">
        <w:rPr>
          <w:rFonts w:ascii="Avenir Next LT Pro" w:hAnsi="Avenir Next LT Pro"/>
        </w:rPr>
        <w:t>bénéficiaires</w:t>
      </w:r>
      <w:bookmarkEnd w:id="21"/>
      <w:r w:rsidR="00872E8B" w:rsidRPr="269B353C">
        <w:rPr>
          <w:rFonts w:ascii="Avenir Next LT Pro" w:hAnsi="Avenir Next LT Pro"/>
        </w:rPr>
        <w:t xml:space="preserve"> </w:t>
      </w:r>
    </w:p>
    <w:p w14:paraId="3CF7D1B3" w14:textId="0F16A9CC" w:rsidR="00B940A0" w:rsidRPr="00D94338" w:rsidRDefault="00B940A0" w:rsidP="00B940A0">
      <w:pPr>
        <w:pStyle w:val="NormalWeb"/>
        <w:shd w:val="clear" w:color="auto" w:fill="FFFFFF"/>
        <w:spacing w:before="0" w:beforeAutospacing="0" w:after="0" w:afterAutospacing="0"/>
        <w:jc w:val="both"/>
        <w:rPr>
          <w:rFonts w:ascii="Avenir Next LT Pro" w:hAnsi="Avenir Next LT Pro" w:cstheme="minorHAnsi"/>
          <w:sz w:val="20"/>
          <w:szCs w:val="20"/>
          <w:lang w:val="fr-CD"/>
        </w:rPr>
      </w:pPr>
      <w:r w:rsidRPr="00D94338">
        <w:rPr>
          <w:rFonts w:ascii="Avenir Next LT Pro" w:hAnsi="Avenir Next LT Pro" w:cstheme="minorHAnsi"/>
          <w:sz w:val="20"/>
          <w:szCs w:val="20"/>
          <w:lang w:val="fr-CD"/>
        </w:rPr>
        <w:t xml:space="preserve">Le renforcement des capacités en matière de lutte contre les changements climatiques est d'une importance cruciale pour </w:t>
      </w:r>
      <w:r w:rsidR="00234F88" w:rsidRPr="00D94338">
        <w:rPr>
          <w:rFonts w:ascii="Avenir Next LT Pro" w:hAnsi="Avenir Next LT Pro" w:cstheme="minorHAnsi"/>
          <w:sz w:val="20"/>
          <w:szCs w:val="20"/>
          <w:lang w:val="fr-CD"/>
        </w:rPr>
        <w:t>répondre</w:t>
      </w:r>
      <w:r w:rsidR="004D1129" w:rsidRPr="00D94338">
        <w:rPr>
          <w:rFonts w:ascii="Avenir Next LT Pro" w:hAnsi="Avenir Next LT Pro" w:cstheme="minorHAnsi"/>
          <w:sz w:val="20"/>
          <w:szCs w:val="20"/>
          <w:lang w:val="fr-CD"/>
        </w:rPr>
        <w:t xml:space="preserve"> efficacement</w:t>
      </w:r>
      <w:r w:rsidRPr="00D94338">
        <w:rPr>
          <w:rFonts w:ascii="Avenir Next LT Pro" w:hAnsi="Avenir Next LT Pro" w:cstheme="minorHAnsi"/>
          <w:sz w:val="20"/>
          <w:szCs w:val="20"/>
          <w:lang w:val="fr-CD"/>
        </w:rPr>
        <w:t xml:space="preserve"> à ce défi</w:t>
      </w:r>
      <w:r w:rsidR="00B41F94" w:rsidRPr="00D94338">
        <w:rPr>
          <w:rFonts w:ascii="Avenir Next LT Pro" w:hAnsi="Avenir Next LT Pro" w:cstheme="minorHAnsi"/>
          <w:sz w:val="20"/>
          <w:szCs w:val="20"/>
          <w:lang w:val="fr-CD"/>
        </w:rPr>
        <w:t xml:space="preserve"> planétaire</w:t>
      </w:r>
      <w:r w:rsidRPr="00D94338">
        <w:rPr>
          <w:rFonts w:ascii="Avenir Next LT Pro" w:hAnsi="Avenir Next LT Pro" w:cstheme="minorHAnsi"/>
          <w:sz w:val="20"/>
          <w:szCs w:val="20"/>
          <w:lang w:val="fr-CD"/>
        </w:rPr>
        <w:t xml:space="preserve">. Actuellement, les capacités des bénéficiaires sont relativement faibles sur les thématiques de la CDN et des marchés du carbone du fait non seulement du caractère nouveau de celles-ci, mais aussi et surtout de l’absence d’opportunités de formation et renforcement des capacités. Pour pallier cette insuffisance, le Projet va élaborer un mettre en œuvre un Plan robuste de renforcement de capacités des différents acteurs pertinents aussi bien au niveau national et provincial. Ce plan identifiera les différents bénéficiaires, ainsi que leurs besoins spécifiques en renforcement des capacités. Il définira ensuite un ensemble d’activités adaptées aux besoins particuliers de chaque catégorie d’acteurs. Il sera mis en œuvre de manière conjointe avec le développement de divers outils d’apprentissage (ex. foire aux questions, etc.) et sera complète par le partage d’expérience Sud-Sud et Nord-Sud. </w:t>
      </w:r>
    </w:p>
    <w:p w14:paraId="588E8573" w14:textId="77777777" w:rsidR="00A71F45" w:rsidRPr="00D94338" w:rsidRDefault="00A71F45" w:rsidP="00A71F45">
      <w:pPr>
        <w:spacing w:after="120"/>
        <w:rPr>
          <w:rFonts w:ascii="Avenir Next LT Pro" w:hAnsi="Avenir Next LT Pro"/>
          <w:sz w:val="20"/>
          <w:szCs w:val="20"/>
          <w:lang w:eastAsia="fr-FR"/>
        </w:rPr>
      </w:pPr>
    </w:p>
    <w:p w14:paraId="6C6B46D5" w14:textId="2F6B46CF" w:rsidR="00D316B1" w:rsidRPr="00D94338" w:rsidRDefault="008C0055" w:rsidP="009340BA">
      <w:pPr>
        <w:pStyle w:val="Titre2"/>
        <w:rPr>
          <w:rFonts w:ascii="Avenir Next LT Pro" w:hAnsi="Avenir Next LT Pro"/>
          <w:sz w:val="20"/>
          <w:szCs w:val="20"/>
        </w:rPr>
      </w:pPr>
      <w:bookmarkStart w:id="22" w:name="_Toc163230372"/>
      <w:r w:rsidRPr="00D94338">
        <w:rPr>
          <w:rFonts w:ascii="Avenir Next LT Pro" w:hAnsi="Avenir Next LT Pro"/>
          <w:sz w:val="20"/>
          <w:szCs w:val="20"/>
        </w:rPr>
        <w:t xml:space="preserve">Structuration du </w:t>
      </w:r>
      <w:r w:rsidR="0068302F" w:rsidRPr="00D94338">
        <w:rPr>
          <w:rFonts w:ascii="Avenir Next LT Pro" w:hAnsi="Avenir Next LT Pro"/>
          <w:sz w:val="20"/>
          <w:szCs w:val="20"/>
        </w:rPr>
        <w:t xml:space="preserve">projet </w:t>
      </w:r>
      <w:r w:rsidRPr="00D94338">
        <w:rPr>
          <w:rFonts w:ascii="Avenir Next LT Pro" w:hAnsi="Avenir Next LT Pro"/>
          <w:sz w:val="20"/>
          <w:szCs w:val="20"/>
        </w:rPr>
        <w:t>(</w:t>
      </w:r>
      <w:r w:rsidR="004F2527" w:rsidRPr="00D94338">
        <w:rPr>
          <w:rFonts w:ascii="Avenir Next LT Pro" w:hAnsi="Avenir Next LT Pro"/>
          <w:sz w:val="20"/>
          <w:szCs w:val="20"/>
        </w:rPr>
        <w:t>p</w:t>
      </w:r>
      <w:r w:rsidRPr="00D94338">
        <w:rPr>
          <w:rFonts w:ascii="Avenir Next LT Pro" w:hAnsi="Avenir Next LT Pro"/>
          <w:sz w:val="20"/>
          <w:szCs w:val="20"/>
        </w:rPr>
        <w:t xml:space="preserve">roduits, </w:t>
      </w:r>
      <w:r w:rsidR="004F2527" w:rsidRPr="00D94338">
        <w:rPr>
          <w:rFonts w:ascii="Avenir Next LT Pro" w:hAnsi="Avenir Next LT Pro"/>
          <w:sz w:val="20"/>
          <w:szCs w:val="20"/>
        </w:rPr>
        <w:t>a</w:t>
      </w:r>
      <w:r w:rsidRPr="00D94338">
        <w:rPr>
          <w:rFonts w:ascii="Avenir Next LT Pro" w:hAnsi="Avenir Next LT Pro"/>
          <w:sz w:val="20"/>
          <w:szCs w:val="20"/>
        </w:rPr>
        <w:t>ctivités)</w:t>
      </w:r>
      <w:bookmarkEnd w:id="22"/>
      <w:r w:rsidRPr="00D94338">
        <w:rPr>
          <w:rFonts w:ascii="Avenir Next LT Pro" w:hAnsi="Avenir Next LT Pro"/>
          <w:sz w:val="20"/>
          <w:szCs w:val="20"/>
        </w:rPr>
        <w:t xml:space="preserve"> </w:t>
      </w:r>
    </w:p>
    <w:p w14:paraId="340EB6C7" w14:textId="77777777" w:rsidR="00C55F2A" w:rsidRPr="00D94338" w:rsidRDefault="00C55F2A" w:rsidP="00C55F2A">
      <w:pPr>
        <w:spacing w:after="0"/>
        <w:rPr>
          <w:rFonts w:ascii="Avenir Next LT Pro" w:hAnsi="Avenir Next LT Pro" w:cstheme="minorHAnsi"/>
          <w:sz w:val="20"/>
          <w:szCs w:val="20"/>
        </w:rPr>
      </w:pPr>
      <w:r w:rsidRPr="00D94338">
        <w:rPr>
          <w:rFonts w:ascii="Avenir Next LT Pro" w:hAnsi="Avenir Next LT Pro" w:cstheme="minorHAnsi"/>
          <w:sz w:val="20"/>
          <w:szCs w:val="20"/>
        </w:rPr>
        <w:t>Globalement, les produits et les activités y afférentes se présentent de la manière suivante :</w:t>
      </w:r>
    </w:p>
    <w:p w14:paraId="3386CFFA" w14:textId="77777777" w:rsidR="00C55F2A" w:rsidRPr="00D94338" w:rsidRDefault="00C55F2A" w:rsidP="00C55F2A">
      <w:pPr>
        <w:spacing w:after="0"/>
        <w:rPr>
          <w:rFonts w:ascii="Avenir Next LT Pro" w:hAnsi="Avenir Next LT Pro" w:cstheme="minorHAnsi"/>
          <w:b/>
          <w:bCs/>
          <w:sz w:val="20"/>
          <w:szCs w:val="20"/>
        </w:rPr>
      </w:pPr>
    </w:p>
    <w:p w14:paraId="55E581EF" w14:textId="77777777" w:rsidR="00C55F2A" w:rsidRPr="00D94338" w:rsidRDefault="00C55F2A" w:rsidP="00C55F2A">
      <w:pPr>
        <w:spacing w:after="0"/>
        <w:rPr>
          <w:rFonts w:ascii="Avenir Next LT Pro" w:hAnsi="Avenir Next LT Pro" w:cs="Calibri"/>
          <w:b/>
          <w:bCs/>
          <w:sz w:val="20"/>
          <w:szCs w:val="20"/>
          <w:lang w:val="fr-CD"/>
        </w:rPr>
      </w:pPr>
      <w:r w:rsidRPr="00D94338">
        <w:rPr>
          <w:rFonts w:ascii="Avenir Next LT Pro" w:hAnsi="Avenir Next LT Pro" w:cs="Calibri"/>
          <w:b/>
          <w:bCs/>
          <w:sz w:val="20"/>
          <w:szCs w:val="20"/>
        </w:rPr>
        <w:t xml:space="preserve">PRODUIT 1. </w:t>
      </w:r>
      <w:r w:rsidRPr="00D94338">
        <w:rPr>
          <w:rFonts w:ascii="Avenir Next LT Pro" w:hAnsi="Avenir Next LT Pro" w:cs="Calibri"/>
          <w:b/>
          <w:bCs/>
          <w:sz w:val="20"/>
          <w:szCs w:val="20"/>
          <w:lang w:val="fr-CD"/>
        </w:rPr>
        <w:t xml:space="preserve">Le cadre de gouvernance </w:t>
      </w:r>
      <w:bookmarkStart w:id="23" w:name="_Hlk149380515"/>
      <w:r w:rsidRPr="00D94338">
        <w:rPr>
          <w:rFonts w:ascii="Avenir Next LT Pro" w:hAnsi="Avenir Next LT Pro" w:cs="Calibri"/>
          <w:b/>
          <w:bCs/>
          <w:sz w:val="20"/>
          <w:szCs w:val="20"/>
          <w:lang w:val="fr-CD"/>
        </w:rPr>
        <w:t>pour la mise en œuvre de la CDN est établi</w:t>
      </w:r>
      <w:bookmarkEnd w:id="23"/>
    </w:p>
    <w:p w14:paraId="0D7C5593" w14:textId="77777777" w:rsidR="00E75B01" w:rsidRPr="00D94338" w:rsidRDefault="00E75B01" w:rsidP="00C55F2A">
      <w:pPr>
        <w:spacing w:after="0"/>
        <w:rPr>
          <w:rFonts w:ascii="Avenir Next LT Pro" w:hAnsi="Avenir Next LT Pro" w:cs="Calibri"/>
          <w:b/>
          <w:bCs/>
          <w:sz w:val="20"/>
          <w:szCs w:val="20"/>
          <w:lang w:val="fr-CD"/>
        </w:rPr>
      </w:pPr>
    </w:p>
    <w:p w14:paraId="60B69F0A" w14:textId="7606659E" w:rsidR="00C55F2A" w:rsidRDefault="0041180F" w:rsidP="0041180F">
      <w:pPr>
        <w:spacing w:after="0"/>
        <w:jc w:val="both"/>
        <w:rPr>
          <w:rFonts w:ascii="Avenir Next LT Pro" w:hAnsi="Avenir Next LT Pro"/>
          <w:sz w:val="20"/>
          <w:szCs w:val="20"/>
          <w:lang w:val="fr-CD"/>
        </w:rPr>
      </w:pPr>
      <w:r>
        <w:rPr>
          <w:rFonts w:ascii="Avenir Next LT Pro" w:hAnsi="Avenir Next LT Pro"/>
          <w:sz w:val="20"/>
          <w:szCs w:val="20"/>
          <w:lang w:val="fr-CD"/>
        </w:rPr>
        <w:t xml:space="preserve">Le </w:t>
      </w:r>
      <w:r w:rsidRPr="007C0E20">
        <w:rPr>
          <w:rFonts w:ascii="Avenir Next LT Pro" w:hAnsi="Avenir Next LT Pro"/>
          <w:b/>
          <w:bCs/>
          <w:sz w:val="20"/>
          <w:szCs w:val="20"/>
          <w:lang w:val="fr-CD"/>
        </w:rPr>
        <w:t>Produit 1</w:t>
      </w:r>
      <w:r>
        <w:rPr>
          <w:rFonts w:ascii="Avenir Next LT Pro" w:hAnsi="Avenir Next LT Pro"/>
          <w:sz w:val="20"/>
          <w:szCs w:val="20"/>
          <w:lang w:val="fr-CD"/>
        </w:rPr>
        <w:t xml:space="preserve"> </w:t>
      </w:r>
      <w:r w:rsidR="007D5767">
        <w:rPr>
          <w:rFonts w:ascii="Avenir Next LT Pro" w:hAnsi="Avenir Next LT Pro"/>
          <w:sz w:val="20"/>
          <w:szCs w:val="20"/>
          <w:lang w:val="fr-CD"/>
        </w:rPr>
        <w:t xml:space="preserve">vise à renforcer </w:t>
      </w:r>
      <w:r w:rsidR="00E821E4">
        <w:rPr>
          <w:rFonts w:ascii="Avenir Next LT Pro" w:hAnsi="Avenir Next LT Pro"/>
          <w:sz w:val="20"/>
          <w:szCs w:val="20"/>
          <w:lang w:val="fr-CD"/>
        </w:rPr>
        <w:t xml:space="preserve">le cadre de gouvernance, </w:t>
      </w:r>
      <w:r w:rsidR="00E821E4" w:rsidRPr="00E821E4">
        <w:rPr>
          <w:rFonts w:ascii="Avenir Next LT Pro" w:hAnsi="Avenir Next LT Pro"/>
          <w:sz w:val="20"/>
          <w:szCs w:val="20"/>
          <w:lang w:val="fr-CD"/>
        </w:rPr>
        <w:t>aussi bien au niveaux institutionnel, stratégique, politique et opérationnel</w:t>
      </w:r>
      <w:r w:rsidR="00E821E4">
        <w:rPr>
          <w:rFonts w:ascii="Avenir Next LT Pro" w:hAnsi="Avenir Next LT Pro"/>
          <w:sz w:val="20"/>
          <w:szCs w:val="20"/>
          <w:lang w:val="fr-CD"/>
        </w:rPr>
        <w:t xml:space="preserve">, en vue </w:t>
      </w:r>
      <w:r w:rsidR="007F4D15">
        <w:rPr>
          <w:rFonts w:ascii="Avenir Next LT Pro" w:hAnsi="Avenir Next LT Pro"/>
          <w:sz w:val="20"/>
          <w:szCs w:val="20"/>
          <w:lang w:val="fr-CD"/>
        </w:rPr>
        <w:t>de s’assurer une mise en œuvre effective de la CDN</w:t>
      </w:r>
      <w:r w:rsidR="005B4C5B" w:rsidRPr="005B4C5B">
        <w:rPr>
          <w:rFonts w:ascii="Avenir Next LT Pro" w:hAnsi="Avenir Next LT Pro"/>
          <w:sz w:val="20"/>
          <w:szCs w:val="20"/>
          <w:lang w:val="fr-CD"/>
        </w:rPr>
        <w:t xml:space="preserve">. Au niveau institutionnel, il s’agira principalement de l’opérationnalisation de deux entités devant jouer un rôle fondamental dans </w:t>
      </w:r>
      <w:r w:rsidR="0005312B">
        <w:rPr>
          <w:rFonts w:ascii="Avenir Next LT Pro" w:hAnsi="Avenir Next LT Pro"/>
          <w:sz w:val="20"/>
          <w:szCs w:val="20"/>
          <w:lang w:val="fr-CD"/>
        </w:rPr>
        <w:t>s</w:t>
      </w:r>
      <w:r w:rsidR="005B4C5B" w:rsidRPr="005B4C5B">
        <w:rPr>
          <w:rFonts w:ascii="Avenir Next LT Pro" w:hAnsi="Avenir Next LT Pro"/>
          <w:sz w:val="20"/>
          <w:szCs w:val="20"/>
          <w:lang w:val="fr-CD"/>
        </w:rPr>
        <w:t>a mise en œuvre effective</w:t>
      </w:r>
      <w:r w:rsidR="0005312B">
        <w:rPr>
          <w:rFonts w:ascii="Avenir Next LT Pro" w:hAnsi="Avenir Next LT Pro"/>
          <w:sz w:val="20"/>
          <w:szCs w:val="20"/>
          <w:lang w:val="fr-CD"/>
        </w:rPr>
        <w:t xml:space="preserve">, </w:t>
      </w:r>
      <w:r w:rsidR="005B4C5B" w:rsidRPr="005B4C5B">
        <w:rPr>
          <w:rFonts w:ascii="Avenir Next LT Pro" w:hAnsi="Avenir Next LT Pro"/>
          <w:sz w:val="20"/>
          <w:szCs w:val="20"/>
          <w:lang w:val="fr-CD"/>
        </w:rPr>
        <w:t xml:space="preserve">notamment </w:t>
      </w:r>
      <w:r w:rsidR="0005312B">
        <w:rPr>
          <w:rFonts w:ascii="Avenir Next LT Pro" w:hAnsi="Avenir Next LT Pro"/>
          <w:sz w:val="20"/>
          <w:szCs w:val="20"/>
          <w:lang w:val="fr-CD"/>
        </w:rPr>
        <w:t>le</w:t>
      </w:r>
      <w:r w:rsidR="005B4C5B" w:rsidRPr="005B4C5B">
        <w:rPr>
          <w:rFonts w:ascii="Avenir Next LT Pro" w:hAnsi="Avenir Next LT Pro"/>
          <w:sz w:val="20"/>
          <w:szCs w:val="20"/>
          <w:lang w:val="fr-CD"/>
        </w:rPr>
        <w:t xml:space="preserve"> CNEDD et de la Cellule Technique de la CDN</w:t>
      </w:r>
      <w:r w:rsidR="00600A3D">
        <w:rPr>
          <w:rFonts w:ascii="Avenir Next LT Pro" w:hAnsi="Avenir Next LT Pro"/>
          <w:sz w:val="20"/>
          <w:szCs w:val="20"/>
          <w:lang w:val="fr-CD"/>
        </w:rPr>
        <w:t xml:space="preserve">. </w:t>
      </w:r>
      <w:r w:rsidR="005B4C5B" w:rsidRPr="005B4C5B">
        <w:rPr>
          <w:rFonts w:ascii="Avenir Next LT Pro" w:hAnsi="Avenir Next LT Pro"/>
          <w:sz w:val="20"/>
          <w:szCs w:val="20"/>
          <w:lang w:val="fr-CD"/>
        </w:rPr>
        <w:t xml:space="preserve">Il s’agira dans l’ensemble d’apporter un appui à l’élaboration des textes juridiques de création et fonctionnement, ainsi qu’un appui technique et logistique continue, notamment en termes d’organisation et facilitation des réunions du Conseil et de la Cellule Technique. </w:t>
      </w:r>
      <w:r w:rsidR="00CD5E47">
        <w:rPr>
          <w:rFonts w:ascii="Avenir Next LT Pro" w:hAnsi="Avenir Next LT Pro"/>
          <w:sz w:val="20"/>
          <w:szCs w:val="20"/>
          <w:lang w:val="fr-CD"/>
        </w:rPr>
        <w:t xml:space="preserve">L’appui technique </w:t>
      </w:r>
      <w:r w:rsidR="00DA377E">
        <w:rPr>
          <w:rFonts w:ascii="Avenir Next LT Pro" w:hAnsi="Avenir Next LT Pro"/>
          <w:sz w:val="20"/>
          <w:szCs w:val="20"/>
          <w:lang w:val="fr-CD"/>
        </w:rPr>
        <w:t xml:space="preserve">pour l’élaboration des textes juridiques, ainsi que pour le fonctionnement effectif </w:t>
      </w:r>
      <w:r w:rsidR="00CD5E47">
        <w:rPr>
          <w:rFonts w:ascii="Avenir Next LT Pro" w:hAnsi="Avenir Next LT Pro"/>
          <w:sz w:val="20"/>
          <w:szCs w:val="20"/>
          <w:lang w:val="fr-CD"/>
        </w:rPr>
        <w:t>se fera par l</w:t>
      </w:r>
      <w:r w:rsidR="00774BF4">
        <w:rPr>
          <w:rFonts w:ascii="Avenir Next LT Pro" w:hAnsi="Avenir Next LT Pro"/>
          <w:sz w:val="20"/>
          <w:szCs w:val="20"/>
          <w:lang w:val="fr-CD"/>
        </w:rPr>
        <w:t xml:space="preserve">e recrutement </w:t>
      </w:r>
      <w:r w:rsidR="00CD5E47">
        <w:rPr>
          <w:rFonts w:ascii="Avenir Next LT Pro" w:hAnsi="Avenir Next LT Pro"/>
          <w:sz w:val="20"/>
          <w:szCs w:val="20"/>
          <w:lang w:val="fr-CD"/>
        </w:rPr>
        <w:t xml:space="preserve">de </w:t>
      </w:r>
      <w:r w:rsidR="00300A96">
        <w:rPr>
          <w:rFonts w:ascii="Avenir Next LT Pro" w:hAnsi="Avenir Next LT Pro"/>
          <w:sz w:val="20"/>
          <w:szCs w:val="20"/>
          <w:lang w:val="fr-CD"/>
        </w:rPr>
        <w:t xml:space="preserve">consultants </w:t>
      </w:r>
      <w:r w:rsidR="007C5AE7">
        <w:rPr>
          <w:rFonts w:ascii="Avenir Next LT Pro" w:hAnsi="Avenir Next LT Pro"/>
          <w:sz w:val="20"/>
          <w:szCs w:val="20"/>
          <w:lang w:val="fr-CD"/>
        </w:rPr>
        <w:t>nationa</w:t>
      </w:r>
      <w:r w:rsidR="00300A96">
        <w:rPr>
          <w:rFonts w:ascii="Avenir Next LT Pro" w:hAnsi="Avenir Next LT Pro"/>
          <w:sz w:val="20"/>
          <w:szCs w:val="20"/>
          <w:lang w:val="fr-CD"/>
        </w:rPr>
        <w:t xml:space="preserve">ux et </w:t>
      </w:r>
      <w:r w:rsidR="007C5AE7">
        <w:rPr>
          <w:rFonts w:ascii="Avenir Next LT Pro" w:hAnsi="Avenir Next LT Pro"/>
          <w:sz w:val="20"/>
          <w:szCs w:val="20"/>
          <w:lang w:val="fr-CD"/>
        </w:rPr>
        <w:t>internationa</w:t>
      </w:r>
      <w:r w:rsidR="00300A96">
        <w:rPr>
          <w:rFonts w:ascii="Avenir Next LT Pro" w:hAnsi="Avenir Next LT Pro"/>
          <w:sz w:val="20"/>
          <w:szCs w:val="20"/>
          <w:lang w:val="fr-CD"/>
        </w:rPr>
        <w:t>ux</w:t>
      </w:r>
      <w:r w:rsidR="003A3BF9">
        <w:rPr>
          <w:rFonts w:ascii="Avenir Next LT Pro" w:hAnsi="Avenir Next LT Pro"/>
          <w:sz w:val="20"/>
          <w:szCs w:val="20"/>
          <w:lang w:val="fr-CD"/>
        </w:rPr>
        <w:t xml:space="preserve">. </w:t>
      </w:r>
      <w:r w:rsidR="007C0E20">
        <w:rPr>
          <w:rFonts w:ascii="Avenir Next LT Pro" w:hAnsi="Avenir Next LT Pro"/>
          <w:sz w:val="20"/>
          <w:szCs w:val="20"/>
          <w:lang w:val="fr-CD"/>
        </w:rPr>
        <w:t xml:space="preserve">L’appui logistique se fera essentiellement suivant </w:t>
      </w:r>
      <w:r w:rsidR="004C40F2">
        <w:rPr>
          <w:rFonts w:ascii="Avenir Next LT Pro" w:hAnsi="Avenir Next LT Pro"/>
          <w:sz w:val="20"/>
          <w:szCs w:val="20"/>
          <w:lang w:val="fr-CD"/>
        </w:rPr>
        <w:t>l</w:t>
      </w:r>
      <w:r w:rsidR="007C0E20">
        <w:rPr>
          <w:rFonts w:ascii="Avenir Next LT Pro" w:hAnsi="Avenir Next LT Pro"/>
          <w:sz w:val="20"/>
          <w:szCs w:val="20"/>
          <w:lang w:val="fr-CD"/>
        </w:rPr>
        <w:t xml:space="preserve">es politiques et procédures </w:t>
      </w:r>
      <w:r w:rsidR="004C40F2">
        <w:rPr>
          <w:rFonts w:ascii="Avenir Next LT Pro" w:hAnsi="Avenir Next LT Pro"/>
          <w:sz w:val="20"/>
          <w:szCs w:val="20"/>
          <w:lang w:val="fr-CD"/>
        </w:rPr>
        <w:t xml:space="preserve">d’achats </w:t>
      </w:r>
      <w:r w:rsidR="00481A57">
        <w:rPr>
          <w:rFonts w:ascii="Avenir Next LT Pro" w:hAnsi="Avenir Next LT Pro"/>
          <w:sz w:val="20"/>
          <w:szCs w:val="20"/>
          <w:lang w:val="fr-CD"/>
        </w:rPr>
        <w:t>du PNUD</w:t>
      </w:r>
      <w:r w:rsidR="007C0E20">
        <w:rPr>
          <w:rFonts w:ascii="Avenir Next LT Pro" w:hAnsi="Avenir Next LT Pro"/>
          <w:sz w:val="20"/>
          <w:szCs w:val="20"/>
          <w:lang w:val="fr-CD"/>
        </w:rPr>
        <w:t>.</w:t>
      </w:r>
      <w:r w:rsidR="00481A57">
        <w:rPr>
          <w:rFonts w:ascii="Avenir Next LT Pro" w:hAnsi="Avenir Next LT Pro"/>
          <w:sz w:val="20"/>
          <w:szCs w:val="20"/>
          <w:lang w:val="fr-CD"/>
        </w:rPr>
        <w:t xml:space="preserve"> </w:t>
      </w:r>
      <w:r w:rsidR="005D245A">
        <w:rPr>
          <w:rFonts w:ascii="Avenir Next LT Pro" w:hAnsi="Avenir Next LT Pro"/>
          <w:sz w:val="20"/>
          <w:szCs w:val="20"/>
          <w:lang w:val="fr-CD"/>
        </w:rPr>
        <w:t xml:space="preserve">Le Produit sera exécuté de manière générale </w:t>
      </w:r>
      <w:r w:rsidR="002336F9">
        <w:rPr>
          <w:rFonts w:ascii="Avenir Next LT Pro" w:hAnsi="Avenir Next LT Pro"/>
          <w:sz w:val="20"/>
          <w:szCs w:val="20"/>
          <w:lang w:val="fr-CD"/>
        </w:rPr>
        <w:t>par le MEDD avec l’appui du PNUD.</w:t>
      </w:r>
      <w:r w:rsidR="005D245A">
        <w:rPr>
          <w:rFonts w:ascii="Avenir Next LT Pro" w:hAnsi="Avenir Next LT Pro"/>
          <w:sz w:val="20"/>
          <w:szCs w:val="20"/>
          <w:lang w:val="fr-CD"/>
        </w:rPr>
        <w:t xml:space="preserve"> </w:t>
      </w:r>
      <w:r w:rsidR="007C0E20">
        <w:rPr>
          <w:rFonts w:ascii="Avenir Next LT Pro" w:hAnsi="Avenir Next LT Pro"/>
          <w:sz w:val="20"/>
          <w:szCs w:val="20"/>
          <w:lang w:val="fr-CD"/>
        </w:rPr>
        <w:t xml:space="preserve"> </w:t>
      </w:r>
      <w:r w:rsidR="003A3BF9">
        <w:rPr>
          <w:rFonts w:ascii="Avenir Next LT Pro" w:hAnsi="Avenir Next LT Pro"/>
          <w:sz w:val="20"/>
          <w:szCs w:val="20"/>
          <w:lang w:val="fr-CD"/>
        </w:rPr>
        <w:t xml:space="preserve"> </w:t>
      </w:r>
      <w:r w:rsidR="007C5AE7">
        <w:rPr>
          <w:rFonts w:ascii="Avenir Next LT Pro" w:hAnsi="Avenir Next LT Pro"/>
          <w:sz w:val="20"/>
          <w:szCs w:val="20"/>
          <w:lang w:val="fr-CD"/>
        </w:rPr>
        <w:t xml:space="preserve"> </w:t>
      </w:r>
    </w:p>
    <w:p w14:paraId="2991C7B0" w14:textId="77777777" w:rsidR="0041180F" w:rsidRPr="00D94338" w:rsidRDefault="0041180F" w:rsidP="00C55F2A">
      <w:pPr>
        <w:spacing w:after="0"/>
        <w:rPr>
          <w:rFonts w:ascii="Avenir Next LT Pro" w:hAnsi="Avenir Next LT Pro"/>
          <w:sz w:val="20"/>
          <w:szCs w:val="20"/>
          <w:lang w:val="fr-CD"/>
        </w:rPr>
      </w:pPr>
    </w:p>
    <w:p w14:paraId="59002E14" w14:textId="60369EBD" w:rsidR="00C55F2A" w:rsidRPr="00D94338" w:rsidRDefault="00581066" w:rsidP="00964609">
      <w:pPr>
        <w:pStyle w:val="Sansinterligne"/>
        <w:ind w:left="1080" w:hanging="1080"/>
        <w:jc w:val="both"/>
        <w:rPr>
          <w:rFonts w:ascii="Avenir Next LT Pro" w:hAnsi="Avenir Next LT Pro"/>
          <w:sz w:val="20"/>
          <w:szCs w:val="20"/>
          <w:lang w:val="fr-CD"/>
        </w:rPr>
      </w:pPr>
      <w:r w:rsidRPr="00D94338">
        <w:rPr>
          <w:rFonts w:ascii="Avenir Next LT Pro" w:hAnsi="Avenir Next LT Pro"/>
          <w:sz w:val="20"/>
          <w:szCs w:val="20"/>
          <w:lang w:val="fr-CD"/>
        </w:rPr>
        <w:t xml:space="preserve">Activité 1.1. </w:t>
      </w:r>
      <w:r w:rsidR="00C55F2A" w:rsidRPr="00D94338">
        <w:rPr>
          <w:rFonts w:ascii="Avenir Next LT Pro" w:hAnsi="Avenir Next LT Pro"/>
          <w:sz w:val="20"/>
          <w:szCs w:val="20"/>
          <w:lang w:val="fr-CD"/>
        </w:rPr>
        <w:t>Appuyer la création et l’opérationnalisation du Conseil national de l’environnement et du développement durable</w:t>
      </w:r>
      <w:r w:rsidR="000A4F26">
        <w:rPr>
          <w:rFonts w:ascii="Avenir Next LT Pro" w:hAnsi="Avenir Next LT Pro"/>
          <w:sz w:val="20"/>
          <w:szCs w:val="20"/>
          <w:lang w:val="fr-CD"/>
        </w:rPr>
        <w:t xml:space="preserve"> (CN</w:t>
      </w:r>
      <w:r w:rsidR="006D2C8A">
        <w:rPr>
          <w:rFonts w:ascii="Avenir Next LT Pro" w:hAnsi="Avenir Next LT Pro"/>
          <w:sz w:val="20"/>
          <w:szCs w:val="20"/>
          <w:lang w:val="fr-CD"/>
        </w:rPr>
        <w:t>ED</w:t>
      </w:r>
      <w:r w:rsidR="000A4F26">
        <w:rPr>
          <w:rFonts w:ascii="Avenir Next LT Pro" w:hAnsi="Avenir Next LT Pro"/>
          <w:sz w:val="20"/>
          <w:szCs w:val="20"/>
          <w:lang w:val="fr-CD"/>
        </w:rPr>
        <w:t>D)</w:t>
      </w:r>
      <w:r w:rsidR="00C55F2A" w:rsidRPr="00D94338">
        <w:rPr>
          <w:rFonts w:ascii="Avenir Next LT Pro" w:hAnsi="Avenir Next LT Pro"/>
          <w:sz w:val="20"/>
          <w:szCs w:val="20"/>
          <w:lang w:val="fr-CD"/>
        </w:rPr>
        <w:t xml:space="preserve">. Cette activité prévoit </w:t>
      </w:r>
      <w:r w:rsidR="001F5C69">
        <w:rPr>
          <w:rFonts w:ascii="Avenir Next LT Pro" w:hAnsi="Avenir Next LT Pro"/>
          <w:sz w:val="20"/>
          <w:szCs w:val="20"/>
          <w:lang w:val="fr-CD"/>
        </w:rPr>
        <w:t xml:space="preserve">l’appui à l’élaboration et </w:t>
      </w:r>
      <w:r w:rsidR="000D6E53">
        <w:rPr>
          <w:rFonts w:ascii="Avenir Next LT Pro" w:hAnsi="Avenir Next LT Pro"/>
          <w:sz w:val="20"/>
          <w:szCs w:val="20"/>
          <w:lang w:val="fr-CD"/>
        </w:rPr>
        <w:t xml:space="preserve">promulgation </w:t>
      </w:r>
      <w:r w:rsidR="000A4F26">
        <w:rPr>
          <w:rFonts w:ascii="Avenir Next LT Pro" w:hAnsi="Avenir Next LT Pro"/>
          <w:sz w:val="20"/>
          <w:szCs w:val="20"/>
          <w:lang w:val="fr-CD"/>
        </w:rPr>
        <w:t>d</w:t>
      </w:r>
      <w:r w:rsidR="000005C2">
        <w:rPr>
          <w:rFonts w:ascii="Avenir Next LT Pro" w:hAnsi="Avenir Next LT Pro"/>
          <w:sz w:val="20"/>
          <w:szCs w:val="20"/>
          <w:lang w:val="fr-CD"/>
        </w:rPr>
        <w:t xml:space="preserve">u cadre juridique </w:t>
      </w:r>
      <w:r w:rsidR="000A4F26">
        <w:rPr>
          <w:rFonts w:ascii="Avenir Next LT Pro" w:hAnsi="Avenir Next LT Pro"/>
          <w:sz w:val="20"/>
          <w:szCs w:val="20"/>
          <w:lang w:val="fr-CD"/>
        </w:rPr>
        <w:t>relatif à l’organisation, la composition et fonctionnement du</w:t>
      </w:r>
      <w:r w:rsidR="000005C2">
        <w:rPr>
          <w:rFonts w:ascii="Avenir Next LT Pro" w:hAnsi="Avenir Next LT Pro"/>
          <w:sz w:val="20"/>
          <w:szCs w:val="20"/>
          <w:lang w:val="fr-CD"/>
        </w:rPr>
        <w:t xml:space="preserve"> CN</w:t>
      </w:r>
      <w:r w:rsidR="006D2C8A">
        <w:rPr>
          <w:rFonts w:ascii="Avenir Next LT Pro" w:hAnsi="Avenir Next LT Pro"/>
          <w:sz w:val="20"/>
          <w:szCs w:val="20"/>
          <w:lang w:val="fr-CD"/>
        </w:rPr>
        <w:t>ED</w:t>
      </w:r>
      <w:r w:rsidR="000005C2">
        <w:rPr>
          <w:rFonts w:ascii="Avenir Next LT Pro" w:hAnsi="Avenir Next LT Pro"/>
          <w:sz w:val="20"/>
          <w:szCs w:val="20"/>
          <w:lang w:val="fr-CD"/>
        </w:rPr>
        <w:t>D</w:t>
      </w:r>
      <w:r w:rsidR="00C81749">
        <w:rPr>
          <w:rFonts w:ascii="Avenir Next LT Pro" w:hAnsi="Avenir Next LT Pro"/>
          <w:sz w:val="20"/>
          <w:szCs w:val="20"/>
          <w:lang w:val="fr-CD"/>
        </w:rPr>
        <w:t>, ainsi l’appui à son opérationnalisation effective</w:t>
      </w:r>
      <w:r w:rsidR="004A3F89">
        <w:rPr>
          <w:rFonts w:ascii="Avenir Next LT Pro" w:hAnsi="Avenir Next LT Pro"/>
          <w:sz w:val="20"/>
          <w:szCs w:val="20"/>
          <w:lang w:val="fr-CD"/>
        </w:rPr>
        <w:t xml:space="preserve">, notamment en termes d’appui logistique </w:t>
      </w:r>
      <w:r w:rsidR="008B5AAA">
        <w:rPr>
          <w:rFonts w:ascii="Avenir Next LT Pro" w:hAnsi="Avenir Next LT Pro"/>
          <w:sz w:val="20"/>
          <w:szCs w:val="20"/>
          <w:lang w:val="fr-CD"/>
        </w:rPr>
        <w:t>(</w:t>
      </w:r>
      <w:r w:rsidR="00941634">
        <w:rPr>
          <w:rFonts w:ascii="Avenir Next LT Pro" w:hAnsi="Avenir Next LT Pro"/>
          <w:sz w:val="20"/>
          <w:szCs w:val="20"/>
          <w:lang w:val="fr-CD"/>
        </w:rPr>
        <w:t xml:space="preserve">ex. matériel de bureau), </w:t>
      </w:r>
      <w:r w:rsidR="004A3F89">
        <w:rPr>
          <w:rFonts w:ascii="Avenir Next LT Pro" w:hAnsi="Avenir Next LT Pro"/>
          <w:sz w:val="20"/>
          <w:szCs w:val="20"/>
          <w:lang w:val="fr-CD"/>
        </w:rPr>
        <w:t>et technique</w:t>
      </w:r>
      <w:r w:rsidR="0096086B">
        <w:rPr>
          <w:rFonts w:ascii="Avenir Next LT Pro" w:hAnsi="Avenir Next LT Pro"/>
          <w:sz w:val="20"/>
          <w:szCs w:val="20"/>
          <w:lang w:val="fr-CD"/>
        </w:rPr>
        <w:t xml:space="preserve"> </w:t>
      </w:r>
      <w:r w:rsidR="00941634">
        <w:rPr>
          <w:rFonts w:ascii="Avenir Next LT Pro" w:hAnsi="Avenir Next LT Pro"/>
          <w:sz w:val="20"/>
          <w:szCs w:val="20"/>
          <w:lang w:val="fr-CD"/>
        </w:rPr>
        <w:t>(ex. organisation des réunions</w:t>
      </w:r>
      <w:r w:rsidR="00753FAA">
        <w:rPr>
          <w:rFonts w:ascii="Avenir Next LT Pro" w:hAnsi="Avenir Next LT Pro"/>
          <w:sz w:val="20"/>
          <w:szCs w:val="20"/>
          <w:lang w:val="fr-CD"/>
        </w:rPr>
        <w:t>, mobilisation de l’expertise technique</w:t>
      </w:r>
      <w:r w:rsidR="00941634">
        <w:rPr>
          <w:rFonts w:ascii="Avenir Next LT Pro" w:hAnsi="Avenir Next LT Pro"/>
          <w:sz w:val="20"/>
          <w:szCs w:val="20"/>
          <w:lang w:val="fr-CD"/>
        </w:rPr>
        <w:t xml:space="preserve">) </w:t>
      </w:r>
      <w:r w:rsidR="0096086B">
        <w:rPr>
          <w:rFonts w:ascii="Avenir Next LT Pro" w:hAnsi="Avenir Next LT Pro"/>
          <w:sz w:val="20"/>
          <w:szCs w:val="20"/>
          <w:lang w:val="fr-CD"/>
        </w:rPr>
        <w:t>pour son fonctionnement</w:t>
      </w:r>
      <w:r w:rsidR="00C55F2A" w:rsidRPr="00D94338">
        <w:rPr>
          <w:rFonts w:ascii="Avenir Next LT Pro" w:hAnsi="Avenir Next LT Pro"/>
          <w:sz w:val="20"/>
          <w:szCs w:val="20"/>
          <w:lang w:val="fr-CD"/>
        </w:rPr>
        <w:t xml:space="preserve">. </w:t>
      </w:r>
    </w:p>
    <w:p w14:paraId="76F4A13C" w14:textId="77777777" w:rsidR="00C55F2A" w:rsidRPr="00D94338" w:rsidRDefault="00C55F2A" w:rsidP="00C55F2A">
      <w:pPr>
        <w:pStyle w:val="Sansinterligne"/>
        <w:ind w:left="360"/>
        <w:jc w:val="both"/>
        <w:rPr>
          <w:rFonts w:ascii="Avenir Next LT Pro" w:hAnsi="Avenir Next LT Pro"/>
          <w:sz w:val="20"/>
          <w:szCs w:val="20"/>
          <w:lang w:val="fr-CD"/>
        </w:rPr>
      </w:pPr>
    </w:p>
    <w:p w14:paraId="21DA7130" w14:textId="54FFABDA" w:rsidR="00C55F2A" w:rsidRPr="00D94338" w:rsidRDefault="00A46A5F" w:rsidP="00964609">
      <w:pPr>
        <w:pStyle w:val="Sansinterligne"/>
        <w:ind w:left="1080" w:hanging="1080"/>
        <w:jc w:val="both"/>
        <w:rPr>
          <w:rFonts w:ascii="Avenir Next LT Pro" w:hAnsi="Avenir Next LT Pro"/>
          <w:sz w:val="20"/>
          <w:szCs w:val="20"/>
          <w:lang w:val="fr-CD"/>
        </w:rPr>
      </w:pPr>
      <w:r w:rsidRPr="00D94338">
        <w:rPr>
          <w:rFonts w:ascii="Avenir Next LT Pro" w:hAnsi="Avenir Next LT Pro"/>
          <w:sz w:val="20"/>
          <w:szCs w:val="20"/>
          <w:lang w:val="fr-CD"/>
        </w:rPr>
        <w:lastRenderedPageBreak/>
        <w:t>Activité</w:t>
      </w:r>
      <w:r w:rsidR="00581066" w:rsidRPr="00D94338">
        <w:rPr>
          <w:rFonts w:ascii="Avenir Next LT Pro" w:hAnsi="Avenir Next LT Pro"/>
          <w:sz w:val="20"/>
          <w:szCs w:val="20"/>
          <w:lang w:val="fr-CD"/>
        </w:rPr>
        <w:t xml:space="preserve"> </w:t>
      </w:r>
      <w:r w:rsidRPr="00D94338">
        <w:rPr>
          <w:rFonts w:ascii="Avenir Next LT Pro" w:hAnsi="Avenir Next LT Pro"/>
          <w:sz w:val="20"/>
          <w:szCs w:val="20"/>
          <w:lang w:val="fr-CD"/>
        </w:rPr>
        <w:t xml:space="preserve">1.2. </w:t>
      </w:r>
      <w:r w:rsidR="00C55F2A" w:rsidRPr="00D94338">
        <w:rPr>
          <w:rFonts w:ascii="Avenir Next LT Pro" w:hAnsi="Avenir Next LT Pro"/>
          <w:sz w:val="20"/>
          <w:szCs w:val="20"/>
          <w:lang w:val="fr-CD"/>
        </w:rPr>
        <w:t xml:space="preserve">Appuyer la mise en place et le fonctionnement de la Cellule Technique de la CDN. </w:t>
      </w:r>
      <w:r w:rsidR="005044F6">
        <w:rPr>
          <w:rFonts w:ascii="Avenir Next LT Pro" w:hAnsi="Avenir Next LT Pro"/>
          <w:sz w:val="20"/>
          <w:szCs w:val="20"/>
          <w:lang w:val="fr-CD"/>
        </w:rPr>
        <w:t>Il s’agira d’apporter un appui logistique (</w:t>
      </w:r>
      <w:r w:rsidR="00072628">
        <w:rPr>
          <w:rFonts w:ascii="Avenir Next LT Pro" w:hAnsi="Avenir Next LT Pro"/>
          <w:sz w:val="20"/>
          <w:szCs w:val="20"/>
          <w:lang w:val="fr-CD"/>
        </w:rPr>
        <w:t xml:space="preserve">ex. </w:t>
      </w:r>
      <w:r w:rsidR="005044F6">
        <w:rPr>
          <w:rFonts w:ascii="Avenir Next LT Pro" w:hAnsi="Avenir Next LT Pro"/>
          <w:sz w:val="20"/>
          <w:szCs w:val="20"/>
          <w:lang w:val="fr-CD"/>
        </w:rPr>
        <w:t>matériel</w:t>
      </w:r>
      <w:r w:rsidR="00072628">
        <w:rPr>
          <w:rFonts w:ascii="Avenir Next LT Pro" w:hAnsi="Avenir Next LT Pro"/>
          <w:sz w:val="20"/>
          <w:szCs w:val="20"/>
          <w:lang w:val="fr-CD"/>
        </w:rPr>
        <w:t xml:space="preserve"> de bureau</w:t>
      </w:r>
      <w:r w:rsidR="00464AF9">
        <w:rPr>
          <w:rFonts w:ascii="Avenir Next LT Pro" w:hAnsi="Avenir Next LT Pro"/>
          <w:sz w:val="20"/>
          <w:szCs w:val="20"/>
          <w:lang w:val="fr-CD"/>
        </w:rPr>
        <w:t xml:space="preserve">, </w:t>
      </w:r>
      <w:r w:rsidR="009A123A">
        <w:rPr>
          <w:rFonts w:ascii="Avenir Next LT Pro" w:hAnsi="Avenir Next LT Pro"/>
          <w:sz w:val="20"/>
          <w:szCs w:val="20"/>
          <w:lang w:val="fr-CD"/>
        </w:rPr>
        <w:t>véhicule</w:t>
      </w:r>
      <w:r w:rsidR="00072628">
        <w:rPr>
          <w:rFonts w:ascii="Avenir Next LT Pro" w:hAnsi="Avenir Next LT Pro"/>
          <w:sz w:val="20"/>
          <w:szCs w:val="20"/>
          <w:lang w:val="fr-CD"/>
        </w:rPr>
        <w:t xml:space="preserve">) </w:t>
      </w:r>
      <w:r w:rsidR="00220C40">
        <w:rPr>
          <w:rFonts w:ascii="Avenir Next LT Pro" w:hAnsi="Avenir Next LT Pro"/>
          <w:sz w:val="20"/>
          <w:szCs w:val="20"/>
          <w:lang w:val="fr-CD"/>
        </w:rPr>
        <w:t>et technique (ex. organisation des missions provinciales</w:t>
      </w:r>
      <w:r w:rsidR="00BE214E">
        <w:rPr>
          <w:rFonts w:ascii="Avenir Next LT Pro" w:hAnsi="Avenir Next LT Pro"/>
          <w:sz w:val="20"/>
          <w:szCs w:val="20"/>
          <w:lang w:val="fr-CD"/>
        </w:rPr>
        <w:t xml:space="preserve">, </w:t>
      </w:r>
      <w:r w:rsidR="00753FAA">
        <w:rPr>
          <w:rFonts w:ascii="Avenir Next LT Pro" w:hAnsi="Avenir Next LT Pro"/>
          <w:sz w:val="20"/>
          <w:szCs w:val="20"/>
          <w:lang w:val="fr-CD"/>
        </w:rPr>
        <w:t xml:space="preserve">mobilisation de l’expertise technique, </w:t>
      </w:r>
      <w:r w:rsidR="00967317">
        <w:rPr>
          <w:rFonts w:ascii="Avenir Next LT Pro" w:hAnsi="Avenir Next LT Pro"/>
          <w:sz w:val="20"/>
          <w:szCs w:val="20"/>
          <w:lang w:val="fr-CD"/>
        </w:rPr>
        <w:t xml:space="preserve">organisation des </w:t>
      </w:r>
      <w:r w:rsidR="00CE40E8">
        <w:rPr>
          <w:rFonts w:ascii="Avenir Next LT Pro" w:hAnsi="Avenir Next LT Pro"/>
          <w:sz w:val="20"/>
          <w:szCs w:val="20"/>
          <w:lang w:val="fr-CD"/>
        </w:rPr>
        <w:t>réunion</w:t>
      </w:r>
      <w:r w:rsidR="00967317">
        <w:rPr>
          <w:rFonts w:ascii="Avenir Next LT Pro" w:hAnsi="Avenir Next LT Pro"/>
          <w:sz w:val="20"/>
          <w:szCs w:val="20"/>
          <w:lang w:val="fr-CD"/>
        </w:rPr>
        <w:t>)</w:t>
      </w:r>
      <w:r w:rsidR="00BE214E">
        <w:rPr>
          <w:rFonts w:ascii="Avenir Next LT Pro" w:hAnsi="Avenir Next LT Pro"/>
          <w:sz w:val="20"/>
          <w:szCs w:val="20"/>
          <w:lang w:val="fr-CD"/>
        </w:rPr>
        <w:t xml:space="preserve"> </w:t>
      </w:r>
      <w:r w:rsidR="00CE40E8">
        <w:rPr>
          <w:rFonts w:ascii="Avenir Next LT Pro" w:hAnsi="Avenir Next LT Pro"/>
          <w:sz w:val="20"/>
          <w:szCs w:val="20"/>
          <w:lang w:val="fr-CD"/>
        </w:rPr>
        <w:t xml:space="preserve">pour un fonctionnement effectif de </w:t>
      </w:r>
      <w:r w:rsidR="00464AF9">
        <w:rPr>
          <w:rFonts w:ascii="Avenir Next LT Pro" w:hAnsi="Avenir Next LT Pro"/>
          <w:sz w:val="20"/>
          <w:szCs w:val="20"/>
          <w:lang w:val="fr-CD"/>
        </w:rPr>
        <w:t>la CT-CDN.</w:t>
      </w:r>
    </w:p>
    <w:p w14:paraId="5434F19D" w14:textId="77777777" w:rsidR="00C55F2A" w:rsidRPr="00D94338" w:rsidRDefault="00C55F2A" w:rsidP="00C55F2A">
      <w:pPr>
        <w:pStyle w:val="Sansinterligne"/>
        <w:ind w:left="360"/>
        <w:jc w:val="both"/>
        <w:rPr>
          <w:rFonts w:ascii="Avenir Next LT Pro" w:hAnsi="Avenir Next LT Pro"/>
          <w:sz w:val="20"/>
          <w:szCs w:val="20"/>
          <w:lang w:val="fr-CD"/>
        </w:rPr>
      </w:pPr>
    </w:p>
    <w:p w14:paraId="0E25F033" w14:textId="6A467979" w:rsidR="00C55F2A" w:rsidRPr="00D94338" w:rsidRDefault="00A46A5F" w:rsidP="00964609">
      <w:pPr>
        <w:pStyle w:val="Sansinterligne"/>
        <w:ind w:left="1080" w:hanging="1080"/>
        <w:jc w:val="both"/>
        <w:rPr>
          <w:rFonts w:ascii="Avenir Next LT Pro" w:hAnsi="Avenir Next LT Pro"/>
          <w:sz w:val="20"/>
          <w:szCs w:val="20"/>
          <w:lang w:val="fr-CD"/>
        </w:rPr>
      </w:pPr>
      <w:r w:rsidRPr="00D94338">
        <w:rPr>
          <w:rFonts w:ascii="Avenir Next LT Pro" w:hAnsi="Avenir Next LT Pro"/>
          <w:sz w:val="20"/>
          <w:szCs w:val="20"/>
          <w:lang w:val="fr-CD"/>
        </w:rPr>
        <w:t xml:space="preserve">Activité 1.3. </w:t>
      </w:r>
      <w:r w:rsidR="00C55F2A" w:rsidRPr="00D94338">
        <w:rPr>
          <w:rFonts w:ascii="Avenir Next LT Pro" w:hAnsi="Avenir Next LT Pro"/>
          <w:sz w:val="20"/>
          <w:szCs w:val="20"/>
          <w:lang w:val="fr-CD"/>
        </w:rPr>
        <w:t xml:space="preserve">Elaborer et appuyer la mise en œuvre de la </w:t>
      </w:r>
      <w:r w:rsidR="005800CE">
        <w:rPr>
          <w:rFonts w:ascii="Avenir Next LT Pro" w:hAnsi="Avenir Next LT Pro"/>
          <w:sz w:val="20"/>
          <w:szCs w:val="20"/>
          <w:lang w:val="fr-CD"/>
        </w:rPr>
        <w:t>S</w:t>
      </w:r>
      <w:r w:rsidR="00C55F2A" w:rsidRPr="00D94338">
        <w:rPr>
          <w:rFonts w:ascii="Avenir Next LT Pro" w:hAnsi="Avenir Next LT Pro"/>
          <w:sz w:val="20"/>
          <w:szCs w:val="20"/>
          <w:lang w:val="fr-CD"/>
        </w:rPr>
        <w:t xml:space="preserve">tratégie nationale de financement climatique de la CDN. </w:t>
      </w:r>
      <w:r w:rsidR="005800CE">
        <w:rPr>
          <w:rFonts w:ascii="Avenir Next LT Pro" w:hAnsi="Avenir Next LT Pro"/>
          <w:sz w:val="20"/>
          <w:szCs w:val="20"/>
          <w:lang w:val="fr-CD"/>
        </w:rPr>
        <w:t xml:space="preserve">Il s’agira </w:t>
      </w:r>
      <w:r w:rsidR="00812584">
        <w:rPr>
          <w:rFonts w:ascii="Avenir Next LT Pro" w:hAnsi="Avenir Next LT Pro"/>
          <w:sz w:val="20"/>
          <w:szCs w:val="20"/>
          <w:lang w:val="fr-CD"/>
        </w:rPr>
        <w:t xml:space="preserve">de réaliser une </w:t>
      </w:r>
      <w:r w:rsidR="000C7924">
        <w:rPr>
          <w:rFonts w:ascii="Avenir Next LT Pro" w:hAnsi="Avenir Next LT Pro"/>
          <w:sz w:val="20"/>
          <w:szCs w:val="20"/>
          <w:lang w:val="fr-CD"/>
        </w:rPr>
        <w:t xml:space="preserve">étude robuste </w:t>
      </w:r>
      <w:r w:rsidR="00944EF4">
        <w:rPr>
          <w:rFonts w:ascii="Avenir Next LT Pro" w:hAnsi="Avenir Next LT Pro"/>
          <w:sz w:val="20"/>
          <w:szCs w:val="20"/>
          <w:lang w:val="fr-CD"/>
        </w:rPr>
        <w:t xml:space="preserve">permettant d’identifier </w:t>
      </w:r>
      <w:r w:rsidR="007D26EA">
        <w:rPr>
          <w:rFonts w:ascii="Avenir Next LT Pro" w:hAnsi="Avenir Next LT Pro"/>
          <w:sz w:val="20"/>
          <w:szCs w:val="20"/>
          <w:lang w:val="fr-CD"/>
        </w:rPr>
        <w:t>les différentes opportunités et contraintes</w:t>
      </w:r>
      <w:r w:rsidR="00272C86">
        <w:rPr>
          <w:rFonts w:ascii="Avenir Next LT Pro" w:hAnsi="Avenir Next LT Pro"/>
          <w:sz w:val="20"/>
          <w:szCs w:val="20"/>
          <w:lang w:val="fr-CD"/>
        </w:rPr>
        <w:t xml:space="preserve"> et </w:t>
      </w:r>
      <w:r w:rsidR="007D26EA">
        <w:rPr>
          <w:rFonts w:ascii="Avenir Next LT Pro" w:hAnsi="Avenir Next LT Pro"/>
          <w:sz w:val="20"/>
          <w:szCs w:val="20"/>
          <w:lang w:val="fr-CD"/>
        </w:rPr>
        <w:t xml:space="preserve">solutions </w:t>
      </w:r>
      <w:r w:rsidR="00272C86">
        <w:rPr>
          <w:rFonts w:ascii="Avenir Next LT Pro" w:hAnsi="Avenir Next LT Pro"/>
          <w:sz w:val="20"/>
          <w:szCs w:val="20"/>
          <w:lang w:val="fr-CD"/>
        </w:rPr>
        <w:t xml:space="preserve">y afférentes </w:t>
      </w:r>
      <w:r w:rsidR="007D26EA">
        <w:rPr>
          <w:rFonts w:ascii="Avenir Next LT Pro" w:hAnsi="Avenir Next LT Pro"/>
          <w:sz w:val="20"/>
          <w:szCs w:val="20"/>
          <w:lang w:val="fr-CD"/>
        </w:rPr>
        <w:t>pour la mobilisation</w:t>
      </w:r>
      <w:r w:rsidR="00642F0F">
        <w:rPr>
          <w:rFonts w:ascii="Avenir Next LT Pro" w:hAnsi="Avenir Next LT Pro"/>
          <w:sz w:val="20"/>
          <w:szCs w:val="20"/>
          <w:lang w:val="fr-CD"/>
        </w:rPr>
        <w:t xml:space="preserve"> et </w:t>
      </w:r>
      <w:r w:rsidR="00A22CEB">
        <w:rPr>
          <w:rFonts w:ascii="Avenir Next LT Pro" w:hAnsi="Avenir Next LT Pro"/>
          <w:sz w:val="20"/>
          <w:szCs w:val="20"/>
          <w:lang w:val="fr-CD"/>
        </w:rPr>
        <w:t>le suivi</w:t>
      </w:r>
      <w:r w:rsidR="00642F0F">
        <w:rPr>
          <w:rFonts w:ascii="Avenir Next LT Pro" w:hAnsi="Avenir Next LT Pro"/>
          <w:sz w:val="20"/>
          <w:szCs w:val="20"/>
          <w:lang w:val="fr-CD"/>
        </w:rPr>
        <w:t>-</w:t>
      </w:r>
      <w:r w:rsidR="00A22CEB">
        <w:rPr>
          <w:rFonts w:ascii="Avenir Next LT Pro" w:hAnsi="Avenir Next LT Pro"/>
          <w:sz w:val="20"/>
          <w:szCs w:val="20"/>
          <w:lang w:val="fr-CD"/>
        </w:rPr>
        <w:t xml:space="preserve">évaluation des financements climatiques </w:t>
      </w:r>
      <w:r w:rsidR="005E1060">
        <w:rPr>
          <w:rFonts w:ascii="Avenir Next LT Pro" w:hAnsi="Avenir Next LT Pro"/>
          <w:sz w:val="20"/>
          <w:szCs w:val="20"/>
          <w:lang w:val="fr-CD"/>
        </w:rPr>
        <w:t xml:space="preserve">auquel </w:t>
      </w:r>
      <w:r w:rsidR="0020312F">
        <w:rPr>
          <w:rFonts w:ascii="Avenir Next LT Pro" w:hAnsi="Avenir Next LT Pro"/>
          <w:sz w:val="20"/>
          <w:szCs w:val="20"/>
          <w:lang w:val="fr-CD"/>
        </w:rPr>
        <w:t xml:space="preserve">la RDC peut aspirer </w:t>
      </w:r>
      <w:r w:rsidR="005E1060">
        <w:rPr>
          <w:rFonts w:ascii="Avenir Next LT Pro" w:hAnsi="Avenir Next LT Pro"/>
          <w:sz w:val="20"/>
          <w:szCs w:val="20"/>
          <w:lang w:val="fr-CD"/>
        </w:rPr>
        <w:t>aussi bien au niveau national qu’international</w:t>
      </w:r>
      <w:r w:rsidR="00642F0F">
        <w:rPr>
          <w:rFonts w:ascii="Avenir Next LT Pro" w:hAnsi="Avenir Next LT Pro"/>
          <w:sz w:val="20"/>
          <w:szCs w:val="20"/>
          <w:lang w:val="fr-CD"/>
        </w:rPr>
        <w:t xml:space="preserve"> pour la mise en œuvre effective </w:t>
      </w:r>
      <w:r w:rsidR="00BF25AF">
        <w:rPr>
          <w:rFonts w:ascii="Avenir Next LT Pro" w:hAnsi="Avenir Next LT Pro"/>
          <w:sz w:val="20"/>
          <w:szCs w:val="20"/>
          <w:lang w:val="fr-CD"/>
        </w:rPr>
        <w:t xml:space="preserve">des mesures conditionnelles et inconditionnelles de sa CDN. L’étude permettra de déterminer de manière spécifique </w:t>
      </w:r>
      <w:r w:rsidR="00382C6D">
        <w:rPr>
          <w:rFonts w:ascii="Avenir Next LT Pro" w:hAnsi="Avenir Next LT Pro"/>
          <w:sz w:val="20"/>
          <w:szCs w:val="20"/>
          <w:lang w:val="fr-CD"/>
        </w:rPr>
        <w:t>l’approche idéale pour la mobilisation des différents financements climatiques</w:t>
      </w:r>
      <w:r w:rsidR="007A0849">
        <w:rPr>
          <w:rFonts w:ascii="Avenir Next LT Pro" w:hAnsi="Avenir Next LT Pro"/>
          <w:sz w:val="20"/>
          <w:szCs w:val="20"/>
          <w:lang w:val="fr-CD"/>
        </w:rPr>
        <w:t xml:space="preserve">. </w:t>
      </w:r>
    </w:p>
    <w:p w14:paraId="607C9809" w14:textId="77777777" w:rsidR="00C55F2A" w:rsidRPr="00D94338" w:rsidRDefault="00C55F2A" w:rsidP="00C55F2A">
      <w:pPr>
        <w:pStyle w:val="Sansinterligne"/>
        <w:ind w:left="360"/>
        <w:jc w:val="both"/>
        <w:rPr>
          <w:rFonts w:ascii="Avenir Next LT Pro" w:hAnsi="Avenir Next LT Pro"/>
          <w:sz w:val="20"/>
          <w:szCs w:val="20"/>
          <w:lang w:val="fr-CD"/>
        </w:rPr>
      </w:pPr>
    </w:p>
    <w:p w14:paraId="26E1845C" w14:textId="42363A1C" w:rsidR="00C55F2A" w:rsidRPr="00C81C70" w:rsidRDefault="0050176F" w:rsidP="00964609">
      <w:pPr>
        <w:pStyle w:val="Sansinterligne"/>
        <w:ind w:left="1080" w:hanging="1080"/>
        <w:jc w:val="both"/>
        <w:rPr>
          <w:rFonts w:ascii="Avenir Next LT Pro" w:hAnsi="Avenir Next LT Pro" w:cstheme="minorHAnsi"/>
          <w:sz w:val="20"/>
          <w:szCs w:val="20"/>
        </w:rPr>
      </w:pPr>
      <w:r w:rsidRPr="00D94338">
        <w:rPr>
          <w:rFonts w:ascii="Avenir Next LT Pro" w:hAnsi="Avenir Next LT Pro"/>
          <w:sz w:val="20"/>
          <w:szCs w:val="20"/>
          <w:lang w:val="fr-CH"/>
        </w:rPr>
        <w:t xml:space="preserve">Activité 1.4. </w:t>
      </w:r>
      <w:r w:rsidR="00C55F2A" w:rsidRPr="00D94338">
        <w:rPr>
          <w:rFonts w:ascii="Avenir Next LT Pro" w:hAnsi="Avenir Next LT Pro"/>
          <w:sz w:val="20"/>
          <w:szCs w:val="20"/>
          <w:lang w:val="fr-CH"/>
        </w:rPr>
        <w:t xml:space="preserve">Finaliser le développement et opérationnalisation du système MRV de suivi et rapportage du progrès de la CDN (y compris les sauvegardes). </w:t>
      </w:r>
      <w:r w:rsidR="00884DC6">
        <w:rPr>
          <w:rFonts w:ascii="Avenir Next LT Pro" w:hAnsi="Avenir Next LT Pro"/>
          <w:sz w:val="20"/>
          <w:szCs w:val="20"/>
          <w:lang w:val="fr-CH"/>
        </w:rPr>
        <w:t xml:space="preserve">Il ‘s’agira de renforcer les capacités </w:t>
      </w:r>
      <w:r w:rsidR="007512CD">
        <w:rPr>
          <w:rFonts w:ascii="Avenir Next LT Pro" w:hAnsi="Avenir Next LT Pro"/>
          <w:sz w:val="20"/>
          <w:szCs w:val="20"/>
          <w:lang w:val="fr-CH"/>
        </w:rPr>
        <w:t xml:space="preserve">techniques </w:t>
      </w:r>
      <w:r w:rsidR="00B04AFC">
        <w:rPr>
          <w:rFonts w:ascii="Avenir Next LT Pro" w:hAnsi="Avenir Next LT Pro"/>
          <w:sz w:val="20"/>
          <w:szCs w:val="20"/>
          <w:lang w:val="fr-CH"/>
        </w:rPr>
        <w:t xml:space="preserve">et logistiques </w:t>
      </w:r>
      <w:r w:rsidR="007512CD">
        <w:rPr>
          <w:rFonts w:ascii="Avenir Next LT Pro" w:hAnsi="Avenir Next LT Pro"/>
          <w:sz w:val="20"/>
          <w:szCs w:val="20"/>
          <w:lang w:val="fr-CH"/>
        </w:rPr>
        <w:t xml:space="preserve">de la </w:t>
      </w:r>
      <w:r w:rsidR="007F412A">
        <w:rPr>
          <w:rFonts w:ascii="Avenir Next LT Pro" w:hAnsi="Avenir Next LT Pro"/>
          <w:sz w:val="20"/>
          <w:szCs w:val="20"/>
          <w:lang w:val="fr-CH"/>
        </w:rPr>
        <w:t>C</w:t>
      </w:r>
      <w:r w:rsidR="007512CD">
        <w:rPr>
          <w:rFonts w:ascii="Avenir Next LT Pro" w:hAnsi="Avenir Next LT Pro"/>
          <w:sz w:val="20"/>
          <w:szCs w:val="20"/>
          <w:lang w:val="fr-CH"/>
        </w:rPr>
        <w:t>ellule MRV-CDN du ministère</w:t>
      </w:r>
      <w:r w:rsidR="00B04AFC">
        <w:rPr>
          <w:rFonts w:ascii="Avenir Next LT Pro" w:hAnsi="Avenir Next LT Pro"/>
          <w:sz w:val="20"/>
          <w:szCs w:val="20"/>
          <w:lang w:val="fr-CH"/>
        </w:rPr>
        <w:t xml:space="preserve"> et </w:t>
      </w:r>
      <w:r w:rsidR="00A91190">
        <w:rPr>
          <w:rFonts w:ascii="Avenir Next LT Pro" w:hAnsi="Avenir Next LT Pro"/>
          <w:sz w:val="20"/>
          <w:szCs w:val="20"/>
          <w:lang w:val="fr-CH"/>
        </w:rPr>
        <w:t xml:space="preserve">d’appuyer le processus d’élaboration </w:t>
      </w:r>
      <w:r w:rsidR="00660C09">
        <w:rPr>
          <w:rFonts w:ascii="Avenir Next LT Pro" w:hAnsi="Avenir Next LT Pro"/>
          <w:sz w:val="20"/>
          <w:szCs w:val="20"/>
          <w:lang w:val="fr-CH"/>
        </w:rPr>
        <w:t>et soumission du Rapport biennal</w:t>
      </w:r>
      <w:r w:rsidR="00DD603F">
        <w:rPr>
          <w:rFonts w:ascii="Avenir Next LT Pro" w:hAnsi="Avenir Next LT Pro"/>
          <w:sz w:val="20"/>
          <w:szCs w:val="20"/>
          <w:lang w:val="fr-CH"/>
        </w:rPr>
        <w:t xml:space="preserve"> sur la transparence</w:t>
      </w:r>
      <w:r w:rsidR="005800CE">
        <w:rPr>
          <w:rFonts w:ascii="Avenir Next LT Pro" w:hAnsi="Avenir Next LT Pro"/>
          <w:sz w:val="20"/>
          <w:szCs w:val="20"/>
          <w:lang w:val="fr-CH"/>
        </w:rPr>
        <w:t xml:space="preserve"> conformément à l’Article 13 de l’Accord de Paris. </w:t>
      </w:r>
      <w:r w:rsidR="00660C09">
        <w:rPr>
          <w:rFonts w:ascii="Avenir Next LT Pro" w:hAnsi="Avenir Next LT Pro"/>
          <w:sz w:val="20"/>
          <w:szCs w:val="20"/>
          <w:lang w:val="fr-CH"/>
        </w:rPr>
        <w:t xml:space="preserve"> </w:t>
      </w:r>
      <w:bookmarkStart w:id="24" w:name="_Hlk151199914"/>
    </w:p>
    <w:bookmarkEnd w:id="24"/>
    <w:p w14:paraId="349F9743" w14:textId="77777777" w:rsidR="00C55F2A" w:rsidRPr="00C81C70" w:rsidRDefault="00C55F2A" w:rsidP="00C55F2A">
      <w:pPr>
        <w:pStyle w:val="Sansinterligne"/>
        <w:ind w:left="360"/>
        <w:jc w:val="both"/>
        <w:rPr>
          <w:rFonts w:ascii="Avenir Next LT Pro" w:hAnsi="Avenir Next LT Pro" w:cstheme="minorHAnsi"/>
          <w:sz w:val="20"/>
          <w:szCs w:val="20"/>
        </w:rPr>
      </w:pPr>
    </w:p>
    <w:p w14:paraId="697AB702" w14:textId="70DACBA6" w:rsidR="00C55F2A" w:rsidRPr="00D94338" w:rsidRDefault="006F2A25" w:rsidP="006F2A25">
      <w:pPr>
        <w:pStyle w:val="Sansinterligne"/>
        <w:ind w:left="1080" w:hanging="1080"/>
        <w:jc w:val="both"/>
        <w:rPr>
          <w:rFonts w:ascii="Avenir Next LT Pro" w:hAnsi="Avenir Next LT Pro" w:cstheme="minorHAnsi"/>
          <w:sz w:val="20"/>
          <w:szCs w:val="20"/>
          <w:lang w:val="fr-CD"/>
        </w:rPr>
      </w:pPr>
      <w:r w:rsidRPr="00D94338">
        <w:rPr>
          <w:rFonts w:ascii="Avenir Next LT Pro" w:hAnsi="Avenir Next LT Pro" w:cs="Calibri"/>
          <w:sz w:val="20"/>
          <w:szCs w:val="20"/>
        </w:rPr>
        <w:t xml:space="preserve">Activité 1.5. </w:t>
      </w:r>
      <w:r w:rsidR="00C55F2A" w:rsidRPr="00D94338">
        <w:rPr>
          <w:rFonts w:ascii="Avenir Next LT Pro" w:hAnsi="Avenir Next LT Pro" w:cs="Calibri"/>
          <w:sz w:val="20"/>
          <w:szCs w:val="20"/>
        </w:rPr>
        <w:t xml:space="preserve">Appuyer l’intégration/alignement de la CDN </w:t>
      </w:r>
      <w:r w:rsidR="00C55F2A" w:rsidRPr="00D94338">
        <w:rPr>
          <w:rFonts w:ascii="Avenir Next LT Pro" w:hAnsi="Avenir Next LT Pro" w:cstheme="minorHAnsi"/>
          <w:sz w:val="20"/>
          <w:szCs w:val="20"/>
          <w:lang w:val="fr-CD"/>
        </w:rPr>
        <w:t xml:space="preserve">dans les stratégies et les politiques nationales, provinciales et sectorielles (ex. ODD, PNSD, processus de budgétisation, etc.). </w:t>
      </w:r>
      <w:r w:rsidR="004705C8">
        <w:rPr>
          <w:rFonts w:ascii="Avenir Next LT Pro" w:hAnsi="Avenir Next LT Pro" w:cstheme="minorHAnsi"/>
          <w:sz w:val="20"/>
          <w:szCs w:val="20"/>
          <w:lang w:val="fr-CD"/>
        </w:rPr>
        <w:t xml:space="preserve">Il s’agira principalement de renforcer les capacités nationales </w:t>
      </w:r>
      <w:r w:rsidR="00296529">
        <w:rPr>
          <w:rFonts w:ascii="Avenir Next LT Pro" w:hAnsi="Avenir Next LT Pro" w:cstheme="minorHAnsi"/>
          <w:sz w:val="20"/>
          <w:szCs w:val="20"/>
          <w:lang w:val="fr-CD"/>
        </w:rPr>
        <w:t>en matière</w:t>
      </w:r>
      <w:r w:rsidR="00B17D4B">
        <w:rPr>
          <w:rFonts w:ascii="Avenir Next LT Pro" w:hAnsi="Avenir Next LT Pro" w:cstheme="minorHAnsi"/>
          <w:sz w:val="20"/>
          <w:szCs w:val="20"/>
          <w:lang w:val="fr-CD"/>
        </w:rPr>
        <w:t xml:space="preserve"> d’alignement de la CDN avec </w:t>
      </w:r>
      <w:r w:rsidR="00D21F00">
        <w:rPr>
          <w:rFonts w:ascii="Avenir Next LT Pro" w:hAnsi="Avenir Next LT Pro" w:cstheme="minorHAnsi"/>
          <w:sz w:val="20"/>
          <w:szCs w:val="20"/>
          <w:lang w:val="fr-CD"/>
        </w:rPr>
        <w:t xml:space="preserve">la mise en œuvre des stratégies et plan sectoriels, ainsi que des plans de développement provinciaux, </w:t>
      </w:r>
      <w:r w:rsidR="001542DD">
        <w:rPr>
          <w:rFonts w:ascii="Avenir Next LT Pro" w:hAnsi="Avenir Next LT Pro" w:cstheme="minorHAnsi"/>
          <w:sz w:val="20"/>
          <w:szCs w:val="20"/>
          <w:lang w:val="fr-CD"/>
        </w:rPr>
        <w:t>et de manière conséquente de l</w:t>
      </w:r>
      <w:r w:rsidR="00296529">
        <w:rPr>
          <w:rFonts w:ascii="Avenir Next LT Pro" w:hAnsi="Avenir Next LT Pro" w:cstheme="minorHAnsi"/>
          <w:sz w:val="20"/>
          <w:szCs w:val="20"/>
          <w:lang w:val="fr-CD"/>
        </w:rPr>
        <w:t xml:space="preserve">’intégration </w:t>
      </w:r>
      <w:r w:rsidR="00711ED8">
        <w:rPr>
          <w:rFonts w:ascii="Avenir Next LT Pro" w:hAnsi="Avenir Next LT Pro" w:cstheme="minorHAnsi"/>
          <w:sz w:val="20"/>
          <w:szCs w:val="20"/>
          <w:lang w:val="fr-CD"/>
        </w:rPr>
        <w:t xml:space="preserve">de la CDN </w:t>
      </w:r>
      <w:r w:rsidR="004705C8">
        <w:rPr>
          <w:rFonts w:ascii="Avenir Next LT Pro" w:hAnsi="Avenir Next LT Pro" w:cstheme="minorHAnsi"/>
          <w:sz w:val="20"/>
          <w:szCs w:val="20"/>
          <w:lang w:val="fr-CD"/>
        </w:rPr>
        <w:t xml:space="preserve">dans les </w:t>
      </w:r>
      <w:r w:rsidR="00296529">
        <w:rPr>
          <w:rFonts w:ascii="Avenir Next LT Pro" w:hAnsi="Avenir Next LT Pro" w:cstheme="minorHAnsi"/>
          <w:sz w:val="20"/>
          <w:szCs w:val="20"/>
          <w:lang w:val="fr-CD"/>
        </w:rPr>
        <w:t xml:space="preserve">processus </w:t>
      </w:r>
      <w:r w:rsidR="00711ED8">
        <w:rPr>
          <w:rFonts w:ascii="Avenir Next LT Pro" w:hAnsi="Avenir Next LT Pro" w:cstheme="minorHAnsi"/>
          <w:sz w:val="20"/>
          <w:szCs w:val="20"/>
          <w:lang w:val="fr-CD"/>
        </w:rPr>
        <w:t xml:space="preserve">de budgétisation </w:t>
      </w:r>
      <w:r w:rsidR="001542DD">
        <w:rPr>
          <w:rFonts w:ascii="Avenir Next LT Pro" w:hAnsi="Avenir Next LT Pro" w:cstheme="minorHAnsi"/>
          <w:sz w:val="20"/>
          <w:szCs w:val="20"/>
          <w:lang w:val="fr-CD"/>
        </w:rPr>
        <w:t xml:space="preserve">y </w:t>
      </w:r>
      <w:r w:rsidR="001821B1">
        <w:rPr>
          <w:rFonts w:ascii="Avenir Next LT Pro" w:hAnsi="Avenir Next LT Pro" w:cstheme="minorHAnsi"/>
          <w:sz w:val="20"/>
          <w:szCs w:val="20"/>
          <w:lang w:val="fr-CD"/>
        </w:rPr>
        <w:t xml:space="preserve">afférents. </w:t>
      </w:r>
    </w:p>
    <w:p w14:paraId="23CBC77B" w14:textId="77777777" w:rsidR="00C55F2A" w:rsidRPr="00D94338" w:rsidRDefault="00C55F2A" w:rsidP="00C55F2A">
      <w:pPr>
        <w:spacing w:after="0"/>
        <w:rPr>
          <w:rFonts w:ascii="Avenir Next LT Pro" w:hAnsi="Avenir Next LT Pro"/>
          <w:sz w:val="20"/>
          <w:szCs w:val="20"/>
        </w:rPr>
      </w:pPr>
    </w:p>
    <w:p w14:paraId="0ACC4371" w14:textId="77777777" w:rsidR="00857E0C" w:rsidRDefault="00C55F2A" w:rsidP="002E7937">
      <w:pPr>
        <w:spacing w:after="120"/>
        <w:ind w:left="1166" w:hanging="1166"/>
        <w:rPr>
          <w:rFonts w:ascii="Avenir Next LT Pro" w:hAnsi="Avenir Next LT Pro" w:cs="Calibri"/>
          <w:b/>
          <w:bCs/>
          <w:sz w:val="20"/>
          <w:szCs w:val="20"/>
        </w:rPr>
      </w:pPr>
      <w:r w:rsidRPr="00D94338">
        <w:rPr>
          <w:rFonts w:ascii="Avenir Next LT Pro" w:hAnsi="Avenir Next LT Pro" w:cs="Calibri"/>
          <w:b/>
          <w:bCs/>
          <w:sz w:val="20"/>
          <w:szCs w:val="20"/>
        </w:rPr>
        <w:t xml:space="preserve">PRODUIT 2. Le cadre de gouvernance pour le déploiement des marchés du carbone est développé </w:t>
      </w:r>
    </w:p>
    <w:p w14:paraId="5BB087E8" w14:textId="4E2B2F8D" w:rsidR="00C55F2A" w:rsidRPr="00B945CA" w:rsidRDefault="00F23ECF" w:rsidP="00B450EA">
      <w:pPr>
        <w:spacing w:after="0"/>
        <w:jc w:val="both"/>
        <w:rPr>
          <w:rFonts w:ascii="Avenir Next LT Pro" w:hAnsi="Avenir Next LT Pro" w:cs="Calibri"/>
          <w:b/>
          <w:bCs/>
          <w:sz w:val="20"/>
          <w:szCs w:val="20"/>
        </w:rPr>
      </w:pPr>
      <w:r w:rsidRPr="00B945CA">
        <w:rPr>
          <w:rFonts w:ascii="Avenir Next LT Pro" w:hAnsi="Avenir Next LT Pro" w:cs="Calibri"/>
          <w:sz w:val="20"/>
          <w:szCs w:val="20"/>
        </w:rPr>
        <w:t xml:space="preserve">Le </w:t>
      </w:r>
      <w:r w:rsidRPr="00B945CA">
        <w:rPr>
          <w:rFonts w:ascii="Avenir Next LT Pro" w:hAnsi="Avenir Next LT Pro" w:cs="Calibri"/>
          <w:b/>
          <w:bCs/>
          <w:sz w:val="20"/>
          <w:szCs w:val="20"/>
        </w:rPr>
        <w:t>Produit 2</w:t>
      </w:r>
      <w:r w:rsidRPr="00B945CA">
        <w:rPr>
          <w:rFonts w:ascii="Avenir Next LT Pro" w:hAnsi="Avenir Next LT Pro" w:cs="Calibri"/>
          <w:sz w:val="20"/>
          <w:szCs w:val="20"/>
        </w:rPr>
        <w:t xml:space="preserve"> </w:t>
      </w:r>
      <w:r w:rsidR="002E7937">
        <w:rPr>
          <w:rFonts w:ascii="Avenir Next LT Pro" w:hAnsi="Avenir Next LT Pro" w:cs="Calibri"/>
          <w:sz w:val="20"/>
          <w:szCs w:val="20"/>
        </w:rPr>
        <w:t xml:space="preserve">est mise en œuvre de manière complémentaire au Produit 1 et </w:t>
      </w:r>
      <w:r w:rsidR="00B945CA" w:rsidRPr="00B945CA">
        <w:rPr>
          <w:rFonts w:ascii="Avenir Next LT Pro" w:hAnsi="Avenir Next LT Pro" w:cs="Calibri"/>
          <w:sz w:val="20"/>
          <w:szCs w:val="20"/>
        </w:rPr>
        <w:t xml:space="preserve">vise </w:t>
      </w:r>
      <w:r w:rsidR="002E7937">
        <w:rPr>
          <w:rFonts w:ascii="Avenir Next LT Pro" w:hAnsi="Avenir Next LT Pro" w:cs="Calibri"/>
          <w:sz w:val="20"/>
          <w:szCs w:val="20"/>
        </w:rPr>
        <w:t>à renforcer le cadre</w:t>
      </w:r>
      <w:r w:rsidR="00B945CA" w:rsidRPr="00B945CA">
        <w:rPr>
          <w:rFonts w:ascii="Avenir Next LT Pro" w:hAnsi="Avenir Next LT Pro" w:cs="Calibri"/>
          <w:sz w:val="20"/>
          <w:szCs w:val="20"/>
        </w:rPr>
        <w:t xml:space="preserve"> institutionnel, stratégique, politique, et opérationnel</w:t>
      </w:r>
      <w:r w:rsidR="002E7937">
        <w:rPr>
          <w:rFonts w:ascii="Avenir Next LT Pro" w:hAnsi="Avenir Next LT Pro" w:cs="Calibri"/>
          <w:sz w:val="20"/>
          <w:szCs w:val="20"/>
        </w:rPr>
        <w:t xml:space="preserve"> pour un</w:t>
      </w:r>
      <w:r w:rsidR="00C9564E">
        <w:rPr>
          <w:rFonts w:ascii="Avenir Next LT Pro" w:hAnsi="Avenir Next LT Pro" w:cs="Calibri"/>
          <w:sz w:val="20"/>
          <w:szCs w:val="20"/>
        </w:rPr>
        <w:t xml:space="preserve"> accès effectif aux </w:t>
      </w:r>
      <w:r w:rsidR="001F5867">
        <w:rPr>
          <w:rFonts w:ascii="Avenir Next LT Pro" w:hAnsi="Avenir Next LT Pro" w:cs="Calibri"/>
          <w:sz w:val="20"/>
          <w:szCs w:val="20"/>
        </w:rPr>
        <w:t>marchés</w:t>
      </w:r>
      <w:r w:rsidR="00C9564E">
        <w:rPr>
          <w:rFonts w:ascii="Avenir Next LT Pro" w:hAnsi="Avenir Next LT Pro" w:cs="Calibri"/>
          <w:sz w:val="20"/>
          <w:szCs w:val="20"/>
        </w:rPr>
        <w:t xml:space="preserve"> du carbone comme approche stratégique pour la mobilisation des financements climatiques d’envergure </w:t>
      </w:r>
      <w:r w:rsidR="00B450EA">
        <w:rPr>
          <w:rFonts w:ascii="Avenir Next LT Pro" w:hAnsi="Avenir Next LT Pro" w:cs="Calibri"/>
          <w:sz w:val="20"/>
          <w:szCs w:val="20"/>
        </w:rPr>
        <w:t>pour la mise en œuvre effective de la CDN.</w:t>
      </w:r>
      <w:r w:rsidR="001F5867">
        <w:rPr>
          <w:rFonts w:ascii="Avenir Next LT Pro" w:hAnsi="Avenir Next LT Pro" w:cs="Calibri"/>
          <w:sz w:val="20"/>
          <w:szCs w:val="20"/>
        </w:rPr>
        <w:t xml:space="preserve"> </w:t>
      </w:r>
      <w:r w:rsidR="00F02444">
        <w:rPr>
          <w:rFonts w:ascii="Avenir Next LT Pro" w:hAnsi="Avenir Next LT Pro" w:cs="Calibri"/>
          <w:sz w:val="20"/>
          <w:szCs w:val="20"/>
        </w:rPr>
        <w:t>Le Produit sera exécuté partiellement par le MEDD et le Ministère des Finances</w:t>
      </w:r>
      <w:r w:rsidR="001E3046">
        <w:rPr>
          <w:rFonts w:ascii="Avenir Next LT Pro" w:hAnsi="Avenir Next LT Pro" w:cs="Calibri"/>
          <w:sz w:val="20"/>
          <w:szCs w:val="20"/>
        </w:rPr>
        <w:t>, avec l’appui du PNUD. Il s’agira principalement d</w:t>
      </w:r>
      <w:r w:rsidR="00763159">
        <w:rPr>
          <w:rFonts w:ascii="Avenir Next LT Pro" w:hAnsi="Avenir Next LT Pro" w:cs="Calibri"/>
          <w:sz w:val="20"/>
          <w:szCs w:val="20"/>
        </w:rPr>
        <w:t>e fournir une assistance technique en termes de renforcement des capacités et de mobilisation d’expertise technique.</w:t>
      </w:r>
      <w:r w:rsidR="008E2AE0">
        <w:rPr>
          <w:rFonts w:ascii="Avenir Next LT Pro" w:hAnsi="Avenir Next LT Pro" w:cs="Calibri"/>
          <w:sz w:val="20"/>
          <w:szCs w:val="20"/>
        </w:rPr>
        <w:t xml:space="preserve">. </w:t>
      </w:r>
      <w:r w:rsidR="00463F47">
        <w:rPr>
          <w:rFonts w:ascii="Avenir Next LT Pro" w:hAnsi="Avenir Next LT Pro" w:cs="Calibri"/>
          <w:sz w:val="20"/>
          <w:szCs w:val="20"/>
        </w:rPr>
        <w:t xml:space="preserve">Il s’agira également </w:t>
      </w:r>
      <w:r w:rsidR="001253FA">
        <w:rPr>
          <w:rFonts w:ascii="Avenir Next LT Pro" w:hAnsi="Avenir Next LT Pro" w:cs="Calibri"/>
          <w:sz w:val="20"/>
          <w:szCs w:val="20"/>
        </w:rPr>
        <w:t xml:space="preserve">au niveau logistique de l’organisation de voyage, </w:t>
      </w:r>
      <w:r w:rsidR="00A333AC">
        <w:rPr>
          <w:rFonts w:ascii="Avenir Next LT Pro" w:hAnsi="Avenir Next LT Pro" w:cs="Calibri"/>
          <w:sz w:val="20"/>
          <w:szCs w:val="20"/>
        </w:rPr>
        <w:t xml:space="preserve">et de l’organisation d’ateliers et de réunions. </w:t>
      </w:r>
    </w:p>
    <w:p w14:paraId="1E5AC166" w14:textId="77777777" w:rsidR="00C55F2A" w:rsidRPr="00D94338" w:rsidRDefault="00C55F2A" w:rsidP="00C55F2A">
      <w:pPr>
        <w:spacing w:after="0"/>
        <w:rPr>
          <w:rFonts w:ascii="Avenir Next LT Pro" w:hAnsi="Avenir Next LT Pro" w:cs="Calibri"/>
          <w:b/>
          <w:bCs/>
          <w:sz w:val="20"/>
          <w:szCs w:val="20"/>
        </w:rPr>
      </w:pPr>
    </w:p>
    <w:p w14:paraId="1ABA3209" w14:textId="69CC01EC" w:rsidR="00C55F2A" w:rsidRPr="00D94338" w:rsidRDefault="006F2A25" w:rsidP="006F2A25">
      <w:pPr>
        <w:spacing w:after="0"/>
        <w:ind w:left="1080" w:hanging="1080"/>
        <w:jc w:val="both"/>
        <w:rPr>
          <w:rFonts w:ascii="Avenir Next LT Pro" w:hAnsi="Avenir Next LT Pro" w:cs="Calibri"/>
          <w:sz w:val="20"/>
          <w:szCs w:val="20"/>
          <w:lang w:val="fr-CD"/>
        </w:rPr>
      </w:pPr>
      <w:bookmarkStart w:id="25" w:name="_Hlk147492726"/>
      <w:r w:rsidRPr="00D94338">
        <w:rPr>
          <w:rFonts w:ascii="Avenir Next LT Pro" w:eastAsia="Times New Roman" w:hAnsi="Avenir Next LT Pro" w:cstheme="minorHAnsi"/>
          <w:sz w:val="20"/>
          <w:szCs w:val="20"/>
          <w:lang w:val="fr-CD" w:eastAsia="fr-CD"/>
        </w:rPr>
        <w:t xml:space="preserve">Activité 2.1. </w:t>
      </w:r>
      <w:r w:rsidR="00C55F2A" w:rsidRPr="00D94338">
        <w:rPr>
          <w:rFonts w:ascii="Avenir Next LT Pro" w:eastAsia="Times New Roman" w:hAnsi="Avenir Next LT Pro" w:cstheme="minorHAnsi"/>
          <w:sz w:val="20"/>
          <w:szCs w:val="20"/>
          <w:lang w:val="fr-CD" w:eastAsia="fr-CD"/>
        </w:rPr>
        <w:t xml:space="preserve">Développer et appuyer la mise en œuvre d’une stratégie nationale d’accès aux marchés du carbone. </w:t>
      </w:r>
      <w:bookmarkStart w:id="26" w:name="_Hlk151200039"/>
      <w:r w:rsidR="001B0C99">
        <w:rPr>
          <w:rFonts w:ascii="Avenir Next LT Pro" w:eastAsia="Times New Roman" w:hAnsi="Avenir Next LT Pro" w:cstheme="minorHAnsi"/>
          <w:sz w:val="20"/>
          <w:szCs w:val="20"/>
          <w:lang w:val="fr-CD" w:eastAsia="fr-CD"/>
        </w:rPr>
        <w:t xml:space="preserve">Il s’agira de recruter l’expertise nationale et internationale </w:t>
      </w:r>
      <w:r w:rsidR="00424667">
        <w:rPr>
          <w:rFonts w:ascii="Avenir Next LT Pro" w:eastAsia="Times New Roman" w:hAnsi="Avenir Next LT Pro" w:cstheme="minorHAnsi"/>
          <w:sz w:val="20"/>
          <w:szCs w:val="20"/>
          <w:lang w:val="fr-CD" w:eastAsia="fr-CD"/>
        </w:rPr>
        <w:t xml:space="preserve">pour la formulation de la stratégie, y compris </w:t>
      </w:r>
      <w:r w:rsidR="00E40434">
        <w:rPr>
          <w:rFonts w:ascii="Avenir Next LT Pro" w:eastAsia="Times New Roman" w:hAnsi="Avenir Next LT Pro" w:cstheme="minorHAnsi"/>
          <w:sz w:val="20"/>
          <w:szCs w:val="20"/>
          <w:lang w:val="fr-CD" w:eastAsia="fr-CD"/>
        </w:rPr>
        <w:t xml:space="preserve">l’organisation d’ateliers de consultation publique, de </w:t>
      </w:r>
      <w:r w:rsidR="00D4215E">
        <w:rPr>
          <w:rFonts w:ascii="Avenir Next LT Pro" w:eastAsia="Times New Roman" w:hAnsi="Avenir Next LT Pro" w:cstheme="minorHAnsi"/>
          <w:sz w:val="20"/>
          <w:szCs w:val="20"/>
          <w:lang w:val="fr-CD" w:eastAsia="fr-CD"/>
        </w:rPr>
        <w:t>pré</w:t>
      </w:r>
      <w:r w:rsidR="00E40434">
        <w:rPr>
          <w:rFonts w:ascii="Avenir Next LT Pro" w:eastAsia="Times New Roman" w:hAnsi="Avenir Next LT Pro" w:cstheme="minorHAnsi"/>
          <w:sz w:val="20"/>
          <w:szCs w:val="20"/>
          <w:lang w:val="fr-CD" w:eastAsia="fr-CD"/>
        </w:rPr>
        <w:t>-</w:t>
      </w:r>
      <w:r w:rsidR="00D4215E">
        <w:rPr>
          <w:rFonts w:ascii="Avenir Next LT Pro" w:eastAsia="Times New Roman" w:hAnsi="Avenir Next LT Pro" w:cstheme="minorHAnsi"/>
          <w:sz w:val="20"/>
          <w:szCs w:val="20"/>
          <w:lang w:val="fr-CD" w:eastAsia="fr-CD"/>
        </w:rPr>
        <w:t xml:space="preserve">validation et de validation finale de la </w:t>
      </w:r>
      <w:r w:rsidR="002405F1">
        <w:rPr>
          <w:rFonts w:ascii="Avenir Next LT Pro" w:eastAsia="Times New Roman" w:hAnsi="Avenir Next LT Pro" w:cstheme="minorHAnsi"/>
          <w:sz w:val="20"/>
          <w:szCs w:val="20"/>
          <w:lang w:val="fr-CD" w:eastAsia="fr-CD"/>
        </w:rPr>
        <w:t>stratégie</w:t>
      </w:r>
      <w:r w:rsidR="00BD0385">
        <w:rPr>
          <w:rFonts w:ascii="Avenir Next LT Pro" w:eastAsia="Times New Roman" w:hAnsi="Avenir Next LT Pro" w:cstheme="minorHAnsi"/>
          <w:sz w:val="20"/>
          <w:szCs w:val="20"/>
          <w:lang w:val="fr-CD" w:eastAsia="fr-CD"/>
        </w:rPr>
        <w:t>, ainsi que la coordination avec les activités de communication du Projet en vue de sa vulgarisation au niveau national et provincial.</w:t>
      </w:r>
      <w:bookmarkEnd w:id="26"/>
    </w:p>
    <w:p w14:paraId="741E3DC9" w14:textId="77777777" w:rsidR="00C55F2A" w:rsidRPr="00D94338" w:rsidRDefault="00C55F2A" w:rsidP="00C55F2A">
      <w:pPr>
        <w:pStyle w:val="Paragraphedeliste"/>
        <w:spacing w:after="0" w:line="240" w:lineRule="auto"/>
        <w:ind w:left="360"/>
        <w:jc w:val="both"/>
        <w:rPr>
          <w:rFonts w:ascii="Avenir Next LT Pro" w:hAnsi="Avenir Next LT Pro" w:cs="Calibri"/>
          <w:sz w:val="20"/>
          <w:szCs w:val="20"/>
          <w:lang w:val="fr-CD"/>
        </w:rPr>
      </w:pPr>
    </w:p>
    <w:p w14:paraId="1855FCB2" w14:textId="24A35707" w:rsidR="00763159" w:rsidRDefault="006F2A25" w:rsidP="006F2A25">
      <w:pPr>
        <w:spacing w:after="0"/>
        <w:ind w:left="1080" w:hanging="1080"/>
        <w:jc w:val="both"/>
        <w:rPr>
          <w:rFonts w:ascii="Avenir Next LT Pro" w:hAnsi="Avenir Next LT Pro"/>
          <w:sz w:val="20"/>
          <w:szCs w:val="20"/>
          <w:lang w:val="fr-CH"/>
        </w:rPr>
      </w:pPr>
      <w:r w:rsidRPr="00D94338">
        <w:rPr>
          <w:rFonts w:ascii="Avenir Next LT Pro" w:hAnsi="Avenir Next LT Pro"/>
          <w:sz w:val="20"/>
          <w:szCs w:val="20"/>
          <w:lang w:val="fr-CH"/>
        </w:rPr>
        <w:t xml:space="preserve">Activité 2.2. </w:t>
      </w:r>
      <w:r w:rsidR="00C55F2A" w:rsidRPr="00D94338">
        <w:rPr>
          <w:rFonts w:ascii="Avenir Next LT Pro" w:hAnsi="Avenir Next LT Pro"/>
          <w:sz w:val="20"/>
          <w:szCs w:val="20"/>
          <w:lang w:val="fr-CH"/>
        </w:rPr>
        <w:t>Appuyer l’opérationnalisation de l’Autorité de Régulation du Marché de Carbone</w:t>
      </w:r>
      <w:r w:rsidR="00511F5C">
        <w:rPr>
          <w:rFonts w:ascii="Avenir Next LT Pro" w:hAnsi="Avenir Next LT Pro"/>
          <w:sz w:val="20"/>
          <w:szCs w:val="20"/>
          <w:lang w:val="fr-CH"/>
        </w:rPr>
        <w:t xml:space="preserve"> (ARMCA)</w:t>
      </w:r>
      <w:r w:rsidR="00C55F2A" w:rsidRPr="00D94338">
        <w:rPr>
          <w:rFonts w:ascii="Avenir Next LT Pro" w:hAnsi="Avenir Next LT Pro"/>
          <w:sz w:val="20"/>
          <w:szCs w:val="20"/>
          <w:lang w:val="fr-CH"/>
        </w:rPr>
        <w:t xml:space="preserve">. </w:t>
      </w:r>
      <w:r w:rsidR="0019604A">
        <w:rPr>
          <w:rFonts w:ascii="Avenir Next LT Pro" w:hAnsi="Avenir Next LT Pro"/>
          <w:sz w:val="20"/>
          <w:szCs w:val="20"/>
          <w:lang w:val="fr-CH"/>
        </w:rPr>
        <w:t xml:space="preserve">Il s’agira </w:t>
      </w:r>
      <w:r w:rsidR="00872FC3">
        <w:rPr>
          <w:rFonts w:ascii="Avenir Next LT Pro" w:hAnsi="Avenir Next LT Pro"/>
          <w:sz w:val="20"/>
          <w:szCs w:val="20"/>
          <w:lang w:val="fr-CH"/>
        </w:rPr>
        <w:t xml:space="preserve">d’une part </w:t>
      </w:r>
      <w:r w:rsidR="00763159">
        <w:rPr>
          <w:rFonts w:ascii="Avenir Next LT Pro" w:hAnsi="Avenir Next LT Pro"/>
          <w:sz w:val="20"/>
          <w:szCs w:val="20"/>
          <w:lang w:val="fr-CH"/>
        </w:rPr>
        <w:t xml:space="preserve">d’accompagner l’ARMCA dans l’opérationnalisation des différentes dispositions liées à son fonctionnement élaborées avec l’appui de US Forest Service. </w:t>
      </w:r>
      <w:r w:rsidR="00872FC3">
        <w:rPr>
          <w:rFonts w:ascii="Avenir Next LT Pro" w:hAnsi="Avenir Next LT Pro"/>
          <w:sz w:val="20"/>
          <w:szCs w:val="20"/>
          <w:lang w:val="fr-CH"/>
        </w:rPr>
        <w:t>Aussi, il s’agira prioritairement sur le plan technique, d’une mise à niveau du personnel de l’entité ainsi qu’un appui technique à la planification et la mise en œuvre des activités par le biais de la mobilisation d’une expertise internationale ou nationale</w:t>
      </w:r>
      <w:r w:rsidR="00872FC3" w:rsidRPr="00872FC3">
        <w:rPr>
          <w:rFonts w:ascii="Avenir Next LT Pro" w:hAnsi="Avenir Next LT Pro"/>
          <w:sz w:val="20"/>
          <w:szCs w:val="20"/>
          <w:lang w:val="fr-CH"/>
        </w:rPr>
        <w:t xml:space="preserve"> </w:t>
      </w:r>
      <w:r w:rsidR="00872FC3">
        <w:rPr>
          <w:rFonts w:ascii="Avenir Next LT Pro" w:hAnsi="Avenir Next LT Pro"/>
          <w:sz w:val="20"/>
          <w:szCs w:val="20"/>
          <w:lang w:val="fr-CH"/>
        </w:rPr>
        <w:t xml:space="preserve">afin de mieux outiller le personnel de </w:t>
      </w:r>
      <w:r w:rsidR="0068224E">
        <w:rPr>
          <w:rFonts w:ascii="Avenir Next LT Pro" w:hAnsi="Avenir Next LT Pro"/>
          <w:sz w:val="20"/>
          <w:szCs w:val="20"/>
          <w:lang w:val="fr-CH"/>
        </w:rPr>
        <w:t>l’ARMCA à</w:t>
      </w:r>
      <w:r w:rsidR="00872FC3">
        <w:rPr>
          <w:rFonts w:ascii="Avenir Next LT Pro" w:hAnsi="Avenir Next LT Pro"/>
          <w:sz w:val="20"/>
          <w:szCs w:val="20"/>
          <w:lang w:val="fr-CH"/>
        </w:rPr>
        <w:t xml:space="preserve"> remplir pleinement leur mission. D’autre part, il s’agira d’apporter un appui logistique (ex. véhicule, bureaux et matériel de bureau)</w:t>
      </w:r>
    </w:p>
    <w:p w14:paraId="473542E7" w14:textId="4C4B778E" w:rsidR="00C55F2A" w:rsidRPr="00D94338" w:rsidRDefault="00C55F2A" w:rsidP="006F2A25">
      <w:pPr>
        <w:spacing w:after="0"/>
        <w:ind w:left="1080" w:hanging="1080"/>
        <w:jc w:val="both"/>
        <w:rPr>
          <w:rFonts w:ascii="Avenir Next LT Pro" w:hAnsi="Avenir Next LT Pro" w:cs="Calibri"/>
          <w:sz w:val="20"/>
          <w:szCs w:val="20"/>
          <w:lang w:val="fr-CD"/>
        </w:rPr>
      </w:pPr>
    </w:p>
    <w:p w14:paraId="61546D8F" w14:textId="77777777" w:rsidR="00C55F2A" w:rsidRPr="00D94338" w:rsidRDefault="00C55F2A" w:rsidP="00C55F2A">
      <w:pPr>
        <w:pStyle w:val="Sansinterligne"/>
        <w:ind w:left="360"/>
        <w:jc w:val="both"/>
        <w:rPr>
          <w:rFonts w:ascii="Avenir Next LT Pro" w:hAnsi="Avenir Next LT Pro" w:cstheme="minorHAnsi"/>
          <w:sz w:val="20"/>
          <w:szCs w:val="20"/>
          <w:lang w:val="fr-CD"/>
        </w:rPr>
      </w:pPr>
    </w:p>
    <w:p w14:paraId="2374EE52" w14:textId="3B1CD751" w:rsidR="00C55F2A" w:rsidRDefault="00DD7EE3" w:rsidP="00D94338">
      <w:pPr>
        <w:pStyle w:val="Sansinterligne"/>
        <w:ind w:left="1080" w:hanging="1080"/>
        <w:jc w:val="both"/>
        <w:rPr>
          <w:rFonts w:ascii="Avenir Next LT Pro" w:hAnsi="Avenir Next LT Pro"/>
          <w:sz w:val="20"/>
          <w:szCs w:val="20"/>
          <w:lang w:val="fr-CH"/>
        </w:rPr>
      </w:pPr>
      <w:r w:rsidRPr="00D94338">
        <w:rPr>
          <w:rFonts w:ascii="Avenir Next LT Pro" w:hAnsi="Avenir Next LT Pro" w:cs="Calibri"/>
          <w:sz w:val="20"/>
          <w:szCs w:val="20"/>
          <w:lang w:val="fr-CD"/>
        </w:rPr>
        <w:t>A</w:t>
      </w:r>
      <w:r w:rsidR="006F2A25" w:rsidRPr="00D94338">
        <w:rPr>
          <w:rFonts w:ascii="Avenir Next LT Pro" w:hAnsi="Avenir Next LT Pro" w:cs="Calibri"/>
          <w:sz w:val="20"/>
          <w:szCs w:val="20"/>
          <w:lang w:val="fr-CD"/>
        </w:rPr>
        <w:t xml:space="preserve">ctivité 2.3. </w:t>
      </w:r>
      <w:r w:rsidR="00006B4F">
        <w:rPr>
          <w:rFonts w:ascii="Avenir Next LT Pro" w:hAnsi="Avenir Next LT Pro" w:cs="Calibri"/>
          <w:sz w:val="20"/>
          <w:szCs w:val="20"/>
          <w:lang w:val="fr-CD"/>
        </w:rPr>
        <w:t>Développer</w:t>
      </w:r>
      <w:r w:rsidR="00BA472B">
        <w:rPr>
          <w:rFonts w:ascii="Avenir Next LT Pro" w:hAnsi="Avenir Next LT Pro" w:cs="Calibri"/>
          <w:sz w:val="20"/>
          <w:szCs w:val="20"/>
          <w:lang w:val="fr-CD"/>
        </w:rPr>
        <w:t>/finaliser</w:t>
      </w:r>
      <w:r w:rsidR="00006B4F" w:rsidRPr="00D94338">
        <w:rPr>
          <w:rFonts w:ascii="Avenir Next LT Pro" w:hAnsi="Avenir Next LT Pro" w:cs="Calibri"/>
          <w:sz w:val="20"/>
          <w:szCs w:val="20"/>
          <w:lang w:val="fr-CD"/>
        </w:rPr>
        <w:t xml:space="preserve"> </w:t>
      </w:r>
      <w:r w:rsidR="00C55F2A" w:rsidRPr="00D94338">
        <w:rPr>
          <w:rFonts w:ascii="Avenir Next LT Pro" w:hAnsi="Avenir Next LT Pro" w:cs="Calibri"/>
          <w:sz w:val="20"/>
          <w:szCs w:val="20"/>
          <w:lang w:val="fr-CD"/>
        </w:rPr>
        <w:t xml:space="preserve">et opérationnaliser les infrastructures essentielles des marchés du carbone </w:t>
      </w:r>
      <w:r w:rsidR="00C55F2A" w:rsidRPr="00D94338">
        <w:rPr>
          <w:rFonts w:ascii="Avenir Next LT Pro" w:hAnsi="Avenir Next LT Pro"/>
          <w:sz w:val="20"/>
          <w:szCs w:val="20"/>
          <w:lang w:val="fr-CH"/>
        </w:rPr>
        <w:t>registre </w:t>
      </w:r>
      <w:r w:rsidR="00275A72">
        <w:rPr>
          <w:rFonts w:ascii="Avenir Next LT Pro" w:hAnsi="Avenir Next LT Pro"/>
          <w:sz w:val="20"/>
          <w:szCs w:val="20"/>
          <w:lang w:val="fr-CH"/>
        </w:rPr>
        <w:t>national carbone</w:t>
      </w:r>
      <w:r w:rsidR="00C55F2A" w:rsidRPr="00D94338">
        <w:rPr>
          <w:rFonts w:ascii="Avenir Next LT Pro" w:hAnsi="Avenir Next LT Pro"/>
          <w:sz w:val="20"/>
          <w:szCs w:val="20"/>
          <w:lang w:val="fr-CH"/>
        </w:rPr>
        <w:t xml:space="preserve">; arrangements de </w:t>
      </w:r>
      <w:proofErr w:type="spellStart"/>
      <w:r w:rsidR="00C55F2A" w:rsidRPr="00D94338">
        <w:rPr>
          <w:rFonts w:ascii="Avenir Next LT Pro" w:hAnsi="Avenir Next LT Pro"/>
          <w:i/>
          <w:iCs/>
          <w:sz w:val="20"/>
          <w:szCs w:val="20"/>
          <w:lang w:val="fr-CH"/>
        </w:rPr>
        <w:t>nesting</w:t>
      </w:r>
      <w:proofErr w:type="spellEnd"/>
      <w:r w:rsidR="00C55F2A" w:rsidRPr="00D94338">
        <w:rPr>
          <w:rFonts w:ascii="Avenir Next LT Pro" w:hAnsi="Avenir Next LT Pro"/>
          <w:i/>
          <w:iCs/>
          <w:sz w:val="20"/>
          <w:szCs w:val="20"/>
          <w:lang w:val="fr-CH"/>
        </w:rPr>
        <w:t xml:space="preserve"> ; </w:t>
      </w:r>
      <w:r w:rsidR="00C55F2A" w:rsidRPr="00D94338">
        <w:rPr>
          <w:rFonts w:ascii="Avenir Next LT Pro" w:hAnsi="Avenir Next LT Pro"/>
          <w:sz w:val="20"/>
          <w:szCs w:val="20"/>
          <w:lang w:val="fr-CH"/>
        </w:rPr>
        <w:t>comptabilité du carbone ; mécanisme de réclamations et recours, etc.)</w:t>
      </w:r>
      <w:r w:rsidR="00936E0D">
        <w:rPr>
          <w:rFonts w:ascii="Avenir Next LT Pro" w:hAnsi="Avenir Next LT Pro"/>
          <w:sz w:val="20"/>
          <w:szCs w:val="20"/>
          <w:lang w:val="fr-CH"/>
        </w:rPr>
        <w:t xml:space="preserve"> suivant une approche participative</w:t>
      </w:r>
      <w:r w:rsidR="00C55F2A" w:rsidRPr="00D94338">
        <w:rPr>
          <w:rFonts w:ascii="Avenir Next LT Pro" w:hAnsi="Avenir Next LT Pro"/>
          <w:sz w:val="20"/>
          <w:szCs w:val="20"/>
          <w:lang w:val="fr-CH"/>
        </w:rPr>
        <w:t xml:space="preserve">. </w:t>
      </w:r>
      <w:r w:rsidR="007478C4">
        <w:rPr>
          <w:rFonts w:ascii="Avenir Next LT Pro" w:hAnsi="Avenir Next LT Pro"/>
          <w:sz w:val="20"/>
          <w:szCs w:val="20"/>
          <w:lang w:val="fr-CH"/>
        </w:rPr>
        <w:t xml:space="preserve">Il s’agira </w:t>
      </w:r>
      <w:r w:rsidR="00430381">
        <w:rPr>
          <w:rFonts w:ascii="Avenir Next LT Pro" w:hAnsi="Avenir Next LT Pro"/>
          <w:sz w:val="20"/>
          <w:szCs w:val="20"/>
          <w:lang w:val="fr-CH"/>
        </w:rPr>
        <w:t>particulièrement de mobiliser</w:t>
      </w:r>
      <w:r w:rsidR="00BA472B">
        <w:rPr>
          <w:rFonts w:ascii="Avenir Next LT Pro" w:hAnsi="Avenir Next LT Pro"/>
          <w:sz w:val="20"/>
          <w:szCs w:val="20"/>
          <w:lang w:val="fr-CH"/>
        </w:rPr>
        <w:t xml:space="preserve"> l’expertise nationale et internationale </w:t>
      </w:r>
      <w:r w:rsidR="00EE11B5">
        <w:rPr>
          <w:rFonts w:ascii="Avenir Next LT Pro" w:hAnsi="Avenir Next LT Pro"/>
          <w:sz w:val="20"/>
          <w:szCs w:val="20"/>
          <w:lang w:val="fr-CH"/>
        </w:rPr>
        <w:t xml:space="preserve">pour accompagner la mise en place des infrastructures des marchés du carbone. </w:t>
      </w:r>
      <w:r w:rsidR="00430381">
        <w:rPr>
          <w:rFonts w:ascii="Avenir Next LT Pro" w:hAnsi="Avenir Next LT Pro"/>
          <w:sz w:val="20"/>
          <w:szCs w:val="20"/>
          <w:lang w:val="fr-CH"/>
        </w:rPr>
        <w:t xml:space="preserve"> </w:t>
      </w:r>
      <w:r w:rsidR="00D43FA7">
        <w:rPr>
          <w:rFonts w:ascii="Avenir Next LT Pro" w:hAnsi="Avenir Next LT Pro"/>
          <w:sz w:val="20"/>
          <w:szCs w:val="20"/>
          <w:lang w:val="fr-CH"/>
        </w:rPr>
        <w:t xml:space="preserve">Cela impliquera entre autres, le recrutement d’une firme internationale </w:t>
      </w:r>
      <w:r w:rsidR="00C70DFC">
        <w:rPr>
          <w:rFonts w:ascii="Avenir Next LT Pro" w:hAnsi="Avenir Next LT Pro"/>
          <w:sz w:val="20"/>
          <w:szCs w:val="20"/>
          <w:lang w:val="fr-CH"/>
        </w:rPr>
        <w:t xml:space="preserve">pour le travail d’extension du registre national REDD+ </w:t>
      </w:r>
      <w:r w:rsidR="00D94255">
        <w:rPr>
          <w:rFonts w:ascii="Avenir Next LT Pro" w:hAnsi="Avenir Next LT Pro"/>
          <w:sz w:val="20"/>
          <w:szCs w:val="20"/>
          <w:lang w:val="fr-CH"/>
        </w:rPr>
        <w:t xml:space="preserve">au registre national carbone, ainsi que </w:t>
      </w:r>
      <w:r w:rsidR="00420998">
        <w:rPr>
          <w:rFonts w:ascii="Avenir Next LT Pro" w:hAnsi="Avenir Next LT Pro"/>
          <w:sz w:val="20"/>
          <w:szCs w:val="20"/>
          <w:lang w:val="fr-CH"/>
        </w:rPr>
        <w:t xml:space="preserve">le développement d’un système de comptabilité carbone et </w:t>
      </w:r>
      <w:r w:rsidR="00D94255">
        <w:rPr>
          <w:rFonts w:ascii="Avenir Next LT Pro" w:hAnsi="Avenir Next LT Pro"/>
          <w:sz w:val="20"/>
          <w:szCs w:val="20"/>
          <w:lang w:val="fr-CH"/>
        </w:rPr>
        <w:t xml:space="preserve">son arrimage </w:t>
      </w:r>
      <w:r w:rsidR="00420998">
        <w:rPr>
          <w:rFonts w:ascii="Avenir Next LT Pro" w:hAnsi="Avenir Next LT Pro"/>
          <w:sz w:val="20"/>
          <w:szCs w:val="20"/>
          <w:lang w:val="fr-CH"/>
        </w:rPr>
        <w:t xml:space="preserve">avec le registre </w:t>
      </w:r>
      <w:r w:rsidR="00BB243D">
        <w:rPr>
          <w:rFonts w:ascii="Avenir Next LT Pro" w:hAnsi="Avenir Next LT Pro"/>
          <w:sz w:val="20"/>
          <w:szCs w:val="20"/>
          <w:lang w:val="fr-CH"/>
        </w:rPr>
        <w:t>national REDD+</w:t>
      </w:r>
      <w:r w:rsidR="00AF6CF0">
        <w:rPr>
          <w:rFonts w:ascii="Avenir Next LT Pro" w:hAnsi="Avenir Next LT Pro"/>
          <w:sz w:val="20"/>
          <w:szCs w:val="20"/>
          <w:lang w:val="fr-CH"/>
        </w:rPr>
        <w:t xml:space="preserve"> et le système MRV</w:t>
      </w:r>
      <w:r w:rsidR="00200CDF">
        <w:rPr>
          <w:rFonts w:ascii="Avenir Next LT Pro" w:hAnsi="Avenir Next LT Pro"/>
          <w:sz w:val="20"/>
          <w:szCs w:val="20"/>
          <w:lang w:val="fr-CH"/>
        </w:rPr>
        <w:t xml:space="preserve"> de la NDC</w:t>
      </w:r>
      <w:r w:rsidR="00BB243D">
        <w:rPr>
          <w:rFonts w:ascii="Avenir Next LT Pro" w:hAnsi="Avenir Next LT Pro"/>
          <w:sz w:val="20"/>
          <w:szCs w:val="20"/>
          <w:lang w:val="fr-CH"/>
        </w:rPr>
        <w:t xml:space="preserve">. </w:t>
      </w:r>
      <w:r w:rsidR="00825DF8">
        <w:rPr>
          <w:rFonts w:ascii="Avenir Next LT Pro" w:hAnsi="Avenir Next LT Pro"/>
          <w:sz w:val="20"/>
          <w:szCs w:val="20"/>
          <w:lang w:val="fr-CH"/>
        </w:rPr>
        <w:t xml:space="preserve">Cela implique par ailleurs </w:t>
      </w:r>
      <w:r w:rsidR="00167E65">
        <w:rPr>
          <w:rFonts w:ascii="Avenir Next LT Pro" w:hAnsi="Avenir Next LT Pro"/>
          <w:sz w:val="20"/>
          <w:szCs w:val="20"/>
          <w:lang w:val="fr-CH"/>
        </w:rPr>
        <w:t xml:space="preserve">le recrutement </w:t>
      </w:r>
      <w:r w:rsidR="00C4681C">
        <w:rPr>
          <w:rFonts w:ascii="Avenir Next LT Pro" w:hAnsi="Avenir Next LT Pro"/>
          <w:sz w:val="20"/>
          <w:szCs w:val="20"/>
          <w:lang w:val="fr-CH"/>
        </w:rPr>
        <w:t xml:space="preserve">de consultants national et international pour </w:t>
      </w:r>
      <w:r w:rsidR="007C1873">
        <w:rPr>
          <w:rFonts w:ascii="Avenir Next LT Pro" w:hAnsi="Avenir Next LT Pro"/>
          <w:sz w:val="20"/>
          <w:szCs w:val="20"/>
          <w:lang w:val="fr-CH"/>
        </w:rPr>
        <w:t xml:space="preserve">le développement du cadre de </w:t>
      </w:r>
      <w:proofErr w:type="spellStart"/>
      <w:r w:rsidR="007C1873">
        <w:rPr>
          <w:rFonts w:ascii="Avenir Next LT Pro" w:hAnsi="Avenir Next LT Pro"/>
          <w:sz w:val="20"/>
          <w:szCs w:val="20"/>
          <w:lang w:val="fr-CH"/>
        </w:rPr>
        <w:t>nesting</w:t>
      </w:r>
      <w:proofErr w:type="spellEnd"/>
      <w:r w:rsidR="007C1873">
        <w:rPr>
          <w:rFonts w:ascii="Avenir Next LT Pro" w:hAnsi="Avenir Next LT Pro"/>
          <w:sz w:val="20"/>
          <w:szCs w:val="20"/>
          <w:lang w:val="fr-CH"/>
        </w:rPr>
        <w:t xml:space="preserve">. </w:t>
      </w:r>
      <w:r w:rsidR="00C0637D">
        <w:rPr>
          <w:rFonts w:ascii="Avenir Next LT Pro" w:hAnsi="Avenir Next LT Pro"/>
          <w:sz w:val="20"/>
          <w:szCs w:val="20"/>
          <w:lang w:val="fr-CH"/>
        </w:rPr>
        <w:t xml:space="preserve">Les infrastructures développées feront l’objet de </w:t>
      </w:r>
      <w:r w:rsidR="0048072A">
        <w:rPr>
          <w:rFonts w:ascii="Avenir Next LT Pro" w:hAnsi="Avenir Next LT Pro"/>
          <w:sz w:val="20"/>
          <w:szCs w:val="20"/>
          <w:lang w:val="fr-CH"/>
        </w:rPr>
        <w:t xml:space="preserve">validation nationale dans le cadre d’ateliers de consultation et/ou validation. </w:t>
      </w:r>
    </w:p>
    <w:p w14:paraId="10B8D381" w14:textId="77777777" w:rsidR="005F47BA" w:rsidRPr="00D94338" w:rsidRDefault="005F47BA" w:rsidP="00D94338">
      <w:pPr>
        <w:pStyle w:val="Sansinterligne"/>
        <w:ind w:left="1080" w:hanging="1080"/>
        <w:jc w:val="both"/>
        <w:rPr>
          <w:lang w:val="fr-CD"/>
        </w:rPr>
      </w:pPr>
    </w:p>
    <w:p w14:paraId="661DFF49" w14:textId="477D68AF" w:rsidR="00C55F2A" w:rsidRDefault="00DD7EE3" w:rsidP="00D94338">
      <w:pPr>
        <w:spacing w:after="0"/>
        <w:ind w:left="1080" w:hanging="1080"/>
        <w:jc w:val="both"/>
        <w:rPr>
          <w:rFonts w:ascii="Avenir Next LT Pro" w:hAnsi="Avenir Next LT Pro"/>
          <w:sz w:val="20"/>
          <w:szCs w:val="20"/>
          <w:lang w:val="fr-CH"/>
        </w:rPr>
      </w:pPr>
      <w:r w:rsidRPr="00D94338">
        <w:rPr>
          <w:rFonts w:ascii="Avenir Next LT Pro" w:hAnsi="Avenir Next LT Pro"/>
          <w:sz w:val="20"/>
          <w:szCs w:val="20"/>
          <w:lang w:val="fr-CH"/>
        </w:rPr>
        <w:t xml:space="preserve">Activité 2.4. </w:t>
      </w:r>
      <w:r w:rsidR="008D0EB8">
        <w:rPr>
          <w:rFonts w:ascii="Avenir Next LT Pro" w:hAnsi="Avenir Next LT Pro"/>
          <w:sz w:val="20"/>
          <w:szCs w:val="20"/>
          <w:lang w:val="fr-CH"/>
        </w:rPr>
        <w:t xml:space="preserve">Appuyer l’élaboration </w:t>
      </w:r>
      <w:r w:rsidR="008D0EB8" w:rsidRPr="000531B9">
        <w:rPr>
          <w:rFonts w:ascii="Avenir Next LT Pro" w:hAnsi="Avenir Next LT Pro"/>
          <w:sz w:val="20"/>
          <w:szCs w:val="20"/>
          <w:lang w:val="fr-CH"/>
        </w:rPr>
        <w:t>du cadre réglementaire pour l’opérationnalisation des marchés du carbone </w:t>
      </w:r>
      <w:r w:rsidR="008D0EB8" w:rsidRPr="00B85501">
        <w:rPr>
          <w:rFonts w:ascii="Avenir Next LT Pro" w:hAnsi="Avenir Next LT Pro"/>
          <w:sz w:val="20"/>
          <w:szCs w:val="20"/>
          <w:lang w:val="fr-CH"/>
        </w:rPr>
        <w:t>et</w:t>
      </w:r>
      <w:r w:rsidR="005F47BA" w:rsidRPr="00B85501">
        <w:rPr>
          <w:rFonts w:ascii="Avenir Next LT Pro" w:hAnsi="Avenir Next LT Pro"/>
          <w:sz w:val="20"/>
          <w:szCs w:val="20"/>
          <w:lang w:val="fr-CH"/>
        </w:rPr>
        <w:t xml:space="preserve"> </w:t>
      </w:r>
      <w:r w:rsidR="008D0EB8" w:rsidRPr="00B85501">
        <w:rPr>
          <w:rFonts w:ascii="Avenir Next LT Pro" w:hAnsi="Avenir Next LT Pro"/>
          <w:sz w:val="20"/>
          <w:szCs w:val="20"/>
          <w:lang w:val="fr-CH"/>
        </w:rPr>
        <w:t>sa soumission au conseil des ministres pour adoption</w:t>
      </w:r>
      <w:r w:rsidR="008D0EB8" w:rsidRPr="00BC0E41">
        <w:rPr>
          <w:rFonts w:ascii="Avenir Next LT Pro" w:hAnsi="Avenir Next LT Pro"/>
          <w:sz w:val="20"/>
          <w:szCs w:val="20"/>
          <w:lang w:val="fr-CH"/>
        </w:rPr>
        <w:t>.</w:t>
      </w:r>
      <w:r w:rsidR="008D0EB8">
        <w:rPr>
          <w:rFonts w:ascii="Avenir Next LT Pro" w:hAnsi="Avenir Next LT Pro"/>
          <w:sz w:val="20"/>
          <w:szCs w:val="20"/>
          <w:lang w:val="fr-CH"/>
        </w:rPr>
        <w:t xml:space="preserve"> Ce cadre réglementaire fixera les orientations pour le déploiement des activités du marché volontaire du carbone et celles liées aux mécanismes de l’article 6 de l’accord de Paris.  </w:t>
      </w:r>
      <w:r w:rsidR="00C55F2A" w:rsidRPr="00D94338">
        <w:rPr>
          <w:rFonts w:ascii="Avenir Next LT Pro" w:hAnsi="Avenir Next LT Pro"/>
          <w:sz w:val="20"/>
          <w:szCs w:val="20"/>
          <w:lang w:val="fr-CH"/>
        </w:rPr>
        <w:t xml:space="preserve"> </w:t>
      </w:r>
      <w:r w:rsidR="00261795">
        <w:rPr>
          <w:rFonts w:ascii="Avenir Next LT Pro" w:hAnsi="Avenir Next LT Pro"/>
          <w:sz w:val="20"/>
          <w:szCs w:val="20"/>
          <w:lang w:val="fr-CH"/>
        </w:rPr>
        <w:t xml:space="preserve">Il s’agira principalement de mobiliser l’expertise nationale et internationale pour la formulation de la politique sur la base de consultations publiques, ainsi que sa </w:t>
      </w:r>
      <w:r w:rsidR="00EE35C5">
        <w:rPr>
          <w:rFonts w:ascii="Avenir Next LT Pro" w:hAnsi="Avenir Next LT Pro"/>
          <w:sz w:val="20"/>
          <w:szCs w:val="20"/>
          <w:lang w:val="fr-CH"/>
        </w:rPr>
        <w:t xml:space="preserve">pré-validation et </w:t>
      </w:r>
      <w:r w:rsidR="00367F3B">
        <w:rPr>
          <w:rFonts w:ascii="Avenir Next LT Pro" w:hAnsi="Avenir Next LT Pro"/>
          <w:sz w:val="20"/>
          <w:szCs w:val="20"/>
          <w:lang w:val="fr-CH"/>
        </w:rPr>
        <w:t xml:space="preserve">validation dans le cadre </w:t>
      </w:r>
      <w:r w:rsidR="00177F4A">
        <w:rPr>
          <w:rFonts w:ascii="Avenir Next LT Pro" w:hAnsi="Avenir Next LT Pro"/>
          <w:sz w:val="20"/>
          <w:szCs w:val="20"/>
          <w:lang w:val="fr-CH"/>
        </w:rPr>
        <w:t xml:space="preserve">d’ateliers organiser à cet effet. </w:t>
      </w:r>
    </w:p>
    <w:p w14:paraId="340B7E06" w14:textId="77777777" w:rsidR="005F47BA" w:rsidRPr="00D94338" w:rsidRDefault="005F47BA" w:rsidP="00D94338">
      <w:pPr>
        <w:spacing w:after="0"/>
        <w:ind w:left="1080" w:hanging="1080"/>
        <w:jc w:val="both"/>
        <w:rPr>
          <w:rFonts w:ascii="Avenir Next LT Pro" w:hAnsi="Avenir Next LT Pro" w:cs="Calibri"/>
          <w:sz w:val="20"/>
          <w:szCs w:val="20"/>
          <w:lang w:val="fr-CD"/>
        </w:rPr>
      </w:pPr>
    </w:p>
    <w:p w14:paraId="120C0BBF" w14:textId="128F40CD" w:rsidR="00C55F2A" w:rsidRDefault="00F51DC3" w:rsidP="00D94338">
      <w:pPr>
        <w:spacing w:after="0"/>
        <w:ind w:left="1080" w:hanging="1080"/>
        <w:jc w:val="both"/>
        <w:rPr>
          <w:rFonts w:ascii="Avenir Next LT Pro" w:hAnsi="Avenir Next LT Pro"/>
          <w:sz w:val="20"/>
          <w:szCs w:val="20"/>
          <w:lang w:val="fr-CH"/>
        </w:rPr>
      </w:pPr>
      <w:r w:rsidRPr="00D94338">
        <w:rPr>
          <w:rFonts w:ascii="Avenir Next LT Pro" w:hAnsi="Avenir Next LT Pro"/>
          <w:sz w:val="20"/>
          <w:szCs w:val="20"/>
          <w:lang w:val="fr-CH"/>
        </w:rPr>
        <w:t xml:space="preserve">Activité 2.5. </w:t>
      </w:r>
      <w:r w:rsidR="00C55F2A" w:rsidRPr="00D94338">
        <w:rPr>
          <w:rFonts w:ascii="Avenir Next LT Pro" w:hAnsi="Avenir Next LT Pro"/>
          <w:sz w:val="20"/>
          <w:szCs w:val="20"/>
          <w:lang w:val="fr-CH"/>
        </w:rPr>
        <w:t xml:space="preserve">Appuyer la mise en œuvre de programmes juridictionnels </w:t>
      </w:r>
      <w:r w:rsidR="0050042B">
        <w:rPr>
          <w:rFonts w:ascii="Avenir Next LT Pro" w:hAnsi="Avenir Next LT Pro"/>
          <w:sz w:val="20"/>
          <w:szCs w:val="20"/>
          <w:lang w:val="fr-CH"/>
        </w:rPr>
        <w:t>pilote</w:t>
      </w:r>
      <w:r w:rsidR="00C623B7">
        <w:rPr>
          <w:rFonts w:ascii="Avenir Next LT Pro" w:hAnsi="Avenir Next LT Pro"/>
          <w:sz w:val="20"/>
          <w:szCs w:val="20"/>
          <w:lang w:val="fr-CH"/>
        </w:rPr>
        <w:t>s</w:t>
      </w:r>
      <w:r w:rsidR="00C0647C">
        <w:rPr>
          <w:rFonts w:ascii="Avenir Next LT Pro" w:hAnsi="Avenir Next LT Pro"/>
          <w:sz w:val="20"/>
          <w:szCs w:val="20"/>
          <w:lang w:val="fr-CH"/>
        </w:rPr>
        <w:t xml:space="preserve"> </w:t>
      </w:r>
      <w:r w:rsidR="00C55F2A" w:rsidRPr="00D94338">
        <w:rPr>
          <w:rFonts w:ascii="Avenir Next LT Pro" w:hAnsi="Avenir Next LT Pro"/>
          <w:sz w:val="20"/>
          <w:szCs w:val="20"/>
          <w:lang w:val="fr-CH"/>
        </w:rPr>
        <w:t>sur les marchés du carbone. </w:t>
      </w:r>
      <w:r w:rsidR="00C0647C">
        <w:rPr>
          <w:rFonts w:ascii="Avenir Next LT Pro" w:hAnsi="Avenir Next LT Pro"/>
          <w:sz w:val="20"/>
          <w:szCs w:val="20"/>
          <w:lang w:val="fr-CH"/>
        </w:rPr>
        <w:t xml:space="preserve">Il s’agira principalement </w:t>
      </w:r>
      <w:r w:rsidR="00B06E21">
        <w:rPr>
          <w:rFonts w:ascii="Avenir Next LT Pro" w:hAnsi="Avenir Next LT Pro"/>
          <w:sz w:val="20"/>
          <w:szCs w:val="20"/>
          <w:lang w:val="fr-CH"/>
        </w:rPr>
        <w:t xml:space="preserve">d’arrimer </w:t>
      </w:r>
      <w:r w:rsidR="00F07AC9">
        <w:rPr>
          <w:rFonts w:ascii="Avenir Next LT Pro" w:hAnsi="Avenir Next LT Pro"/>
          <w:sz w:val="20"/>
          <w:szCs w:val="20"/>
          <w:lang w:val="fr-CH"/>
        </w:rPr>
        <w:t xml:space="preserve">un programme d’investissement REDD+ en cours </w:t>
      </w:r>
      <w:r w:rsidR="00952B00" w:rsidRPr="00952B00">
        <w:rPr>
          <w:rFonts w:ascii="Avenir Next LT Pro" w:hAnsi="Avenir Next LT Pro"/>
          <w:sz w:val="20"/>
          <w:szCs w:val="20"/>
          <w:lang w:val="fr-CH"/>
        </w:rPr>
        <w:t xml:space="preserve">à </w:t>
      </w:r>
      <w:r w:rsidR="00F07AC9">
        <w:rPr>
          <w:rFonts w:ascii="Avenir Next LT Pro" w:hAnsi="Avenir Next LT Pro"/>
          <w:sz w:val="20"/>
          <w:szCs w:val="20"/>
          <w:lang w:val="fr-CH"/>
        </w:rPr>
        <w:t xml:space="preserve">une norme de certification carbone </w:t>
      </w:r>
      <w:r w:rsidR="00260CA7">
        <w:rPr>
          <w:rFonts w:ascii="Avenir Next LT Pro" w:hAnsi="Avenir Next LT Pro"/>
          <w:sz w:val="20"/>
          <w:szCs w:val="20"/>
          <w:lang w:val="fr-CH"/>
        </w:rPr>
        <w:t xml:space="preserve">en vue de la certification des </w:t>
      </w:r>
      <w:r w:rsidR="00293BB3">
        <w:rPr>
          <w:rFonts w:ascii="Avenir Next LT Pro" w:hAnsi="Avenir Next LT Pro"/>
          <w:sz w:val="20"/>
          <w:szCs w:val="20"/>
          <w:lang w:val="fr-CH"/>
        </w:rPr>
        <w:t xml:space="preserve">potentiels </w:t>
      </w:r>
      <w:r w:rsidR="00260CA7">
        <w:rPr>
          <w:rFonts w:ascii="Avenir Next LT Pro" w:hAnsi="Avenir Next LT Pro"/>
          <w:sz w:val="20"/>
          <w:szCs w:val="20"/>
          <w:lang w:val="fr-CH"/>
        </w:rPr>
        <w:t>résultats d’</w:t>
      </w:r>
      <w:r w:rsidR="00293BB3">
        <w:rPr>
          <w:rFonts w:ascii="Avenir Next LT Pro" w:hAnsi="Avenir Next LT Pro"/>
          <w:sz w:val="20"/>
          <w:szCs w:val="20"/>
          <w:lang w:val="fr-CH"/>
        </w:rPr>
        <w:t>atténuation.</w:t>
      </w:r>
      <w:r w:rsidR="00260CA7">
        <w:rPr>
          <w:rFonts w:ascii="Avenir Next LT Pro" w:hAnsi="Avenir Next LT Pro"/>
          <w:sz w:val="20"/>
          <w:szCs w:val="20"/>
          <w:lang w:val="fr-CH"/>
        </w:rPr>
        <w:t xml:space="preserve"> </w:t>
      </w:r>
      <w:r w:rsidR="00D5083A">
        <w:rPr>
          <w:rFonts w:ascii="Avenir Next LT Pro" w:hAnsi="Avenir Next LT Pro"/>
          <w:sz w:val="20"/>
          <w:szCs w:val="20"/>
          <w:lang w:val="fr-CH"/>
        </w:rPr>
        <w:t xml:space="preserve">Cela impliquera le recrutement d’une firme internationale </w:t>
      </w:r>
      <w:r w:rsidR="00C3508D">
        <w:rPr>
          <w:rFonts w:ascii="Avenir Next LT Pro" w:hAnsi="Avenir Next LT Pro"/>
          <w:sz w:val="20"/>
          <w:szCs w:val="20"/>
          <w:lang w:val="fr-CH"/>
        </w:rPr>
        <w:t xml:space="preserve">pour les activités de </w:t>
      </w:r>
      <w:r w:rsidR="00ED679B">
        <w:rPr>
          <w:rFonts w:ascii="Avenir Next LT Pro" w:hAnsi="Avenir Next LT Pro"/>
          <w:sz w:val="20"/>
          <w:szCs w:val="20"/>
          <w:lang w:val="fr-CH"/>
        </w:rPr>
        <w:t xml:space="preserve">validation et vérifications subséquentes. </w:t>
      </w:r>
    </w:p>
    <w:p w14:paraId="17A47001" w14:textId="77777777" w:rsidR="005F47BA" w:rsidRPr="00D94338" w:rsidRDefault="005F47BA" w:rsidP="00D94338">
      <w:pPr>
        <w:spacing w:after="0"/>
        <w:ind w:left="1080" w:hanging="1080"/>
        <w:jc w:val="both"/>
        <w:rPr>
          <w:rFonts w:ascii="Avenir Next LT Pro" w:hAnsi="Avenir Next LT Pro" w:cs="Calibri"/>
          <w:sz w:val="20"/>
          <w:szCs w:val="20"/>
          <w:lang w:val="fr-CD"/>
        </w:rPr>
      </w:pPr>
    </w:p>
    <w:p w14:paraId="732B63FE" w14:textId="009DDA70" w:rsidR="00C55F2A" w:rsidRDefault="009C7F5A" w:rsidP="00A27E4E">
      <w:pPr>
        <w:spacing w:after="0"/>
        <w:ind w:left="1080" w:hanging="1080"/>
        <w:jc w:val="both"/>
        <w:rPr>
          <w:rFonts w:ascii="Avenir Next LT Pro" w:hAnsi="Avenir Next LT Pro" w:cs="Calibri"/>
          <w:sz w:val="20"/>
          <w:szCs w:val="20"/>
          <w:lang w:val="fr-CD"/>
        </w:rPr>
      </w:pPr>
      <w:r w:rsidRPr="00D94338">
        <w:rPr>
          <w:rFonts w:ascii="Avenir Next LT Pro" w:hAnsi="Avenir Next LT Pro" w:cs="Calibri"/>
          <w:sz w:val="20"/>
          <w:szCs w:val="20"/>
          <w:lang w:val="fr-CD"/>
        </w:rPr>
        <w:t xml:space="preserve">Activité </w:t>
      </w:r>
      <w:r w:rsidR="001F3AF8" w:rsidRPr="00D94338">
        <w:rPr>
          <w:rFonts w:ascii="Avenir Next LT Pro" w:hAnsi="Avenir Next LT Pro" w:cs="Calibri"/>
          <w:sz w:val="20"/>
          <w:szCs w:val="20"/>
          <w:lang w:val="fr-CD"/>
        </w:rPr>
        <w:t xml:space="preserve">2.6. </w:t>
      </w:r>
      <w:r w:rsidR="00C55F2A" w:rsidRPr="00D94338">
        <w:rPr>
          <w:rFonts w:ascii="Avenir Next LT Pro" w:hAnsi="Avenir Next LT Pro" w:cs="Calibri"/>
          <w:sz w:val="20"/>
          <w:szCs w:val="20"/>
          <w:lang w:val="fr-CD"/>
        </w:rPr>
        <w:t>Elaborer et mettre en œuvre un plan robuste de renforcement des capacités et partage d’expérience continue, inclusif et sensible au genre.</w:t>
      </w:r>
      <w:r w:rsidR="00C55F2A" w:rsidRPr="00D94338">
        <w:rPr>
          <w:rFonts w:ascii="Avenir Next LT Pro" w:hAnsi="Avenir Next LT Pro"/>
          <w:sz w:val="20"/>
          <w:szCs w:val="20"/>
        </w:rPr>
        <w:t xml:space="preserve"> </w:t>
      </w:r>
      <w:r w:rsidR="00C55F2A" w:rsidRPr="00D94338">
        <w:rPr>
          <w:rFonts w:ascii="Avenir Next LT Pro" w:hAnsi="Avenir Next LT Pro" w:cs="Calibri"/>
          <w:sz w:val="20"/>
          <w:szCs w:val="20"/>
          <w:lang w:val="fr-CD"/>
        </w:rPr>
        <w:t xml:space="preserve">Cette activité </w:t>
      </w:r>
      <w:r w:rsidR="0055443D">
        <w:rPr>
          <w:rFonts w:ascii="Avenir Next LT Pro" w:hAnsi="Avenir Next LT Pro" w:cs="Calibri"/>
          <w:sz w:val="20"/>
          <w:szCs w:val="20"/>
          <w:lang w:val="fr-CD"/>
        </w:rPr>
        <w:t xml:space="preserve">se fera </w:t>
      </w:r>
      <w:r w:rsidR="00C01D43">
        <w:rPr>
          <w:rFonts w:ascii="Avenir Next LT Pro" w:hAnsi="Avenir Next LT Pro" w:cs="Calibri"/>
          <w:sz w:val="20"/>
          <w:szCs w:val="20"/>
          <w:lang w:val="fr-CD"/>
        </w:rPr>
        <w:t xml:space="preserve">en étroite </w:t>
      </w:r>
      <w:r w:rsidR="005C623F">
        <w:rPr>
          <w:rFonts w:ascii="Avenir Next LT Pro" w:hAnsi="Avenir Next LT Pro" w:cs="Calibri"/>
          <w:sz w:val="20"/>
          <w:szCs w:val="20"/>
          <w:lang w:val="fr-CD"/>
        </w:rPr>
        <w:t xml:space="preserve">collaboration </w:t>
      </w:r>
      <w:r w:rsidR="00C01D43">
        <w:rPr>
          <w:rFonts w:ascii="Avenir Next LT Pro" w:hAnsi="Avenir Next LT Pro" w:cs="Calibri"/>
          <w:sz w:val="20"/>
          <w:szCs w:val="20"/>
          <w:lang w:val="fr-CD"/>
        </w:rPr>
        <w:t xml:space="preserve">avec le </w:t>
      </w:r>
      <w:r w:rsidR="00147DBB">
        <w:rPr>
          <w:rFonts w:ascii="Avenir Next LT Pro" w:hAnsi="Avenir Next LT Pro" w:cs="Calibri"/>
          <w:sz w:val="20"/>
          <w:szCs w:val="20"/>
          <w:lang w:val="fr-CD"/>
        </w:rPr>
        <w:t xml:space="preserve">projet </w:t>
      </w:r>
      <w:r w:rsidR="00A27E4E">
        <w:rPr>
          <w:rFonts w:ascii="Avenir Next LT Pro" w:hAnsi="Avenir Next LT Pro" w:cs="Calibri"/>
          <w:sz w:val="20"/>
          <w:szCs w:val="20"/>
          <w:lang w:val="fr-CD"/>
        </w:rPr>
        <w:t xml:space="preserve">relatif à la </w:t>
      </w:r>
      <w:r w:rsidR="004818FC" w:rsidRPr="004818FC">
        <w:rPr>
          <w:rFonts w:ascii="Avenir Next LT Pro" w:hAnsi="Avenir Next LT Pro" w:cs="Calibri"/>
          <w:sz w:val="20"/>
          <w:szCs w:val="20"/>
          <w:lang w:val="fr-CD"/>
        </w:rPr>
        <w:t xml:space="preserve">Plateforme sur les instruments financiers et numériques pour les forêts tropicales </w:t>
      </w:r>
      <w:r w:rsidR="00A27E4E">
        <w:rPr>
          <w:rFonts w:ascii="Avenir Next LT Pro" w:hAnsi="Avenir Next LT Pro" w:cs="Calibri"/>
          <w:sz w:val="20"/>
          <w:szCs w:val="20"/>
          <w:lang w:val="fr-CD"/>
        </w:rPr>
        <w:t xml:space="preserve">également financé par CAFI. </w:t>
      </w:r>
      <w:r w:rsidR="001440EA">
        <w:rPr>
          <w:rFonts w:ascii="Avenir Next LT Pro" w:hAnsi="Avenir Next LT Pro" w:cs="Calibri"/>
          <w:sz w:val="20"/>
          <w:szCs w:val="20"/>
          <w:lang w:val="fr-CD"/>
        </w:rPr>
        <w:t xml:space="preserve">Il s’agira particulièrement </w:t>
      </w:r>
      <w:r w:rsidR="002F1AE2">
        <w:rPr>
          <w:rFonts w:ascii="Avenir Next LT Pro" w:hAnsi="Avenir Next LT Pro" w:cs="Calibri"/>
          <w:sz w:val="20"/>
          <w:szCs w:val="20"/>
          <w:lang w:val="fr-CD"/>
        </w:rPr>
        <w:t>de mobiliser l’expertise nationale et international pour la formation et le renforcement des capacités nationales</w:t>
      </w:r>
      <w:r w:rsidR="00DF05EA">
        <w:rPr>
          <w:rFonts w:ascii="Avenir Next LT Pro" w:hAnsi="Avenir Next LT Pro" w:cs="Calibri"/>
          <w:sz w:val="20"/>
          <w:szCs w:val="20"/>
          <w:lang w:val="fr-CD"/>
        </w:rPr>
        <w:t xml:space="preserve"> dans le cadre d’</w:t>
      </w:r>
      <w:r w:rsidR="002F1AE2">
        <w:rPr>
          <w:rFonts w:ascii="Avenir Next LT Pro" w:hAnsi="Avenir Next LT Pro" w:cs="Calibri"/>
          <w:sz w:val="20"/>
          <w:szCs w:val="20"/>
          <w:lang w:val="fr-CD"/>
        </w:rPr>
        <w:t>ateliers de formation</w:t>
      </w:r>
      <w:r w:rsidR="00DF05EA">
        <w:rPr>
          <w:rFonts w:ascii="Avenir Next LT Pro" w:hAnsi="Avenir Next LT Pro" w:cs="Calibri"/>
          <w:sz w:val="20"/>
          <w:szCs w:val="20"/>
          <w:lang w:val="fr-CD"/>
        </w:rPr>
        <w:t xml:space="preserve">/renforcement des capacités. </w:t>
      </w:r>
      <w:r w:rsidR="00672D66">
        <w:rPr>
          <w:rFonts w:ascii="Avenir Next LT Pro" w:hAnsi="Avenir Next LT Pro" w:cs="Calibri"/>
          <w:sz w:val="20"/>
          <w:szCs w:val="20"/>
          <w:lang w:val="fr-CD"/>
        </w:rPr>
        <w:t xml:space="preserve">Il s’agira également d’organiser des voyages de partages d’expériences sud-sud et nord-sud. </w:t>
      </w:r>
      <w:r w:rsidR="002F1AE2">
        <w:rPr>
          <w:rFonts w:ascii="Avenir Next LT Pro" w:hAnsi="Avenir Next LT Pro" w:cs="Calibri"/>
          <w:sz w:val="20"/>
          <w:szCs w:val="20"/>
          <w:lang w:val="fr-CD"/>
        </w:rPr>
        <w:t xml:space="preserve"> </w:t>
      </w:r>
    </w:p>
    <w:p w14:paraId="1E01BA58" w14:textId="77777777" w:rsidR="00B149C7" w:rsidRDefault="00B149C7" w:rsidP="009C7F5A">
      <w:pPr>
        <w:spacing w:after="0"/>
        <w:ind w:left="1080" w:hanging="1080"/>
        <w:jc w:val="both"/>
        <w:rPr>
          <w:rFonts w:ascii="Avenir Next LT Pro" w:hAnsi="Avenir Next LT Pro" w:cs="Calibri"/>
          <w:sz w:val="20"/>
          <w:szCs w:val="20"/>
          <w:lang w:val="fr-CD"/>
        </w:rPr>
      </w:pPr>
    </w:p>
    <w:p w14:paraId="517B3BBD" w14:textId="51A58432" w:rsidR="009162C1" w:rsidRPr="00D94338" w:rsidRDefault="00B149C7" w:rsidP="009C7F5A">
      <w:pPr>
        <w:spacing w:after="0"/>
        <w:ind w:left="1080" w:hanging="1080"/>
        <w:jc w:val="both"/>
        <w:rPr>
          <w:rFonts w:ascii="Avenir Next LT Pro" w:hAnsi="Avenir Next LT Pro" w:cs="Calibri"/>
          <w:sz w:val="20"/>
          <w:szCs w:val="20"/>
          <w:lang w:val="fr-CD"/>
        </w:rPr>
      </w:pPr>
      <w:r>
        <w:rPr>
          <w:rFonts w:ascii="Avenir Next LT Pro" w:hAnsi="Avenir Next LT Pro" w:cs="Calibri"/>
          <w:sz w:val="20"/>
          <w:szCs w:val="20"/>
          <w:lang w:val="fr-CD"/>
        </w:rPr>
        <w:t>Activité</w:t>
      </w:r>
      <w:r w:rsidR="009162C1">
        <w:rPr>
          <w:rFonts w:ascii="Avenir Next LT Pro" w:hAnsi="Avenir Next LT Pro" w:cs="Calibri"/>
          <w:sz w:val="20"/>
          <w:szCs w:val="20"/>
          <w:lang w:val="fr-CD"/>
        </w:rPr>
        <w:t xml:space="preserve"> </w:t>
      </w:r>
      <w:r>
        <w:rPr>
          <w:rFonts w:ascii="Avenir Next LT Pro" w:hAnsi="Avenir Next LT Pro" w:cs="Calibri"/>
          <w:sz w:val="20"/>
          <w:szCs w:val="20"/>
          <w:lang w:val="fr-CD"/>
        </w:rPr>
        <w:t xml:space="preserve">2.7. </w:t>
      </w:r>
      <w:r w:rsidR="00440C2A" w:rsidRPr="00440C2A">
        <w:rPr>
          <w:rFonts w:ascii="Avenir Next LT Pro" w:hAnsi="Avenir Next LT Pro" w:cs="Calibri"/>
          <w:sz w:val="20"/>
          <w:szCs w:val="20"/>
          <w:lang w:val="fr-CD"/>
        </w:rPr>
        <w:t>Appu</w:t>
      </w:r>
      <w:r w:rsidR="00061B4F">
        <w:rPr>
          <w:rFonts w:ascii="Avenir Next LT Pro" w:hAnsi="Avenir Next LT Pro" w:cs="Calibri"/>
          <w:sz w:val="20"/>
          <w:szCs w:val="20"/>
          <w:lang w:val="fr-CD"/>
        </w:rPr>
        <w:t>yer la réalisation d</w:t>
      </w:r>
      <w:r w:rsidR="00A873E6">
        <w:rPr>
          <w:rFonts w:ascii="Avenir Next LT Pro" w:hAnsi="Avenir Next LT Pro" w:cs="Calibri"/>
          <w:sz w:val="20"/>
          <w:szCs w:val="20"/>
          <w:lang w:val="fr-CD"/>
        </w:rPr>
        <w:t>’</w:t>
      </w:r>
      <w:r w:rsidR="004608F9">
        <w:rPr>
          <w:rFonts w:ascii="Avenir Next LT Pro" w:hAnsi="Avenir Next LT Pro" w:cs="Calibri"/>
          <w:sz w:val="20"/>
          <w:szCs w:val="20"/>
          <w:lang w:val="fr-CD"/>
        </w:rPr>
        <w:t xml:space="preserve">études sur </w:t>
      </w:r>
      <w:r w:rsidR="003C56D7">
        <w:rPr>
          <w:rFonts w:ascii="Avenir Next LT Pro" w:hAnsi="Avenir Next LT Pro" w:cs="Calibri"/>
          <w:sz w:val="20"/>
          <w:szCs w:val="20"/>
          <w:lang w:val="fr-CD"/>
        </w:rPr>
        <w:t xml:space="preserve">le flux financier </w:t>
      </w:r>
      <w:r w:rsidR="005B45BF">
        <w:rPr>
          <w:rFonts w:ascii="Avenir Next LT Pro" w:hAnsi="Avenir Next LT Pro" w:cs="Calibri"/>
          <w:sz w:val="20"/>
          <w:szCs w:val="20"/>
          <w:lang w:val="fr-CD"/>
        </w:rPr>
        <w:t xml:space="preserve">climatique </w:t>
      </w:r>
      <w:r w:rsidR="003C56D7">
        <w:rPr>
          <w:rFonts w:ascii="Avenir Next LT Pro" w:hAnsi="Avenir Next LT Pro" w:cs="Calibri"/>
          <w:sz w:val="20"/>
          <w:szCs w:val="20"/>
          <w:lang w:val="fr-CD"/>
        </w:rPr>
        <w:t xml:space="preserve">et </w:t>
      </w:r>
      <w:r w:rsidR="004608F9">
        <w:rPr>
          <w:rFonts w:ascii="Avenir Next LT Pro" w:hAnsi="Avenir Next LT Pro" w:cs="Calibri"/>
          <w:sz w:val="20"/>
          <w:szCs w:val="20"/>
          <w:lang w:val="fr-CD"/>
        </w:rPr>
        <w:t>les</w:t>
      </w:r>
      <w:r w:rsidR="003C56D7">
        <w:rPr>
          <w:rFonts w:ascii="Avenir Next LT Pro" w:hAnsi="Avenir Next LT Pro" w:cs="Calibri"/>
          <w:sz w:val="20"/>
          <w:szCs w:val="20"/>
          <w:lang w:val="fr-CD"/>
        </w:rPr>
        <w:t xml:space="preserve"> mécanismes de</w:t>
      </w:r>
      <w:r w:rsidR="004608F9">
        <w:rPr>
          <w:rFonts w:ascii="Avenir Next LT Pro" w:hAnsi="Avenir Next LT Pro" w:cs="Calibri"/>
          <w:sz w:val="20"/>
          <w:szCs w:val="20"/>
          <w:lang w:val="fr-CD"/>
        </w:rPr>
        <w:t xml:space="preserve"> financements </w:t>
      </w:r>
      <w:r w:rsidR="00404C47">
        <w:rPr>
          <w:rFonts w:ascii="Avenir Next LT Pro" w:hAnsi="Avenir Next LT Pro" w:cs="Calibri"/>
          <w:sz w:val="20"/>
          <w:szCs w:val="20"/>
          <w:lang w:val="fr-CD"/>
        </w:rPr>
        <w:t>climatique</w:t>
      </w:r>
      <w:r w:rsidR="003C56D7">
        <w:rPr>
          <w:rFonts w:ascii="Avenir Next LT Pro" w:hAnsi="Avenir Next LT Pro" w:cs="Calibri"/>
          <w:sz w:val="20"/>
          <w:szCs w:val="20"/>
          <w:lang w:val="fr-CD"/>
        </w:rPr>
        <w:t>s</w:t>
      </w:r>
      <w:r w:rsidR="00404C47">
        <w:rPr>
          <w:rFonts w:ascii="Avenir Next LT Pro" w:hAnsi="Avenir Next LT Pro" w:cs="Calibri"/>
          <w:sz w:val="20"/>
          <w:szCs w:val="20"/>
          <w:lang w:val="fr-CD"/>
        </w:rPr>
        <w:t xml:space="preserve"> </w:t>
      </w:r>
      <w:r w:rsidR="004608F9">
        <w:rPr>
          <w:rFonts w:ascii="Avenir Next LT Pro" w:hAnsi="Avenir Next LT Pro" w:cs="Calibri"/>
          <w:sz w:val="20"/>
          <w:szCs w:val="20"/>
          <w:lang w:val="fr-CD"/>
        </w:rPr>
        <w:t>innovants</w:t>
      </w:r>
      <w:r w:rsidR="003A7DCE">
        <w:rPr>
          <w:rFonts w:ascii="Avenir Next LT Pro" w:hAnsi="Avenir Next LT Pro" w:cs="Calibri"/>
          <w:sz w:val="20"/>
          <w:szCs w:val="20"/>
          <w:lang w:val="fr-CD"/>
        </w:rPr>
        <w:t xml:space="preserve"> applicables au contexte de la RDC</w:t>
      </w:r>
      <w:r w:rsidR="004608F9">
        <w:rPr>
          <w:rFonts w:ascii="Avenir Next LT Pro" w:hAnsi="Avenir Next LT Pro" w:cs="Calibri"/>
          <w:sz w:val="20"/>
          <w:szCs w:val="20"/>
          <w:lang w:val="fr-CD"/>
        </w:rPr>
        <w:t xml:space="preserve">. </w:t>
      </w:r>
      <w:r w:rsidR="00404C47">
        <w:rPr>
          <w:rFonts w:ascii="Avenir Next LT Pro" w:hAnsi="Avenir Next LT Pro" w:cs="Calibri"/>
          <w:sz w:val="20"/>
          <w:szCs w:val="20"/>
          <w:lang w:val="fr-CD"/>
        </w:rPr>
        <w:t xml:space="preserve">Il </w:t>
      </w:r>
      <w:r w:rsidR="006A3A4D">
        <w:rPr>
          <w:rFonts w:ascii="Avenir Next LT Pro" w:hAnsi="Avenir Next LT Pro" w:cs="Calibri"/>
          <w:sz w:val="20"/>
          <w:szCs w:val="20"/>
          <w:lang w:val="fr-CD"/>
        </w:rPr>
        <w:t xml:space="preserve">s’agira </w:t>
      </w:r>
      <w:r w:rsidR="003213F8">
        <w:rPr>
          <w:rFonts w:ascii="Avenir Next LT Pro" w:hAnsi="Avenir Next LT Pro" w:cs="Calibri"/>
          <w:sz w:val="20"/>
          <w:szCs w:val="20"/>
          <w:lang w:val="fr-CD"/>
        </w:rPr>
        <w:t xml:space="preserve">principalement de définir les études </w:t>
      </w:r>
      <w:r w:rsidR="009149D9">
        <w:rPr>
          <w:rFonts w:ascii="Avenir Next LT Pro" w:hAnsi="Avenir Next LT Pro" w:cs="Calibri"/>
          <w:sz w:val="20"/>
          <w:szCs w:val="20"/>
          <w:lang w:val="fr-CD"/>
        </w:rPr>
        <w:t>pertinentes</w:t>
      </w:r>
      <w:r w:rsidR="003213F8">
        <w:rPr>
          <w:rFonts w:ascii="Avenir Next LT Pro" w:hAnsi="Avenir Next LT Pro" w:cs="Calibri"/>
          <w:sz w:val="20"/>
          <w:szCs w:val="20"/>
          <w:lang w:val="fr-CD"/>
        </w:rPr>
        <w:t xml:space="preserve"> </w:t>
      </w:r>
      <w:r w:rsidR="00AE6A62">
        <w:rPr>
          <w:rFonts w:ascii="Avenir Next LT Pro" w:hAnsi="Avenir Next LT Pro" w:cs="Calibri"/>
          <w:sz w:val="20"/>
          <w:szCs w:val="20"/>
          <w:lang w:val="fr-CD"/>
        </w:rPr>
        <w:t>à réaliser</w:t>
      </w:r>
      <w:r w:rsidR="007E774C">
        <w:rPr>
          <w:rFonts w:ascii="Avenir Next LT Pro" w:hAnsi="Avenir Next LT Pro" w:cs="Calibri"/>
          <w:sz w:val="20"/>
          <w:szCs w:val="20"/>
          <w:lang w:val="fr-CD"/>
        </w:rPr>
        <w:t xml:space="preserve"> (ex. taxe carbone, </w:t>
      </w:r>
      <w:r w:rsidR="00F218AD">
        <w:rPr>
          <w:rFonts w:ascii="Avenir Next LT Pro" w:hAnsi="Avenir Next LT Pro" w:cs="Calibri"/>
          <w:sz w:val="20"/>
          <w:szCs w:val="20"/>
          <w:lang w:val="fr-CD"/>
        </w:rPr>
        <w:t xml:space="preserve">échange dette contre action climatique, </w:t>
      </w:r>
      <w:r w:rsidR="002A2728">
        <w:rPr>
          <w:rFonts w:ascii="Avenir Next LT Pro" w:hAnsi="Avenir Next LT Pro" w:cs="Calibri"/>
          <w:sz w:val="20"/>
          <w:szCs w:val="20"/>
          <w:lang w:val="fr-CD"/>
        </w:rPr>
        <w:t xml:space="preserve">obligations vertes, </w:t>
      </w:r>
      <w:r w:rsidR="0082515F">
        <w:rPr>
          <w:rFonts w:ascii="Avenir Next LT Pro" w:hAnsi="Avenir Next LT Pro" w:cs="Calibri"/>
          <w:sz w:val="20"/>
          <w:szCs w:val="20"/>
          <w:lang w:val="fr-CD"/>
        </w:rPr>
        <w:t xml:space="preserve">Cadre </w:t>
      </w:r>
      <w:r w:rsidR="00667CB9">
        <w:rPr>
          <w:rFonts w:ascii="Avenir Next LT Pro" w:hAnsi="Avenir Next LT Pro" w:cs="Calibri"/>
          <w:sz w:val="20"/>
          <w:szCs w:val="20"/>
          <w:lang w:val="fr-CD"/>
        </w:rPr>
        <w:t xml:space="preserve">national </w:t>
      </w:r>
      <w:r w:rsidR="0082515F">
        <w:rPr>
          <w:rFonts w:ascii="Avenir Next LT Pro" w:hAnsi="Avenir Next LT Pro" w:cs="Calibri"/>
          <w:sz w:val="20"/>
          <w:szCs w:val="20"/>
          <w:lang w:val="fr-CD"/>
        </w:rPr>
        <w:t>intégrée de finance</w:t>
      </w:r>
      <w:r w:rsidR="00667CB9">
        <w:rPr>
          <w:rFonts w:ascii="Avenir Next LT Pro" w:hAnsi="Avenir Next LT Pro" w:cs="Calibri"/>
          <w:sz w:val="20"/>
          <w:szCs w:val="20"/>
          <w:lang w:val="fr-CD"/>
        </w:rPr>
        <w:t>ment pour les O</w:t>
      </w:r>
      <w:r w:rsidR="005B45BF">
        <w:rPr>
          <w:rFonts w:ascii="Avenir Next LT Pro" w:hAnsi="Avenir Next LT Pro" w:cs="Calibri"/>
          <w:sz w:val="20"/>
          <w:szCs w:val="20"/>
          <w:lang w:val="fr-CD"/>
        </w:rPr>
        <w:t>DD,</w:t>
      </w:r>
      <w:r w:rsidR="0082515F">
        <w:rPr>
          <w:rFonts w:ascii="Avenir Next LT Pro" w:hAnsi="Avenir Next LT Pro" w:cs="Calibri"/>
          <w:sz w:val="20"/>
          <w:szCs w:val="20"/>
          <w:lang w:val="fr-CD"/>
        </w:rPr>
        <w:t xml:space="preserve"> </w:t>
      </w:r>
      <w:r w:rsidR="00F218AD">
        <w:rPr>
          <w:rFonts w:ascii="Avenir Next LT Pro" w:hAnsi="Avenir Next LT Pro" w:cs="Calibri"/>
          <w:sz w:val="20"/>
          <w:szCs w:val="20"/>
          <w:lang w:val="fr-CD"/>
        </w:rPr>
        <w:t>etc</w:t>
      </w:r>
      <w:r w:rsidR="00F265D8">
        <w:rPr>
          <w:rFonts w:ascii="Avenir Next LT Pro" w:hAnsi="Avenir Next LT Pro" w:cs="Calibri"/>
          <w:sz w:val="20"/>
          <w:szCs w:val="20"/>
          <w:lang w:val="fr-CD"/>
        </w:rPr>
        <w:t>.</w:t>
      </w:r>
      <w:r w:rsidR="00F218AD">
        <w:rPr>
          <w:rFonts w:ascii="Avenir Next LT Pro" w:hAnsi="Avenir Next LT Pro" w:cs="Calibri"/>
          <w:sz w:val="20"/>
          <w:szCs w:val="20"/>
          <w:lang w:val="fr-CD"/>
        </w:rPr>
        <w:t>)</w:t>
      </w:r>
      <w:r w:rsidR="00AE6A62">
        <w:rPr>
          <w:rFonts w:ascii="Avenir Next LT Pro" w:hAnsi="Avenir Next LT Pro" w:cs="Calibri"/>
          <w:sz w:val="20"/>
          <w:szCs w:val="20"/>
          <w:lang w:val="fr-CD"/>
        </w:rPr>
        <w:t xml:space="preserve">, de définir </w:t>
      </w:r>
      <w:r w:rsidR="003213F8">
        <w:rPr>
          <w:rFonts w:ascii="Avenir Next LT Pro" w:hAnsi="Avenir Next LT Pro" w:cs="Calibri"/>
          <w:sz w:val="20"/>
          <w:szCs w:val="20"/>
          <w:lang w:val="fr-CD"/>
        </w:rPr>
        <w:t>les termes de référence des études,</w:t>
      </w:r>
      <w:r w:rsidR="00AE6A62">
        <w:rPr>
          <w:rFonts w:ascii="Avenir Next LT Pro" w:hAnsi="Avenir Next LT Pro" w:cs="Calibri"/>
          <w:sz w:val="20"/>
          <w:szCs w:val="20"/>
          <w:lang w:val="fr-CD"/>
        </w:rPr>
        <w:t xml:space="preserve"> de mobiliser </w:t>
      </w:r>
      <w:r w:rsidR="004D4E12">
        <w:rPr>
          <w:rFonts w:ascii="Avenir Next LT Pro" w:hAnsi="Avenir Next LT Pro" w:cs="Calibri"/>
          <w:sz w:val="20"/>
          <w:szCs w:val="20"/>
          <w:lang w:val="fr-CD"/>
        </w:rPr>
        <w:t xml:space="preserve">l’expertise nationale et internationale nécessaire, de valider et </w:t>
      </w:r>
      <w:r w:rsidR="007E774C">
        <w:rPr>
          <w:rFonts w:ascii="Avenir Next LT Pro" w:hAnsi="Avenir Next LT Pro" w:cs="Calibri"/>
          <w:sz w:val="20"/>
          <w:szCs w:val="20"/>
          <w:lang w:val="fr-CD"/>
        </w:rPr>
        <w:t>vulgariser les résultats de ces études</w:t>
      </w:r>
      <w:r w:rsidR="003B6E5E">
        <w:rPr>
          <w:rFonts w:ascii="Avenir Next LT Pro" w:hAnsi="Avenir Next LT Pro" w:cs="Calibri"/>
          <w:sz w:val="20"/>
          <w:szCs w:val="20"/>
          <w:lang w:val="fr-CD"/>
        </w:rPr>
        <w:t>, notamment dans le cadre du plan de communication du Projet.</w:t>
      </w:r>
    </w:p>
    <w:p w14:paraId="62A7FDA9" w14:textId="77777777" w:rsidR="00C55F2A" w:rsidRPr="00D94338" w:rsidRDefault="00C55F2A" w:rsidP="00C55F2A">
      <w:pPr>
        <w:spacing w:after="0"/>
        <w:rPr>
          <w:rFonts w:ascii="Avenir Next LT Pro" w:hAnsi="Avenir Next LT Pro" w:cs="Calibri"/>
          <w:sz w:val="20"/>
          <w:szCs w:val="20"/>
          <w:lang w:val="fr-CD"/>
        </w:rPr>
      </w:pPr>
    </w:p>
    <w:bookmarkEnd w:id="25"/>
    <w:p w14:paraId="326CD6A6" w14:textId="77777777" w:rsidR="000F2E0B" w:rsidRDefault="00C55F2A" w:rsidP="00934BFE">
      <w:pPr>
        <w:spacing w:after="120"/>
        <w:ind w:left="1354" w:hanging="1354"/>
        <w:jc w:val="both"/>
        <w:rPr>
          <w:rFonts w:ascii="Avenir Next LT Pro" w:hAnsi="Avenir Next LT Pro"/>
          <w:b/>
          <w:bCs/>
          <w:sz w:val="20"/>
          <w:szCs w:val="20"/>
        </w:rPr>
      </w:pPr>
      <w:r w:rsidRPr="00D94338">
        <w:rPr>
          <w:rFonts w:ascii="Avenir Next LT Pro" w:hAnsi="Avenir Next LT Pro"/>
          <w:b/>
          <w:bCs/>
          <w:sz w:val="20"/>
          <w:szCs w:val="20"/>
        </w:rPr>
        <w:t>PRODUIT 3. Des cadres de concertation inclusifs et sensible au genre, la diplomatie environnementale et communication sont renforcés</w:t>
      </w:r>
    </w:p>
    <w:p w14:paraId="61BB15EF" w14:textId="282179A1" w:rsidR="00C55F2A" w:rsidRPr="009B50B6" w:rsidRDefault="009B50B6" w:rsidP="00050E5D">
      <w:pPr>
        <w:spacing w:after="0"/>
        <w:jc w:val="both"/>
        <w:rPr>
          <w:rFonts w:ascii="Avenir Next LT Pro" w:hAnsi="Avenir Next LT Pro"/>
          <w:sz w:val="20"/>
          <w:szCs w:val="20"/>
        </w:rPr>
      </w:pPr>
      <w:r w:rsidRPr="009B50B6">
        <w:rPr>
          <w:rFonts w:ascii="Avenir Next LT Pro" w:hAnsi="Avenir Next LT Pro"/>
          <w:sz w:val="20"/>
          <w:szCs w:val="20"/>
        </w:rPr>
        <w:t>Le Produit 3</w:t>
      </w:r>
      <w:r w:rsidR="00C55F2A" w:rsidRPr="009B50B6">
        <w:rPr>
          <w:rFonts w:ascii="Avenir Next LT Pro" w:hAnsi="Avenir Next LT Pro"/>
          <w:sz w:val="20"/>
          <w:szCs w:val="20"/>
        </w:rPr>
        <w:t xml:space="preserve"> </w:t>
      </w:r>
      <w:r w:rsidR="00934BFE">
        <w:rPr>
          <w:rFonts w:ascii="Avenir Next LT Pro" w:hAnsi="Avenir Next LT Pro"/>
          <w:sz w:val="20"/>
          <w:szCs w:val="20"/>
        </w:rPr>
        <w:t xml:space="preserve">est transversal et vise </w:t>
      </w:r>
      <w:r w:rsidR="00050E5D">
        <w:rPr>
          <w:rFonts w:ascii="Avenir Next LT Pro" w:hAnsi="Avenir Next LT Pro"/>
          <w:sz w:val="20"/>
          <w:szCs w:val="20"/>
        </w:rPr>
        <w:t>à</w:t>
      </w:r>
      <w:r w:rsidR="00934BFE">
        <w:rPr>
          <w:rFonts w:ascii="Avenir Next LT Pro" w:hAnsi="Avenir Next LT Pro"/>
          <w:sz w:val="20"/>
          <w:szCs w:val="20"/>
        </w:rPr>
        <w:t xml:space="preserve"> renforcer </w:t>
      </w:r>
      <w:r w:rsidR="00064078">
        <w:rPr>
          <w:rFonts w:ascii="Avenir Next LT Pro" w:hAnsi="Avenir Next LT Pro"/>
          <w:sz w:val="20"/>
          <w:szCs w:val="20"/>
        </w:rPr>
        <w:t xml:space="preserve">la mise en œuvre des </w:t>
      </w:r>
      <w:r w:rsidR="00050E5D">
        <w:rPr>
          <w:rFonts w:ascii="Avenir Next LT Pro" w:hAnsi="Avenir Next LT Pro"/>
          <w:sz w:val="20"/>
          <w:szCs w:val="20"/>
        </w:rPr>
        <w:t xml:space="preserve">Produits 1 &amp; 2 dans le cadre de concertations et </w:t>
      </w:r>
      <w:r w:rsidR="00934BFE" w:rsidRPr="00934BFE">
        <w:rPr>
          <w:rFonts w:ascii="Avenir Next LT Pro" w:hAnsi="Avenir Next LT Pro"/>
          <w:sz w:val="20"/>
          <w:szCs w:val="20"/>
        </w:rPr>
        <w:t>dialogue</w:t>
      </w:r>
      <w:r w:rsidR="00050E5D">
        <w:rPr>
          <w:rFonts w:ascii="Avenir Next LT Pro" w:hAnsi="Avenir Next LT Pro"/>
          <w:sz w:val="20"/>
          <w:szCs w:val="20"/>
        </w:rPr>
        <w:t>s</w:t>
      </w:r>
      <w:r w:rsidR="00934BFE" w:rsidRPr="00934BFE">
        <w:rPr>
          <w:rFonts w:ascii="Avenir Next LT Pro" w:hAnsi="Avenir Next LT Pro"/>
          <w:sz w:val="20"/>
          <w:szCs w:val="20"/>
        </w:rPr>
        <w:t xml:space="preserve"> large</w:t>
      </w:r>
      <w:r w:rsidR="00050E5D">
        <w:rPr>
          <w:rFonts w:ascii="Avenir Next LT Pro" w:hAnsi="Avenir Next LT Pro"/>
          <w:sz w:val="20"/>
          <w:szCs w:val="20"/>
        </w:rPr>
        <w:t>s</w:t>
      </w:r>
      <w:r w:rsidR="00D005F3">
        <w:rPr>
          <w:rFonts w:ascii="Avenir Next LT Pro" w:hAnsi="Avenir Next LT Pro"/>
          <w:sz w:val="20"/>
          <w:szCs w:val="20"/>
        </w:rPr>
        <w:t xml:space="preserve">, </w:t>
      </w:r>
      <w:r w:rsidR="00934BFE" w:rsidRPr="00934BFE">
        <w:rPr>
          <w:rFonts w:ascii="Avenir Next LT Pro" w:hAnsi="Avenir Next LT Pro"/>
          <w:sz w:val="20"/>
          <w:szCs w:val="20"/>
        </w:rPr>
        <w:t>inclusif</w:t>
      </w:r>
      <w:r w:rsidR="00D005F3">
        <w:rPr>
          <w:rFonts w:ascii="Avenir Next LT Pro" w:hAnsi="Avenir Next LT Pro"/>
          <w:sz w:val="20"/>
          <w:szCs w:val="20"/>
        </w:rPr>
        <w:t>s</w:t>
      </w:r>
      <w:r w:rsidR="00934BFE" w:rsidRPr="00934BFE">
        <w:rPr>
          <w:rFonts w:ascii="Avenir Next LT Pro" w:hAnsi="Avenir Next LT Pro"/>
          <w:sz w:val="20"/>
          <w:szCs w:val="20"/>
        </w:rPr>
        <w:t xml:space="preserve"> et multi-acteurs sur la CDN et les marchés du carbone en </w:t>
      </w:r>
      <w:r w:rsidR="00D005F3">
        <w:rPr>
          <w:rFonts w:ascii="Avenir Next LT Pro" w:hAnsi="Avenir Next LT Pro"/>
          <w:sz w:val="20"/>
          <w:szCs w:val="20"/>
        </w:rPr>
        <w:t xml:space="preserve">créant ou en </w:t>
      </w:r>
      <w:r w:rsidR="00934BFE" w:rsidRPr="00934BFE">
        <w:rPr>
          <w:rFonts w:ascii="Avenir Next LT Pro" w:hAnsi="Avenir Next LT Pro"/>
          <w:sz w:val="20"/>
          <w:szCs w:val="20"/>
        </w:rPr>
        <w:t>mobilisant diverses plateformes de concertation</w:t>
      </w:r>
      <w:r w:rsidR="00D005F3">
        <w:rPr>
          <w:rFonts w:ascii="Avenir Next LT Pro" w:hAnsi="Avenir Next LT Pro"/>
          <w:sz w:val="20"/>
          <w:szCs w:val="20"/>
        </w:rPr>
        <w:t xml:space="preserve">. </w:t>
      </w:r>
      <w:r w:rsidR="0023259D">
        <w:rPr>
          <w:rFonts w:ascii="Avenir Next LT Pro" w:hAnsi="Avenir Next LT Pro"/>
          <w:sz w:val="20"/>
          <w:szCs w:val="20"/>
        </w:rPr>
        <w:t xml:space="preserve">Il s’agira par ailleurs de renforcer la </w:t>
      </w:r>
      <w:r w:rsidR="00D40B28">
        <w:rPr>
          <w:rFonts w:ascii="Avenir Next LT Pro" w:hAnsi="Avenir Next LT Pro"/>
          <w:sz w:val="20"/>
          <w:szCs w:val="20"/>
        </w:rPr>
        <w:t>diplomatie</w:t>
      </w:r>
      <w:r w:rsidR="0023259D">
        <w:rPr>
          <w:rFonts w:ascii="Avenir Next LT Pro" w:hAnsi="Avenir Next LT Pro"/>
          <w:sz w:val="20"/>
          <w:szCs w:val="20"/>
        </w:rPr>
        <w:t xml:space="preserve"> environnementale</w:t>
      </w:r>
      <w:r w:rsidR="00D40B28">
        <w:rPr>
          <w:rFonts w:ascii="Avenir Next LT Pro" w:hAnsi="Avenir Next LT Pro"/>
          <w:sz w:val="20"/>
          <w:szCs w:val="20"/>
        </w:rPr>
        <w:t xml:space="preserve">, ainsi que </w:t>
      </w:r>
      <w:r w:rsidR="0023259D" w:rsidRPr="0023259D">
        <w:rPr>
          <w:rFonts w:ascii="Avenir Next LT Pro" w:hAnsi="Avenir Next LT Pro"/>
          <w:sz w:val="20"/>
          <w:szCs w:val="20"/>
        </w:rPr>
        <w:t>la communication et la sensibilisation sur la CDN et les marchés du carbone</w:t>
      </w:r>
      <w:r w:rsidR="00D40B28">
        <w:rPr>
          <w:rFonts w:ascii="Avenir Next LT Pro" w:hAnsi="Avenir Next LT Pro"/>
          <w:sz w:val="20"/>
          <w:szCs w:val="20"/>
        </w:rPr>
        <w:t xml:space="preserve">. </w:t>
      </w:r>
      <w:r w:rsidR="005355FB">
        <w:rPr>
          <w:rFonts w:ascii="Avenir Next LT Pro" w:hAnsi="Avenir Next LT Pro"/>
          <w:sz w:val="20"/>
          <w:szCs w:val="20"/>
        </w:rPr>
        <w:t xml:space="preserve">Les activités seront </w:t>
      </w:r>
      <w:r w:rsidR="008E20C0">
        <w:rPr>
          <w:rFonts w:ascii="Avenir Next LT Pro" w:hAnsi="Avenir Next LT Pro"/>
          <w:sz w:val="20"/>
          <w:szCs w:val="20"/>
        </w:rPr>
        <w:t>exécutées</w:t>
      </w:r>
      <w:r w:rsidR="005355FB">
        <w:rPr>
          <w:rFonts w:ascii="Avenir Next LT Pro" w:hAnsi="Avenir Next LT Pro"/>
          <w:sz w:val="20"/>
          <w:szCs w:val="20"/>
        </w:rPr>
        <w:t xml:space="preserve"> de manière concurrente par le MEDD</w:t>
      </w:r>
      <w:r w:rsidR="008E20C0">
        <w:rPr>
          <w:rFonts w:ascii="Avenir Next LT Pro" w:hAnsi="Avenir Next LT Pro"/>
          <w:sz w:val="20"/>
          <w:szCs w:val="20"/>
        </w:rPr>
        <w:t xml:space="preserve">, </w:t>
      </w:r>
      <w:r w:rsidR="005355FB">
        <w:rPr>
          <w:rFonts w:ascii="Avenir Next LT Pro" w:hAnsi="Avenir Next LT Pro"/>
          <w:sz w:val="20"/>
          <w:szCs w:val="20"/>
        </w:rPr>
        <w:t>le PNUD</w:t>
      </w:r>
      <w:r w:rsidR="008E20C0">
        <w:rPr>
          <w:rFonts w:ascii="Avenir Next LT Pro" w:hAnsi="Avenir Next LT Pro"/>
          <w:sz w:val="20"/>
          <w:szCs w:val="20"/>
        </w:rPr>
        <w:t xml:space="preserve"> et dans une certaine mesure le </w:t>
      </w:r>
      <w:proofErr w:type="spellStart"/>
      <w:r w:rsidR="008E20C0">
        <w:rPr>
          <w:rFonts w:ascii="Avenir Next LT Pro" w:hAnsi="Avenir Next LT Pro"/>
          <w:sz w:val="20"/>
          <w:szCs w:val="20"/>
        </w:rPr>
        <w:t>MinFi</w:t>
      </w:r>
      <w:proofErr w:type="spellEnd"/>
      <w:r w:rsidR="008E20C0">
        <w:rPr>
          <w:rFonts w:ascii="Avenir Next LT Pro" w:hAnsi="Avenir Next LT Pro"/>
          <w:sz w:val="20"/>
          <w:szCs w:val="20"/>
        </w:rPr>
        <w:t>.</w:t>
      </w:r>
      <w:r w:rsidR="005355FB">
        <w:rPr>
          <w:rFonts w:ascii="Avenir Next LT Pro" w:hAnsi="Avenir Next LT Pro"/>
          <w:sz w:val="20"/>
          <w:szCs w:val="20"/>
        </w:rPr>
        <w:t xml:space="preserve"> </w:t>
      </w:r>
    </w:p>
    <w:p w14:paraId="61454DFC" w14:textId="77777777" w:rsidR="00C55F2A" w:rsidRPr="00D94338" w:rsidRDefault="00C55F2A" w:rsidP="00C55F2A">
      <w:pPr>
        <w:spacing w:after="0"/>
        <w:rPr>
          <w:rFonts w:ascii="Avenir Next LT Pro" w:hAnsi="Avenir Next LT Pro"/>
          <w:b/>
          <w:bCs/>
          <w:sz w:val="20"/>
          <w:szCs w:val="20"/>
        </w:rPr>
      </w:pPr>
    </w:p>
    <w:p w14:paraId="3ACDA66C" w14:textId="0337DE07" w:rsidR="00C55F2A" w:rsidRPr="00D94338" w:rsidRDefault="00964609" w:rsidP="00964609">
      <w:pPr>
        <w:spacing w:after="0"/>
        <w:ind w:left="1260" w:hanging="1260"/>
        <w:jc w:val="both"/>
        <w:rPr>
          <w:rFonts w:ascii="Avenir Next LT Pro" w:hAnsi="Avenir Next LT Pro" w:cs="Calibri"/>
          <w:sz w:val="20"/>
          <w:szCs w:val="20"/>
        </w:rPr>
      </w:pPr>
      <w:r w:rsidRPr="00D94338">
        <w:rPr>
          <w:rFonts w:ascii="Avenir Next LT Pro" w:hAnsi="Avenir Next LT Pro" w:cs="Calibri"/>
          <w:sz w:val="20"/>
          <w:szCs w:val="20"/>
        </w:rPr>
        <w:lastRenderedPageBreak/>
        <w:t xml:space="preserve">Activité 3.1. </w:t>
      </w:r>
      <w:r w:rsidR="00C55F2A" w:rsidRPr="00D94338">
        <w:rPr>
          <w:rFonts w:ascii="Avenir Next LT Pro" w:hAnsi="Avenir Next LT Pro" w:cs="Calibri"/>
          <w:sz w:val="20"/>
          <w:szCs w:val="20"/>
        </w:rPr>
        <w:t>Appuyer les cadres de concertation et de dialogue inclusif (ex. secteur public, gouvernement + parlement), secteur privé, société civile, PTF, universités et instituts de recherche) sur les marchés du carbone et la CDN. </w:t>
      </w:r>
      <w:r w:rsidR="00C71076">
        <w:rPr>
          <w:rFonts w:ascii="Avenir Next LT Pro" w:hAnsi="Avenir Next LT Pro" w:cs="Calibri"/>
          <w:sz w:val="20"/>
          <w:szCs w:val="20"/>
        </w:rPr>
        <w:t xml:space="preserve">Il s’agira </w:t>
      </w:r>
      <w:r w:rsidR="00DC300B">
        <w:rPr>
          <w:rFonts w:ascii="Avenir Next LT Pro" w:hAnsi="Avenir Next LT Pro" w:cs="Calibri"/>
          <w:sz w:val="20"/>
          <w:szCs w:val="20"/>
        </w:rPr>
        <w:t>de s’appuyer sur les cadres de concertation et de dialogue existants</w:t>
      </w:r>
      <w:r w:rsidR="00DE2EC8">
        <w:rPr>
          <w:rFonts w:ascii="Avenir Next LT Pro" w:hAnsi="Avenir Next LT Pro" w:cs="Calibri"/>
          <w:sz w:val="20"/>
          <w:szCs w:val="20"/>
        </w:rPr>
        <w:t xml:space="preserve"> (Ex. GIBEC </w:t>
      </w:r>
      <w:r w:rsidR="001D58C6">
        <w:rPr>
          <w:rFonts w:ascii="Avenir Next LT Pro" w:hAnsi="Avenir Next LT Pro" w:cs="Calibri"/>
          <w:sz w:val="20"/>
          <w:szCs w:val="20"/>
        </w:rPr>
        <w:t>pour les PTF)</w:t>
      </w:r>
      <w:r w:rsidR="00DC300B">
        <w:rPr>
          <w:rFonts w:ascii="Avenir Next LT Pro" w:hAnsi="Avenir Next LT Pro" w:cs="Calibri"/>
          <w:sz w:val="20"/>
          <w:szCs w:val="20"/>
        </w:rPr>
        <w:t xml:space="preserve">, sinon </w:t>
      </w:r>
      <w:r w:rsidR="001D58C6">
        <w:rPr>
          <w:rFonts w:ascii="Avenir Next LT Pro" w:hAnsi="Avenir Next LT Pro" w:cs="Calibri"/>
          <w:sz w:val="20"/>
          <w:szCs w:val="20"/>
        </w:rPr>
        <w:t xml:space="preserve">au besoin </w:t>
      </w:r>
      <w:r w:rsidR="00DC300B">
        <w:rPr>
          <w:rFonts w:ascii="Avenir Next LT Pro" w:hAnsi="Avenir Next LT Pro" w:cs="Calibri"/>
          <w:sz w:val="20"/>
          <w:szCs w:val="20"/>
        </w:rPr>
        <w:t>de créer de</w:t>
      </w:r>
      <w:r w:rsidR="00DE2EC8">
        <w:rPr>
          <w:rFonts w:ascii="Avenir Next LT Pro" w:hAnsi="Avenir Next LT Pro" w:cs="Calibri"/>
          <w:sz w:val="20"/>
          <w:szCs w:val="20"/>
        </w:rPr>
        <w:t xml:space="preserve"> nouveaux cadres de concertation et de dialogues </w:t>
      </w:r>
      <w:r w:rsidR="001D58C6">
        <w:rPr>
          <w:rFonts w:ascii="Avenir Next LT Pro" w:hAnsi="Avenir Next LT Pro" w:cs="Calibri"/>
          <w:sz w:val="20"/>
          <w:szCs w:val="20"/>
        </w:rPr>
        <w:t>inclusif</w:t>
      </w:r>
      <w:r w:rsidR="00282E1B">
        <w:rPr>
          <w:rFonts w:ascii="Avenir Next LT Pro" w:hAnsi="Avenir Next LT Pro" w:cs="Calibri"/>
          <w:sz w:val="20"/>
          <w:szCs w:val="20"/>
        </w:rPr>
        <w:t xml:space="preserve">s et multi-acteurs </w:t>
      </w:r>
      <w:r w:rsidR="001F627C">
        <w:rPr>
          <w:rFonts w:ascii="Avenir Next LT Pro" w:hAnsi="Avenir Next LT Pro" w:cs="Calibri"/>
          <w:sz w:val="20"/>
          <w:szCs w:val="20"/>
        </w:rPr>
        <w:t xml:space="preserve">en vue d’accompagner l’entreprise de cocréation </w:t>
      </w:r>
      <w:r w:rsidR="00755745">
        <w:rPr>
          <w:rFonts w:ascii="Avenir Next LT Pro" w:hAnsi="Avenir Next LT Pro" w:cs="Calibri"/>
          <w:sz w:val="20"/>
          <w:szCs w:val="20"/>
        </w:rPr>
        <w:t>d’un environnement favorable pour un accès effectif et stratégique de la RDC aux marchés du carbone.</w:t>
      </w:r>
      <w:r w:rsidR="00D76EA8">
        <w:rPr>
          <w:rFonts w:ascii="Avenir Next LT Pro" w:hAnsi="Avenir Next LT Pro" w:cs="Calibri"/>
          <w:sz w:val="20"/>
          <w:szCs w:val="20"/>
        </w:rPr>
        <w:t xml:space="preserve"> </w:t>
      </w:r>
      <w:r w:rsidR="00D91245">
        <w:rPr>
          <w:rFonts w:ascii="Avenir Next LT Pro" w:hAnsi="Avenir Next LT Pro" w:cs="Calibri"/>
          <w:sz w:val="20"/>
          <w:szCs w:val="20"/>
        </w:rPr>
        <w:t xml:space="preserve">Ces cadres concertation et dialogue inclusif seront particulièrement mobilisés et serviront de levier </w:t>
      </w:r>
      <w:r w:rsidR="007C6987">
        <w:rPr>
          <w:rFonts w:ascii="Avenir Next LT Pro" w:hAnsi="Avenir Next LT Pro" w:cs="Calibri"/>
          <w:sz w:val="20"/>
          <w:szCs w:val="20"/>
        </w:rPr>
        <w:t>stratégique pour la prise de décision.</w:t>
      </w:r>
      <w:r w:rsidR="00755745">
        <w:rPr>
          <w:rFonts w:ascii="Avenir Next LT Pro" w:hAnsi="Avenir Next LT Pro" w:cs="Calibri"/>
          <w:sz w:val="20"/>
          <w:szCs w:val="20"/>
        </w:rPr>
        <w:t xml:space="preserve"> </w:t>
      </w:r>
      <w:r w:rsidR="005D47AF">
        <w:rPr>
          <w:rFonts w:ascii="Avenir Next LT Pro" w:hAnsi="Avenir Next LT Pro" w:cs="Calibri"/>
          <w:sz w:val="20"/>
          <w:szCs w:val="20"/>
        </w:rPr>
        <w:t>Des animateurs au sein des cadres de concertation et de dialogue</w:t>
      </w:r>
      <w:r w:rsidR="005B2516">
        <w:rPr>
          <w:rFonts w:ascii="Avenir Next LT Pro" w:hAnsi="Avenir Next LT Pro" w:cs="Calibri"/>
          <w:sz w:val="20"/>
          <w:szCs w:val="20"/>
        </w:rPr>
        <w:t xml:space="preserve"> inclusif existants seront mobilisés, sinon des animateurs indépendants seront recrutés au besoin pour </w:t>
      </w:r>
      <w:r w:rsidR="001D25FD">
        <w:rPr>
          <w:rFonts w:ascii="Avenir Next LT Pro" w:hAnsi="Avenir Next LT Pro" w:cs="Calibri"/>
          <w:sz w:val="20"/>
          <w:szCs w:val="20"/>
        </w:rPr>
        <w:t xml:space="preserve">appuyer l’engagement de ces </w:t>
      </w:r>
      <w:r w:rsidR="00733F94">
        <w:rPr>
          <w:rFonts w:ascii="Avenir Next LT Pro" w:hAnsi="Avenir Next LT Pro" w:cs="Calibri"/>
          <w:sz w:val="20"/>
          <w:szCs w:val="20"/>
        </w:rPr>
        <w:t>cadres de consultation et de dialogue</w:t>
      </w:r>
      <w:r w:rsidR="009103D0">
        <w:rPr>
          <w:rFonts w:ascii="Avenir Next LT Pro" w:hAnsi="Avenir Next LT Pro" w:cs="Calibri"/>
          <w:sz w:val="20"/>
          <w:szCs w:val="20"/>
        </w:rPr>
        <w:t xml:space="preserve"> inclusif dans le cadre d’ateliers </w:t>
      </w:r>
      <w:r w:rsidR="00934901">
        <w:rPr>
          <w:rFonts w:ascii="Avenir Next LT Pro" w:hAnsi="Avenir Next LT Pro" w:cs="Calibri"/>
          <w:sz w:val="20"/>
          <w:szCs w:val="20"/>
        </w:rPr>
        <w:t>réguliers</w:t>
      </w:r>
      <w:r w:rsidR="00733F94">
        <w:rPr>
          <w:rFonts w:ascii="Avenir Next LT Pro" w:hAnsi="Avenir Next LT Pro" w:cs="Calibri"/>
          <w:sz w:val="20"/>
          <w:szCs w:val="20"/>
        </w:rPr>
        <w:t xml:space="preserve">. </w:t>
      </w:r>
      <w:r w:rsidR="005B2516">
        <w:rPr>
          <w:rFonts w:ascii="Avenir Next LT Pro" w:hAnsi="Avenir Next LT Pro" w:cs="Calibri"/>
          <w:sz w:val="20"/>
          <w:szCs w:val="20"/>
        </w:rPr>
        <w:t xml:space="preserve"> </w:t>
      </w:r>
      <w:r w:rsidR="00C55F2A" w:rsidRPr="00D94338">
        <w:rPr>
          <w:rFonts w:ascii="Avenir Next LT Pro" w:hAnsi="Avenir Next LT Pro" w:cs="Calibri"/>
          <w:sz w:val="20"/>
          <w:szCs w:val="20"/>
        </w:rPr>
        <w:t xml:space="preserve"> </w:t>
      </w:r>
    </w:p>
    <w:p w14:paraId="7E7649F5" w14:textId="77777777" w:rsidR="00C55F2A" w:rsidRPr="00D94338" w:rsidRDefault="00C55F2A" w:rsidP="00C55F2A">
      <w:pPr>
        <w:pStyle w:val="Paragraphedeliste"/>
        <w:spacing w:after="0" w:line="240" w:lineRule="auto"/>
        <w:ind w:left="360"/>
        <w:jc w:val="both"/>
        <w:rPr>
          <w:rFonts w:ascii="Avenir Next LT Pro" w:hAnsi="Avenir Next LT Pro" w:cs="Calibri"/>
          <w:sz w:val="20"/>
          <w:szCs w:val="20"/>
        </w:rPr>
      </w:pPr>
    </w:p>
    <w:p w14:paraId="1B003C35" w14:textId="62ED8CDE" w:rsidR="00C55F2A" w:rsidRDefault="00964609" w:rsidP="00964609">
      <w:pPr>
        <w:spacing w:after="0"/>
        <w:ind w:left="1080" w:hanging="1080"/>
        <w:jc w:val="both"/>
        <w:rPr>
          <w:rFonts w:ascii="Avenir Next LT Pro" w:hAnsi="Avenir Next LT Pro" w:cs="Calibri"/>
          <w:sz w:val="20"/>
          <w:szCs w:val="20"/>
        </w:rPr>
      </w:pPr>
      <w:r w:rsidRPr="00D94338">
        <w:rPr>
          <w:rFonts w:ascii="Avenir Next LT Pro" w:hAnsi="Avenir Next LT Pro" w:cs="Calibri"/>
          <w:sz w:val="20"/>
          <w:szCs w:val="20"/>
        </w:rPr>
        <w:t xml:space="preserve">Activité 3.2. </w:t>
      </w:r>
      <w:r w:rsidR="00C55F2A" w:rsidRPr="00D94338">
        <w:rPr>
          <w:rFonts w:ascii="Avenir Next LT Pro" w:hAnsi="Avenir Next LT Pro" w:cs="Calibri"/>
          <w:sz w:val="20"/>
          <w:szCs w:val="20"/>
        </w:rPr>
        <w:t xml:space="preserve">Appuyer la diplomatie environnementale, les négociations internationales et les dialogues avec les bailleurs de fonds. </w:t>
      </w:r>
      <w:r w:rsidR="00E03E23">
        <w:rPr>
          <w:rFonts w:ascii="Avenir Next LT Pro" w:hAnsi="Avenir Next LT Pro" w:cs="Calibri"/>
          <w:sz w:val="20"/>
          <w:szCs w:val="20"/>
        </w:rPr>
        <w:t xml:space="preserve">Il s’agira </w:t>
      </w:r>
      <w:r w:rsidR="00FD2AB7">
        <w:rPr>
          <w:rFonts w:ascii="Avenir Next LT Pro" w:hAnsi="Avenir Next LT Pro" w:cs="Calibri"/>
          <w:sz w:val="20"/>
          <w:szCs w:val="20"/>
        </w:rPr>
        <w:t xml:space="preserve">particulièrement </w:t>
      </w:r>
      <w:r w:rsidR="00284D98">
        <w:rPr>
          <w:rFonts w:ascii="Avenir Next LT Pro" w:hAnsi="Avenir Next LT Pro" w:cs="Calibri"/>
          <w:sz w:val="20"/>
          <w:szCs w:val="20"/>
        </w:rPr>
        <w:t xml:space="preserve">d’assurer une participation effective des représentants de la RDC aux </w:t>
      </w:r>
      <w:r w:rsidR="007F0895">
        <w:rPr>
          <w:rFonts w:ascii="Avenir Next LT Pro" w:hAnsi="Avenir Next LT Pro" w:cs="Calibri"/>
          <w:sz w:val="20"/>
          <w:szCs w:val="20"/>
        </w:rPr>
        <w:t>négociations</w:t>
      </w:r>
      <w:r w:rsidR="00CF0A04">
        <w:rPr>
          <w:rFonts w:ascii="Avenir Next LT Pro" w:hAnsi="Avenir Next LT Pro" w:cs="Calibri"/>
          <w:sz w:val="20"/>
          <w:szCs w:val="20"/>
        </w:rPr>
        <w:t xml:space="preserve"> d’envergue sur les changements climatiques et plus particulièrement les marchés du carbone, aussi bien au niveau international et régional.</w:t>
      </w:r>
      <w:r w:rsidR="00934901">
        <w:rPr>
          <w:rFonts w:ascii="Avenir Next LT Pro" w:hAnsi="Avenir Next LT Pro" w:cs="Calibri"/>
          <w:sz w:val="20"/>
          <w:szCs w:val="20"/>
        </w:rPr>
        <w:t xml:space="preserve"> </w:t>
      </w:r>
      <w:r w:rsidR="00271E6E">
        <w:rPr>
          <w:rFonts w:ascii="Avenir Next LT Pro" w:hAnsi="Avenir Next LT Pro" w:cs="Calibri"/>
          <w:sz w:val="20"/>
          <w:szCs w:val="20"/>
        </w:rPr>
        <w:t xml:space="preserve">Il s’agira également d’appuyer </w:t>
      </w:r>
      <w:r w:rsidR="00476C2E">
        <w:rPr>
          <w:rFonts w:ascii="Avenir Next LT Pro" w:hAnsi="Avenir Next LT Pro" w:cs="Calibri"/>
          <w:sz w:val="20"/>
          <w:szCs w:val="20"/>
        </w:rPr>
        <w:t xml:space="preserve">l’organisation et/ou la participation des représentants de la RDC </w:t>
      </w:r>
      <w:r w:rsidR="005D68A6">
        <w:rPr>
          <w:rFonts w:ascii="Avenir Next LT Pro" w:hAnsi="Avenir Next LT Pro" w:cs="Calibri"/>
          <w:sz w:val="20"/>
          <w:szCs w:val="20"/>
        </w:rPr>
        <w:t xml:space="preserve">dans les dialogues bilatéraux et multilatéraux avec les bailleurs de fonds divers. </w:t>
      </w:r>
      <w:r w:rsidR="0054688D">
        <w:rPr>
          <w:rFonts w:ascii="Avenir Next LT Pro" w:hAnsi="Avenir Next LT Pro" w:cs="Calibri"/>
          <w:sz w:val="20"/>
          <w:szCs w:val="20"/>
        </w:rPr>
        <w:t xml:space="preserve">Il s’agira également de </w:t>
      </w:r>
      <w:r w:rsidR="001B31C5">
        <w:rPr>
          <w:rFonts w:ascii="Avenir Next LT Pro" w:hAnsi="Avenir Next LT Pro" w:cs="Calibri"/>
          <w:sz w:val="20"/>
          <w:szCs w:val="20"/>
        </w:rPr>
        <w:t xml:space="preserve">l’appui à </w:t>
      </w:r>
      <w:r w:rsidR="0054688D">
        <w:rPr>
          <w:rFonts w:ascii="Avenir Next LT Pro" w:hAnsi="Avenir Next LT Pro" w:cs="Calibri"/>
          <w:sz w:val="20"/>
          <w:szCs w:val="20"/>
        </w:rPr>
        <w:t>l’organisation d’</w:t>
      </w:r>
      <w:r w:rsidR="001B31C5">
        <w:rPr>
          <w:rFonts w:ascii="Avenir Next LT Pro" w:hAnsi="Avenir Next LT Pro" w:cs="Calibri"/>
          <w:sz w:val="20"/>
          <w:szCs w:val="20"/>
        </w:rPr>
        <w:t xml:space="preserve">évènements d’envergure par le Gouvernement de la RDC. </w:t>
      </w:r>
      <w:r w:rsidR="00137401">
        <w:rPr>
          <w:rFonts w:ascii="Avenir Next LT Pro" w:hAnsi="Avenir Next LT Pro" w:cs="Calibri"/>
          <w:sz w:val="20"/>
          <w:szCs w:val="20"/>
        </w:rPr>
        <w:t xml:space="preserve">Cette activité sera </w:t>
      </w:r>
      <w:r w:rsidR="0045033E">
        <w:rPr>
          <w:rFonts w:ascii="Avenir Next LT Pro" w:hAnsi="Avenir Next LT Pro" w:cs="Calibri"/>
          <w:sz w:val="20"/>
          <w:szCs w:val="20"/>
        </w:rPr>
        <w:t>exécutée par</w:t>
      </w:r>
      <w:r w:rsidR="00137401">
        <w:rPr>
          <w:rFonts w:ascii="Avenir Next LT Pro" w:hAnsi="Avenir Next LT Pro" w:cs="Calibri"/>
          <w:sz w:val="20"/>
          <w:szCs w:val="20"/>
        </w:rPr>
        <w:t xml:space="preserve"> le MEDD</w:t>
      </w:r>
      <w:r w:rsidR="0045033E">
        <w:rPr>
          <w:rFonts w:ascii="Avenir Next LT Pro" w:hAnsi="Avenir Next LT Pro" w:cs="Calibri"/>
          <w:sz w:val="20"/>
          <w:szCs w:val="20"/>
        </w:rPr>
        <w:t xml:space="preserve"> avec l’appui du PNUD. </w:t>
      </w:r>
    </w:p>
    <w:p w14:paraId="2D365084" w14:textId="77777777" w:rsidR="005F47BA" w:rsidRPr="00D94338" w:rsidRDefault="005F47BA" w:rsidP="00964609">
      <w:pPr>
        <w:spacing w:after="0"/>
        <w:ind w:left="1080" w:hanging="1080"/>
        <w:jc w:val="both"/>
        <w:rPr>
          <w:rFonts w:ascii="Avenir Next LT Pro" w:hAnsi="Avenir Next LT Pro" w:cs="Calibri"/>
          <w:sz w:val="20"/>
          <w:szCs w:val="20"/>
        </w:rPr>
      </w:pPr>
    </w:p>
    <w:p w14:paraId="744E1542" w14:textId="54E2B731" w:rsidR="00C55F2A" w:rsidRPr="00D94338" w:rsidRDefault="00E72560" w:rsidP="00E72560">
      <w:pPr>
        <w:spacing w:after="0"/>
        <w:ind w:left="1170" w:hanging="1170"/>
        <w:jc w:val="both"/>
        <w:rPr>
          <w:rFonts w:ascii="Avenir Next LT Pro" w:eastAsiaTheme="minorHAnsi" w:hAnsi="Avenir Next LT Pro" w:cs="Calibri"/>
          <w:sz w:val="20"/>
          <w:szCs w:val="20"/>
        </w:rPr>
      </w:pPr>
      <w:r w:rsidRPr="00D94338">
        <w:rPr>
          <w:rFonts w:ascii="Avenir Next LT Pro" w:hAnsi="Avenir Next LT Pro" w:cs="Calibri"/>
          <w:sz w:val="20"/>
          <w:szCs w:val="20"/>
        </w:rPr>
        <w:t>Activité</w:t>
      </w:r>
      <w:r w:rsidR="00964609" w:rsidRPr="00D94338">
        <w:rPr>
          <w:rFonts w:ascii="Avenir Next LT Pro" w:hAnsi="Avenir Next LT Pro" w:cs="Calibri"/>
          <w:sz w:val="20"/>
          <w:szCs w:val="20"/>
        </w:rPr>
        <w:t xml:space="preserve"> </w:t>
      </w:r>
      <w:r w:rsidRPr="00D94338">
        <w:rPr>
          <w:rFonts w:ascii="Avenir Next LT Pro" w:hAnsi="Avenir Next LT Pro" w:cs="Calibri"/>
          <w:sz w:val="20"/>
          <w:szCs w:val="20"/>
        </w:rPr>
        <w:t xml:space="preserve">3.3. </w:t>
      </w:r>
      <w:r w:rsidR="00C55F2A" w:rsidRPr="00D94338">
        <w:rPr>
          <w:rFonts w:ascii="Avenir Next LT Pro" w:hAnsi="Avenir Next LT Pro" w:cs="Calibri"/>
          <w:sz w:val="20"/>
          <w:szCs w:val="20"/>
        </w:rPr>
        <w:t xml:space="preserve">Elaborer et mettre en œuvre un Plan d’information, communication et sensibilisation, sensible au genre, sur les marchés du carbone et la CDN. </w:t>
      </w:r>
      <w:r w:rsidR="00A546BE">
        <w:rPr>
          <w:rFonts w:ascii="Avenir Next LT Pro" w:hAnsi="Avenir Next LT Pro" w:cs="Calibri"/>
          <w:sz w:val="20"/>
          <w:szCs w:val="20"/>
        </w:rPr>
        <w:t xml:space="preserve">Un consultant national </w:t>
      </w:r>
      <w:r w:rsidR="002B7637">
        <w:rPr>
          <w:rFonts w:ascii="Avenir Next LT Pro" w:hAnsi="Avenir Next LT Pro" w:cs="Calibri"/>
          <w:sz w:val="20"/>
          <w:szCs w:val="20"/>
        </w:rPr>
        <w:t>sera recruté pour l</w:t>
      </w:r>
      <w:r w:rsidR="00B632E4">
        <w:rPr>
          <w:rFonts w:ascii="Avenir Next LT Pro" w:hAnsi="Avenir Next LT Pro" w:cs="Calibri"/>
          <w:sz w:val="20"/>
          <w:szCs w:val="20"/>
        </w:rPr>
        <w:t>’élaboration du Plan de communication</w:t>
      </w:r>
      <w:r w:rsidR="002B7637">
        <w:rPr>
          <w:rFonts w:ascii="Avenir Next LT Pro" w:hAnsi="Avenir Next LT Pro" w:cs="Calibri"/>
          <w:sz w:val="20"/>
          <w:szCs w:val="20"/>
        </w:rPr>
        <w:t xml:space="preserve"> qui sera exécuté </w:t>
      </w:r>
      <w:r w:rsidR="00161BA2">
        <w:rPr>
          <w:rFonts w:ascii="Avenir Next LT Pro" w:hAnsi="Avenir Next LT Pro" w:cs="Calibri"/>
          <w:sz w:val="20"/>
          <w:szCs w:val="20"/>
        </w:rPr>
        <w:t xml:space="preserve">par </w:t>
      </w:r>
      <w:r w:rsidR="002B7637">
        <w:rPr>
          <w:rFonts w:ascii="Avenir Next LT Pro" w:hAnsi="Avenir Next LT Pro" w:cs="Calibri"/>
          <w:sz w:val="20"/>
          <w:szCs w:val="20"/>
        </w:rPr>
        <w:t>le PNUD</w:t>
      </w:r>
      <w:r w:rsidR="00161BA2">
        <w:rPr>
          <w:rFonts w:ascii="Avenir Next LT Pro" w:hAnsi="Avenir Next LT Pro" w:cs="Calibri"/>
          <w:sz w:val="20"/>
          <w:szCs w:val="20"/>
        </w:rPr>
        <w:t xml:space="preserve"> (</w:t>
      </w:r>
      <w:r w:rsidR="00221C19">
        <w:rPr>
          <w:rFonts w:ascii="Avenir Next LT Pro" w:hAnsi="Avenir Next LT Pro" w:cs="Calibri"/>
          <w:sz w:val="20"/>
          <w:szCs w:val="20"/>
        </w:rPr>
        <w:t xml:space="preserve">mobilisation du spécialiste en communication) </w:t>
      </w:r>
      <w:r w:rsidR="00161BA2">
        <w:rPr>
          <w:rFonts w:ascii="Avenir Next LT Pro" w:hAnsi="Avenir Next LT Pro" w:cs="Calibri"/>
          <w:sz w:val="20"/>
          <w:szCs w:val="20"/>
        </w:rPr>
        <w:t xml:space="preserve">en coordination avec le MEDD </w:t>
      </w:r>
      <w:r w:rsidR="002B7637">
        <w:rPr>
          <w:rFonts w:ascii="Avenir Next LT Pro" w:hAnsi="Avenir Next LT Pro" w:cs="Calibri"/>
          <w:sz w:val="20"/>
          <w:szCs w:val="20"/>
        </w:rPr>
        <w:t xml:space="preserve">. </w:t>
      </w:r>
      <w:r w:rsidR="00153B9E">
        <w:rPr>
          <w:rFonts w:ascii="Avenir Next LT Pro" w:hAnsi="Avenir Next LT Pro" w:cs="Calibri"/>
          <w:sz w:val="20"/>
          <w:szCs w:val="20"/>
        </w:rPr>
        <w:t xml:space="preserve">Il s’agira de manière non-exhaustive </w:t>
      </w:r>
      <w:r w:rsidR="004345AA">
        <w:rPr>
          <w:rFonts w:ascii="Avenir Next LT Pro" w:hAnsi="Avenir Next LT Pro" w:cs="Calibri"/>
          <w:sz w:val="20"/>
          <w:szCs w:val="20"/>
        </w:rPr>
        <w:t xml:space="preserve">de développer et disséminer des outils de communication sur divers supports numériques </w:t>
      </w:r>
      <w:r w:rsidR="004156D2">
        <w:rPr>
          <w:rFonts w:ascii="Avenir Next LT Pro" w:hAnsi="Avenir Next LT Pro" w:cs="Calibri"/>
          <w:sz w:val="20"/>
          <w:szCs w:val="20"/>
        </w:rPr>
        <w:t>tels que les</w:t>
      </w:r>
      <w:r w:rsidR="004345AA">
        <w:rPr>
          <w:rFonts w:ascii="Avenir Next LT Pro" w:hAnsi="Avenir Next LT Pro" w:cs="Calibri"/>
          <w:sz w:val="20"/>
          <w:szCs w:val="20"/>
        </w:rPr>
        <w:t xml:space="preserve"> </w:t>
      </w:r>
      <w:r w:rsidR="004156D2">
        <w:rPr>
          <w:rFonts w:ascii="Avenir Next LT Pro" w:hAnsi="Avenir Next LT Pro" w:cs="Calibri"/>
          <w:sz w:val="20"/>
          <w:szCs w:val="20"/>
        </w:rPr>
        <w:t xml:space="preserve">médias sociaux (ex. vidéos sur YouTube, </w:t>
      </w:r>
      <w:r w:rsidR="00001C25">
        <w:rPr>
          <w:rFonts w:ascii="Avenir Next LT Pro" w:hAnsi="Avenir Next LT Pro" w:cs="Calibri"/>
          <w:sz w:val="20"/>
          <w:szCs w:val="20"/>
        </w:rPr>
        <w:t xml:space="preserve">Twitter, etc.) et non numériques (ex. </w:t>
      </w:r>
      <w:r w:rsidR="00923552">
        <w:rPr>
          <w:rFonts w:ascii="Avenir Next LT Pro" w:hAnsi="Avenir Next LT Pro" w:cs="Calibri"/>
          <w:sz w:val="20"/>
          <w:szCs w:val="20"/>
        </w:rPr>
        <w:t xml:space="preserve">article de presse, kakemono, etc.). Il s’agira </w:t>
      </w:r>
      <w:r w:rsidR="00E20C49">
        <w:rPr>
          <w:rFonts w:ascii="Avenir Next LT Pro" w:hAnsi="Avenir Next LT Pro" w:cs="Calibri"/>
          <w:sz w:val="20"/>
          <w:szCs w:val="20"/>
        </w:rPr>
        <w:t>également de manière active de participer à des émissions TV et radio</w:t>
      </w:r>
      <w:r w:rsidR="003C332E">
        <w:rPr>
          <w:rFonts w:ascii="Avenir Next LT Pro" w:hAnsi="Avenir Next LT Pro" w:cs="Calibri"/>
          <w:sz w:val="20"/>
          <w:szCs w:val="20"/>
        </w:rPr>
        <w:t xml:space="preserve"> ou </w:t>
      </w:r>
      <w:r w:rsidR="001C62C7">
        <w:rPr>
          <w:rFonts w:ascii="Avenir Next LT Pro" w:hAnsi="Avenir Next LT Pro" w:cs="Calibri"/>
          <w:sz w:val="20"/>
          <w:szCs w:val="20"/>
        </w:rPr>
        <w:t xml:space="preserve">d’organiser des campagnes d’information et sensibilisation à travers ces canaux de communication. </w:t>
      </w:r>
    </w:p>
    <w:p w14:paraId="57BE732D" w14:textId="77777777" w:rsidR="00C55F2A" w:rsidRPr="00D94338" w:rsidRDefault="00C55F2A" w:rsidP="00C55F2A">
      <w:pPr>
        <w:pStyle w:val="Paragraphedeliste"/>
        <w:spacing w:after="0" w:line="240" w:lineRule="auto"/>
        <w:ind w:left="360"/>
        <w:jc w:val="both"/>
        <w:rPr>
          <w:rFonts w:ascii="Avenir Next LT Pro" w:eastAsiaTheme="minorHAnsi" w:hAnsi="Avenir Next LT Pro" w:cs="Calibri"/>
          <w:sz w:val="20"/>
          <w:szCs w:val="20"/>
        </w:rPr>
      </w:pPr>
    </w:p>
    <w:p w14:paraId="73C29F44" w14:textId="189ABD5A" w:rsidR="00B41F94" w:rsidRPr="00D94338" w:rsidRDefault="00877998" w:rsidP="00877998">
      <w:pPr>
        <w:spacing w:after="0"/>
        <w:ind w:left="1170" w:hanging="1170"/>
        <w:jc w:val="both"/>
        <w:rPr>
          <w:rFonts w:ascii="Avenir Next LT Pro" w:eastAsiaTheme="minorHAnsi" w:hAnsi="Avenir Next LT Pro" w:cs="Calibri"/>
          <w:sz w:val="20"/>
          <w:szCs w:val="20"/>
        </w:rPr>
      </w:pPr>
      <w:r w:rsidRPr="00D94338">
        <w:rPr>
          <w:rFonts w:ascii="Avenir Next LT Pro" w:hAnsi="Avenir Next LT Pro" w:cs="Calibri"/>
          <w:sz w:val="20"/>
          <w:szCs w:val="20"/>
        </w:rPr>
        <w:t>Activité</w:t>
      </w:r>
      <w:r w:rsidR="00E72560" w:rsidRPr="00D94338">
        <w:rPr>
          <w:rFonts w:ascii="Avenir Next LT Pro" w:hAnsi="Avenir Next LT Pro" w:cs="Calibri"/>
          <w:sz w:val="20"/>
          <w:szCs w:val="20"/>
        </w:rPr>
        <w:t xml:space="preserve"> </w:t>
      </w:r>
      <w:r w:rsidRPr="00D94338">
        <w:rPr>
          <w:rFonts w:ascii="Avenir Next LT Pro" w:hAnsi="Avenir Next LT Pro" w:cs="Calibri"/>
          <w:sz w:val="20"/>
          <w:szCs w:val="20"/>
        </w:rPr>
        <w:t xml:space="preserve">3.4. </w:t>
      </w:r>
      <w:r w:rsidR="00C55F2A" w:rsidRPr="00D94338">
        <w:rPr>
          <w:rFonts w:ascii="Avenir Next LT Pro" w:hAnsi="Avenir Next LT Pro" w:cs="Calibri"/>
          <w:sz w:val="20"/>
          <w:szCs w:val="20"/>
        </w:rPr>
        <w:t>Elaborer et mettre en œuvre un plan de gestion des connaissances et du savoir.</w:t>
      </w:r>
      <w:r w:rsidR="00C55F2A" w:rsidRPr="00D94338">
        <w:rPr>
          <w:rFonts w:ascii="Avenir Next LT Pro" w:hAnsi="Avenir Next LT Pro"/>
          <w:sz w:val="20"/>
          <w:szCs w:val="20"/>
        </w:rPr>
        <w:t xml:space="preserve"> </w:t>
      </w:r>
      <w:r w:rsidR="00C55F2A" w:rsidRPr="00D94338">
        <w:rPr>
          <w:rFonts w:ascii="Avenir Next LT Pro" w:hAnsi="Avenir Next LT Pro" w:cs="Calibri"/>
          <w:sz w:val="20"/>
          <w:szCs w:val="20"/>
        </w:rPr>
        <w:t xml:space="preserve">Cette activité </w:t>
      </w:r>
      <w:r w:rsidR="00776E38">
        <w:rPr>
          <w:rFonts w:ascii="Avenir Next LT Pro" w:hAnsi="Avenir Next LT Pro" w:cs="Calibri"/>
          <w:sz w:val="20"/>
          <w:szCs w:val="20"/>
        </w:rPr>
        <w:t xml:space="preserve">sera mise en œuvre de manière parallèle à la mise en œuvre du plan de communication </w:t>
      </w:r>
      <w:r w:rsidR="00F210A5">
        <w:rPr>
          <w:rFonts w:ascii="Avenir Next LT Pro" w:hAnsi="Avenir Next LT Pro" w:cs="Calibri"/>
          <w:sz w:val="20"/>
          <w:szCs w:val="20"/>
        </w:rPr>
        <w:t xml:space="preserve">et exécutée par </w:t>
      </w:r>
      <w:r w:rsidR="0072433E">
        <w:rPr>
          <w:rFonts w:ascii="Avenir Next LT Pro" w:hAnsi="Avenir Next LT Pro" w:cs="Calibri"/>
          <w:sz w:val="20"/>
          <w:szCs w:val="20"/>
        </w:rPr>
        <w:t xml:space="preserve">le PNUD </w:t>
      </w:r>
      <w:r w:rsidR="0084739A">
        <w:rPr>
          <w:rFonts w:ascii="Avenir Next LT Pro" w:hAnsi="Avenir Next LT Pro" w:cs="Calibri"/>
          <w:sz w:val="20"/>
          <w:szCs w:val="20"/>
        </w:rPr>
        <w:t xml:space="preserve">et </w:t>
      </w:r>
      <w:r w:rsidR="00221C19">
        <w:rPr>
          <w:rFonts w:ascii="Avenir Next LT Pro" w:hAnsi="Avenir Next LT Pro" w:cs="Calibri"/>
          <w:sz w:val="20"/>
          <w:szCs w:val="20"/>
        </w:rPr>
        <w:t xml:space="preserve">en coordination avec l’ensemble des parties prenantes au Projet. </w:t>
      </w:r>
    </w:p>
    <w:p w14:paraId="5F04D776" w14:textId="77777777" w:rsidR="00C55F2A" w:rsidRPr="00C55F2A" w:rsidRDefault="00C55F2A" w:rsidP="00C55F2A">
      <w:pPr>
        <w:spacing w:after="0"/>
        <w:jc w:val="both"/>
        <w:rPr>
          <w:rFonts w:eastAsiaTheme="minorHAnsi" w:cs="Calibri"/>
        </w:rPr>
      </w:pPr>
    </w:p>
    <w:p w14:paraId="4562FC2C" w14:textId="77777777" w:rsidR="003E4957" w:rsidRPr="003E4957" w:rsidRDefault="003E4957" w:rsidP="003E4957">
      <w:pPr>
        <w:spacing w:after="120"/>
        <w:rPr>
          <w:rFonts w:ascii="Avenir Next LT Pro" w:hAnsi="Avenir Next LT Pro"/>
          <w:lang w:eastAsia="fr-FR"/>
        </w:rPr>
      </w:pPr>
    </w:p>
    <w:p w14:paraId="3AD9B4B8" w14:textId="6B117E85" w:rsidR="008A62AD" w:rsidRPr="006B5E6A" w:rsidRDefault="00AB7D72" w:rsidP="006B5E6A">
      <w:pPr>
        <w:pStyle w:val="Titre2"/>
        <w:rPr>
          <w:rFonts w:ascii="Avenir Next LT Pro" w:hAnsi="Avenir Next LT Pro"/>
        </w:rPr>
      </w:pPr>
      <w:bookmarkStart w:id="27" w:name="_Toc163230373"/>
      <w:r w:rsidRPr="006B5E6A">
        <w:rPr>
          <w:rFonts w:ascii="Avenir Next LT Pro" w:hAnsi="Avenir Next LT Pro"/>
        </w:rPr>
        <w:t xml:space="preserve">Contribution des </w:t>
      </w:r>
      <w:r w:rsidR="00EE385E" w:rsidRPr="006B5E6A">
        <w:rPr>
          <w:rFonts w:ascii="Avenir Next LT Pro" w:hAnsi="Avenir Next LT Pro"/>
        </w:rPr>
        <w:t>différents produits aux effets de CAFI</w:t>
      </w:r>
      <w:bookmarkEnd w:id="27"/>
      <w:r w:rsidR="00EE385E" w:rsidRPr="006B5E6A">
        <w:rPr>
          <w:rFonts w:ascii="Avenir Next LT Pro" w:hAnsi="Avenir Next LT Pro"/>
        </w:rPr>
        <w:t xml:space="preserve"> </w:t>
      </w:r>
    </w:p>
    <w:p w14:paraId="75DA8F2C" w14:textId="7DCBAC8E" w:rsidR="002A035A" w:rsidRDefault="002A035A" w:rsidP="00A67C2F">
      <w:pPr>
        <w:spacing w:after="120"/>
        <w:jc w:val="both"/>
        <w:rPr>
          <w:rFonts w:ascii="Avenir Next LT Pro" w:hAnsi="Avenir Next LT Pro"/>
          <w:color w:val="3E762A" w:themeColor="accent1" w:themeShade="BF"/>
          <w:sz w:val="20"/>
          <w:szCs w:val="20"/>
          <w:lang w:eastAsia="fr-FR"/>
        </w:rPr>
      </w:pPr>
    </w:p>
    <w:tbl>
      <w:tblPr>
        <w:tblpPr w:leftFromText="180" w:rightFromText="180" w:vertAnchor="text" w:horzAnchor="margin" w:tblpY="1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5"/>
        <w:gridCol w:w="1080"/>
        <w:gridCol w:w="2495"/>
      </w:tblGrid>
      <w:tr w:rsidR="00755EFD" w:rsidRPr="000D08CF" w14:paraId="69E0768C" w14:textId="6FC81012" w:rsidTr="003C0D55">
        <w:trPr>
          <w:cantSplit/>
          <w:trHeight w:val="20"/>
        </w:trPr>
        <w:tc>
          <w:tcPr>
            <w:tcW w:w="3027" w:type="pct"/>
            <w:tcBorders>
              <w:top w:val="single" w:sz="4" w:space="0" w:color="auto"/>
              <w:left w:val="single" w:sz="4" w:space="0" w:color="auto"/>
              <w:bottom w:val="single" w:sz="4" w:space="0" w:color="auto"/>
              <w:right w:val="single" w:sz="4" w:space="0" w:color="auto"/>
            </w:tcBorders>
            <w:shd w:val="clear" w:color="auto" w:fill="3E762A" w:themeFill="accent1" w:themeFillShade="BF"/>
          </w:tcPr>
          <w:p w14:paraId="13E5CC1B" w14:textId="77777777" w:rsidR="00755EFD" w:rsidRPr="000D08CF" w:rsidRDefault="00755EFD" w:rsidP="0068224E">
            <w:pPr>
              <w:widowControl w:val="0"/>
              <w:spacing w:before="120" w:after="120"/>
              <w:jc w:val="both"/>
              <w:rPr>
                <w:rFonts w:ascii="Avenir Next LT Pro" w:eastAsia="Times New Roman" w:hAnsi="Avenir Next LT Pro" w:cstheme="minorBidi"/>
                <w:snapToGrid w:val="0"/>
                <w:color w:val="FFFFFF" w:themeColor="background1"/>
                <w:sz w:val="20"/>
                <w:szCs w:val="20"/>
              </w:rPr>
            </w:pPr>
            <w:r w:rsidRPr="000D08CF">
              <w:rPr>
                <w:rFonts w:ascii="Avenir Next LT Pro" w:eastAsia="Times New Roman" w:hAnsi="Avenir Next LT Pro" w:cstheme="minorBidi"/>
                <w:b/>
                <w:bCs/>
                <w:snapToGrid w:val="0"/>
                <w:color w:val="FFFFFF" w:themeColor="background1"/>
                <w:sz w:val="20"/>
                <w:szCs w:val="20"/>
              </w:rPr>
              <w:t xml:space="preserve">EFFETS CAFI </w:t>
            </w:r>
            <w:r w:rsidRPr="000D08CF">
              <w:rPr>
                <w:rFonts w:ascii="Avenir Next LT Pro" w:eastAsia="Times New Roman" w:hAnsi="Avenir Next LT Pro" w:cstheme="minorBidi"/>
                <w:snapToGrid w:val="0"/>
                <w:color w:val="FFFFFF" w:themeColor="background1"/>
                <w:sz w:val="20"/>
                <w:szCs w:val="20"/>
              </w:rPr>
              <w:t>auxquels le projet contribue</w:t>
            </w:r>
          </w:p>
        </w:tc>
        <w:tc>
          <w:tcPr>
            <w:tcW w:w="596" w:type="pct"/>
            <w:tcBorders>
              <w:top w:val="single" w:sz="4" w:space="0" w:color="auto"/>
              <w:left w:val="single" w:sz="4" w:space="0" w:color="auto"/>
              <w:bottom w:val="single" w:sz="4" w:space="0" w:color="auto"/>
              <w:right w:val="single" w:sz="4" w:space="0" w:color="auto"/>
            </w:tcBorders>
            <w:shd w:val="clear" w:color="auto" w:fill="3E762A" w:themeFill="accent1" w:themeFillShade="BF"/>
            <w:vAlign w:val="center"/>
          </w:tcPr>
          <w:p w14:paraId="71D3EAB8" w14:textId="13B92DEE" w:rsidR="00755EFD" w:rsidRPr="000D08CF" w:rsidRDefault="00755EFD" w:rsidP="003574D4">
            <w:pPr>
              <w:spacing w:before="120" w:after="120"/>
              <w:jc w:val="center"/>
              <w:rPr>
                <w:rFonts w:ascii="Avenir Next LT Pro" w:eastAsia="Times New Roman" w:hAnsi="Avenir Next LT Pro" w:cstheme="minorHAnsi"/>
                <w:b/>
                <w:bCs/>
                <w:color w:val="FFFFFF" w:themeColor="background1"/>
                <w:sz w:val="20"/>
                <w:szCs w:val="20"/>
              </w:rPr>
            </w:pPr>
            <w:r w:rsidRPr="000D08CF">
              <w:rPr>
                <w:rFonts w:ascii="Avenir Next LT Pro" w:eastAsia="Times New Roman" w:hAnsi="Avenir Next LT Pro" w:cstheme="minorHAnsi"/>
                <w:b/>
                <w:bCs/>
                <w:color w:val="FFFFFF" w:themeColor="background1"/>
                <w:sz w:val="20"/>
                <w:szCs w:val="20"/>
              </w:rPr>
              <w:t>Produit</w:t>
            </w:r>
          </w:p>
        </w:tc>
        <w:tc>
          <w:tcPr>
            <w:tcW w:w="1377" w:type="pct"/>
            <w:tcBorders>
              <w:top w:val="single" w:sz="4" w:space="0" w:color="auto"/>
              <w:left w:val="single" w:sz="4" w:space="0" w:color="auto"/>
              <w:bottom w:val="single" w:sz="4" w:space="0" w:color="auto"/>
              <w:right w:val="single" w:sz="4" w:space="0" w:color="auto"/>
            </w:tcBorders>
            <w:shd w:val="clear" w:color="auto" w:fill="3E762A" w:themeFill="accent1" w:themeFillShade="BF"/>
          </w:tcPr>
          <w:p w14:paraId="691D65F7" w14:textId="009C76C1" w:rsidR="00755EFD" w:rsidRPr="000D08CF" w:rsidRDefault="003574D4" w:rsidP="0068224E">
            <w:pPr>
              <w:spacing w:before="120" w:after="120"/>
              <w:rPr>
                <w:rFonts w:ascii="Avenir Next LT Pro" w:eastAsia="Times New Roman" w:hAnsi="Avenir Next LT Pro" w:cstheme="minorHAnsi"/>
                <w:b/>
                <w:bCs/>
                <w:color w:val="FFFFFF" w:themeColor="background1"/>
                <w:sz w:val="20"/>
                <w:szCs w:val="20"/>
              </w:rPr>
            </w:pPr>
            <w:r w:rsidRPr="000D08CF">
              <w:rPr>
                <w:rFonts w:ascii="Avenir Next LT Pro" w:eastAsia="Times New Roman" w:hAnsi="Avenir Next LT Pro" w:cstheme="minorHAnsi"/>
                <w:b/>
                <w:bCs/>
                <w:color w:val="FFFFFF" w:themeColor="background1"/>
                <w:sz w:val="20"/>
                <w:szCs w:val="20"/>
              </w:rPr>
              <w:t>Contribution</w:t>
            </w:r>
          </w:p>
        </w:tc>
      </w:tr>
      <w:tr w:rsidR="00755EFD" w:rsidRPr="000D08CF" w14:paraId="1358260C" w14:textId="184D5558" w:rsidTr="003C0D55">
        <w:trPr>
          <w:cantSplit/>
          <w:trHeight w:val="20"/>
        </w:trPr>
        <w:tc>
          <w:tcPr>
            <w:tcW w:w="3027" w:type="pct"/>
            <w:tcBorders>
              <w:right w:val="single" w:sz="4" w:space="0" w:color="auto"/>
            </w:tcBorders>
          </w:tcPr>
          <w:p w14:paraId="736F2FAF" w14:textId="77777777" w:rsidR="00755EFD" w:rsidRPr="000D08CF" w:rsidRDefault="00755EFD" w:rsidP="00755EFD">
            <w:pPr>
              <w:pStyle w:val="Paragraphedeliste"/>
              <w:widowControl w:val="0"/>
              <w:numPr>
                <w:ilvl w:val="0"/>
                <w:numId w:val="12"/>
              </w:numPr>
              <w:spacing w:before="120" w:after="120"/>
              <w:ind w:left="313"/>
              <w:jc w:val="both"/>
              <w:rPr>
                <w:rFonts w:ascii="Avenir Next LT Pro" w:eastAsia="Times New Roman" w:hAnsi="Avenir Next LT Pro" w:cstheme="minorHAnsi"/>
                <w:b/>
                <w:snapToGrid w:val="0"/>
                <w:sz w:val="20"/>
                <w:szCs w:val="20"/>
              </w:rPr>
            </w:pPr>
            <w:r w:rsidRPr="000D08CF">
              <w:rPr>
                <w:rFonts w:ascii="Avenir Next LT Pro" w:eastAsia="Times New Roman" w:hAnsi="Avenir Next LT Pro" w:cstheme="minorHAnsi"/>
                <w:bCs/>
                <w:snapToGrid w:val="0"/>
                <w:sz w:val="20"/>
                <w:szCs w:val="20"/>
              </w:rPr>
              <w:t>Les institutions et les parties prenantes du</w:t>
            </w:r>
            <w:r w:rsidRPr="000D08CF">
              <w:rPr>
                <w:rFonts w:ascii="Avenir Next LT Pro" w:eastAsia="Times New Roman" w:hAnsi="Avenir Next LT Pro" w:cstheme="minorHAnsi"/>
                <w:b/>
                <w:snapToGrid w:val="0"/>
                <w:sz w:val="20"/>
                <w:szCs w:val="20"/>
              </w:rPr>
              <w:t xml:space="preserve"> secteur forestier et des aires protégées </w:t>
            </w:r>
            <w:r w:rsidRPr="000D08CF">
              <w:rPr>
                <w:rFonts w:ascii="Avenir Next LT Pro" w:eastAsia="Times New Roman" w:hAnsi="Avenir Next LT Pro" w:cstheme="minorHAnsi"/>
                <w:bCs/>
                <w:snapToGrid w:val="0"/>
                <w:sz w:val="20"/>
                <w:szCs w:val="20"/>
              </w:rPr>
              <w:t>ont la capacité et le cadre juridique nécessaires pour promouvoir, surveiller et faire respecter la gestion durable des forêts.</w:t>
            </w:r>
          </w:p>
        </w:tc>
        <w:tc>
          <w:tcPr>
            <w:tcW w:w="596" w:type="pct"/>
            <w:tcBorders>
              <w:right w:val="single" w:sz="4" w:space="0" w:color="auto"/>
            </w:tcBorders>
            <w:vAlign w:val="center"/>
          </w:tcPr>
          <w:p w14:paraId="0B854942" w14:textId="4139EC0F" w:rsidR="00755EFD" w:rsidRPr="000D08CF" w:rsidRDefault="008914C0" w:rsidP="003574D4">
            <w:pPr>
              <w:spacing w:before="120" w:after="120"/>
              <w:jc w:val="center"/>
              <w:rPr>
                <w:rFonts w:ascii="Avenir Next LT Pro" w:eastAsia="Times New Roman" w:hAnsi="Avenir Next LT Pro" w:cstheme="minorHAnsi"/>
                <w:sz w:val="20"/>
                <w:szCs w:val="20"/>
              </w:rPr>
            </w:pPr>
            <w:r w:rsidRPr="000D08CF">
              <w:rPr>
                <w:rFonts w:ascii="Avenir Next LT Pro" w:eastAsia="Times New Roman" w:hAnsi="Avenir Next LT Pro" w:cstheme="minorHAnsi"/>
                <w:sz w:val="20"/>
                <w:szCs w:val="20"/>
              </w:rPr>
              <w:t>Produit 1 &amp; Produit 2</w:t>
            </w:r>
          </w:p>
        </w:tc>
        <w:tc>
          <w:tcPr>
            <w:tcW w:w="1377" w:type="pct"/>
            <w:tcBorders>
              <w:right w:val="single" w:sz="4" w:space="0" w:color="auto"/>
            </w:tcBorders>
            <w:vAlign w:val="center"/>
          </w:tcPr>
          <w:p w14:paraId="69CFC065" w14:textId="4A39C48E" w:rsidR="00755EFD" w:rsidRPr="000D08CF" w:rsidRDefault="001C4BFD" w:rsidP="003574D4">
            <w:pPr>
              <w:spacing w:before="120" w:after="120"/>
              <w:jc w:val="center"/>
              <w:rPr>
                <w:rFonts w:ascii="Avenir Next LT Pro" w:eastAsia="Times New Roman" w:hAnsi="Avenir Next LT Pro" w:cstheme="minorHAnsi"/>
                <w:sz w:val="20"/>
                <w:szCs w:val="20"/>
              </w:rPr>
            </w:pPr>
            <w:r>
              <w:rPr>
                <w:rFonts w:ascii="Avenir Next LT Pro" w:eastAsia="Times New Roman" w:hAnsi="Avenir Next LT Pro" w:cstheme="minorHAnsi"/>
                <w:sz w:val="20"/>
                <w:szCs w:val="20"/>
              </w:rPr>
              <w:t>Le développement de cadres de gouvernance</w:t>
            </w:r>
            <w:r w:rsidR="00474053">
              <w:rPr>
                <w:rFonts w:ascii="Avenir Next LT Pro" w:eastAsia="Times New Roman" w:hAnsi="Avenir Next LT Pro" w:cstheme="minorHAnsi"/>
                <w:sz w:val="20"/>
                <w:szCs w:val="20"/>
              </w:rPr>
              <w:t xml:space="preserve"> </w:t>
            </w:r>
            <w:r w:rsidR="006D2C8A">
              <w:rPr>
                <w:rFonts w:ascii="Avenir Next LT Pro" w:eastAsia="Times New Roman" w:hAnsi="Avenir Next LT Pro" w:cstheme="minorHAnsi"/>
                <w:sz w:val="20"/>
                <w:szCs w:val="20"/>
              </w:rPr>
              <w:t xml:space="preserve">effectif pour la mise en œuvre de la CDN </w:t>
            </w:r>
            <w:r w:rsidR="00CF7B5C">
              <w:rPr>
                <w:rFonts w:ascii="Avenir Next LT Pro" w:eastAsia="Times New Roman" w:hAnsi="Avenir Next LT Pro" w:cstheme="minorHAnsi"/>
                <w:sz w:val="20"/>
                <w:szCs w:val="20"/>
              </w:rPr>
              <w:t>permettr</w:t>
            </w:r>
            <w:r w:rsidR="003C0D55">
              <w:rPr>
                <w:rFonts w:ascii="Avenir Next LT Pro" w:eastAsia="Times New Roman" w:hAnsi="Avenir Next LT Pro" w:cstheme="minorHAnsi"/>
                <w:sz w:val="20"/>
                <w:szCs w:val="20"/>
              </w:rPr>
              <w:t>a</w:t>
            </w:r>
            <w:r w:rsidR="00CF7B5C">
              <w:rPr>
                <w:rFonts w:ascii="Avenir Next LT Pro" w:eastAsia="Times New Roman" w:hAnsi="Avenir Next LT Pro" w:cstheme="minorHAnsi"/>
                <w:sz w:val="20"/>
                <w:szCs w:val="20"/>
              </w:rPr>
              <w:t xml:space="preserve"> de promouvoir </w:t>
            </w:r>
            <w:r w:rsidR="003C0D55">
              <w:rPr>
                <w:rFonts w:ascii="Avenir Next LT Pro" w:eastAsia="Times New Roman" w:hAnsi="Avenir Next LT Pro" w:cstheme="minorHAnsi"/>
                <w:sz w:val="20"/>
                <w:szCs w:val="20"/>
              </w:rPr>
              <w:t xml:space="preserve">et faire respecter la gestion durable des forêts </w:t>
            </w:r>
            <w:r w:rsidR="003C0D55" w:rsidRPr="003C0D55">
              <w:rPr>
                <w:rFonts w:ascii="Avenir Next LT Pro" w:eastAsia="Times New Roman" w:hAnsi="Avenir Next LT Pro" w:cstheme="minorHAnsi"/>
                <w:sz w:val="20"/>
                <w:szCs w:val="20"/>
              </w:rPr>
              <w:t xml:space="preserve">à </w:t>
            </w:r>
            <w:r w:rsidR="003C0D55">
              <w:rPr>
                <w:rFonts w:ascii="Avenir Next LT Pro" w:eastAsia="Times New Roman" w:hAnsi="Avenir Next LT Pro" w:cstheme="minorHAnsi"/>
                <w:sz w:val="20"/>
                <w:szCs w:val="20"/>
              </w:rPr>
              <w:lastRenderedPageBreak/>
              <w:t>travers des institutions et des politiques robustes</w:t>
            </w:r>
            <w:r>
              <w:rPr>
                <w:rFonts w:ascii="Avenir Next LT Pro" w:eastAsia="Times New Roman" w:hAnsi="Avenir Next LT Pro" w:cstheme="minorHAnsi"/>
                <w:sz w:val="20"/>
                <w:szCs w:val="20"/>
              </w:rPr>
              <w:t xml:space="preserve"> </w:t>
            </w:r>
          </w:p>
        </w:tc>
      </w:tr>
      <w:tr w:rsidR="00755EFD" w:rsidRPr="000D08CF" w14:paraId="45ABA137" w14:textId="489236E1" w:rsidTr="003C0D55">
        <w:trPr>
          <w:cantSplit/>
          <w:trHeight w:val="20"/>
        </w:trPr>
        <w:tc>
          <w:tcPr>
            <w:tcW w:w="3027" w:type="pct"/>
            <w:tcBorders>
              <w:right w:val="single" w:sz="4" w:space="0" w:color="auto"/>
            </w:tcBorders>
          </w:tcPr>
          <w:p w14:paraId="5CA1E367" w14:textId="77777777" w:rsidR="00755EFD" w:rsidRPr="000D08CF" w:rsidRDefault="00755EFD" w:rsidP="00755EFD">
            <w:pPr>
              <w:widowControl w:val="0"/>
              <w:numPr>
                <w:ilvl w:val="0"/>
                <w:numId w:val="12"/>
              </w:numPr>
              <w:spacing w:before="120" w:after="120"/>
              <w:ind w:left="313" w:hanging="357"/>
              <w:jc w:val="both"/>
              <w:rPr>
                <w:rFonts w:ascii="Avenir Next LT Pro" w:eastAsia="Times New Roman" w:hAnsi="Avenir Next LT Pro" w:cstheme="minorHAnsi"/>
                <w:bCs/>
                <w:snapToGrid w:val="0"/>
                <w:sz w:val="20"/>
                <w:szCs w:val="20"/>
              </w:rPr>
            </w:pPr>
            <w:r w:rsidRPr="000D08CF">
              <w:rPr>
                <w:rFonts w:ascii="Avenir Next LT Pro" w:eastAsia="Times New Roman" w:hAnsi="Avenir Next LT Pro" w:cstheme="minorHAnsi"/>
                <w:bCs/>
                <w:snapToGrid w:val="0"/>
                <w:sz w:val="20"/>
                <w:szCs w:val="20"/>
              </w:rPr>
              <w:lastRenderedPageBreak/>
              <w:t>Une meilleure</w:t>
            </w:r>
            <w:r w:rsidRPr="000D08CF">
              <w:rPr>
                <w:rFonts w:ascii="Avenir Next LT Pro" w:eastAsia="Times New Roman" w:hAnsi="Avenir Next LT Pro" w:cstheme="minorHAnsi"/>
                <w:b/>
                <w:snapToGrid w:val="0"/>
                <w:sz w:val="20"/>
                <w:szCs w:val="20"/>
              </w:rPr>
              <w:t xml:space="preserve"> coordination et gouvernance </w:t>
            </w:r>
            <w:r w:rsidRPr="000D08CF">
              <w:rPr>
                <w:rFonts w:ascii="Avenir Next LT Pro" w:eastAsia="Times New Roman" w:hAnsi="Avenir Next LT Pro" w:cstheme="minorHAnsi"/>
                <w:bCs/>
                <w:snapToGrid w:val="0"/>
                <w:sz w:val="20"/>
                <w:szCs w:val="20"/>
              </w:rPr>
              <w:t>interministérielle aboutissant à des permis et à un régime fiscal des activités économiques qui ne poussent pas les acteurs économiques à la conversion forestière et aux activités illégales et un</w:t>
            </w:r>
            <w:r w:rsidRPr="000D08CF">
              <w:rPr>
                <w:rFonts w:ascii="Avenir Next LT Pro" w:eastAsia="Times New Roman" w:hAnsi="Avenir Next LT Pro" w:cstheme="minorHAnsi"/>
                <w:b/>
                <w:snapToGrid w:val="0"/>
                <w:sz w:val="20"/>
                <w:szCs w:val="20"/>
              </w:rPr>
              <w:t xml:space="preserve"> climat des affaires </w:t>
            </w:r>
            <w:r w:rsidRPr="000D08CF">
              <w:rPr>
                <w:rFonts w:ascii="Avenir Next LT Pro" w:eastAsia="Times New Roman" w:hAnsi="Avenir Next LT Pro" w:cstheme="minorHAnsi"/>
                <w:bCs/>
                <w:snapToGrid w:val="0"/>
                <w:sz w:val="20"/>
                <w:szCs w:val="20"/>
              </w:rPr>
              <w:t>favorable aux investissements respectueux des forêts.</w:t>
            </w:r>
          </w:p>
        </w:tc>
        <w:tc>
          <w:tcPr>
            <w:tcW w:w="596" w:type="pct"/>
            <w:tcBorders>
              <w:bottom w:val="single" w:sz="4" w:space="0" w:color="auto"/>
              <w:right w:val="single" w:sz="4" w:space="0" w:color="auto"/>
            </w:tcBorders>
            <w:vAlign w:val="center"/>
          </w:tcPr>
          <w:p w14:paraId="499DCC18" w14:textId="00618A77" w:rsidR="00755EFD" w:rsidRPr="000D08CF" w:rsidRDefault="008914C0" w:rsidP="003574D4">
            <w:pPr>
              <w:spacing w:before="120" w:after="120"/>
              <w:jc w:val="center"/>
              <w:rPr>
                <w:rFonts w:ascii="Avenir Next LT Pro" w:eastAsia="Times New Roman" w:hAnsi="Avenir Next LT Pro" w:cstheme="minorHAnsi"/>
                <w:sz w:val="20"/>
                <w:szCs w:val="20"/>
              </w:rPr>
            </w:pPr>
            <w:r w:rsidRPr="000D08CF">
              <w:rPr>
                <w:rFonts w:ascii="Avenir Next LT Pro" w:eastAsia="Times New Roman" w:hAnsi="Avenir Next LT Pro" w:cstheme="minorHAnsi"/>
                <w:sz w:val="20"/>
                <w:szCs w:val="20"/>
              </w:rPr>
              <w:t>Produit 3</w:t>
            </w:r>
          </w:p>
        </w:tc>
        <w:tc>
          <w:tcPr>
            <w:tcW w:w="1377" w:type="pct"/>
            <w:tcBorders>
              <w:bottom w:val="single" w:sz="4" w:space="0" w:color="auto"/>
              <w:right w:val="single" w:sz="4" w:space="0" w:color="auto"/>
            </w:tcBorders>
            <w:vAlign w:val="center"/>
          </w:tcPr>
          <w:p w14:paraId="2C501FD8" w14:textId="0653F4DE" w:rsidR="00755EFD" w:rsidRPr="000D08CF" w:rsidRDefault="00731D3D" w:rsidP="003574D4">
            <w:pPr>
              <w:spacing w:before="120" w:after="120"/>
              <w:jc w:val="center"/>
              <w:rPr>
                <w:rFonts w:ascii="Avenir Next LT Pro" w:eastAsia="Times New Roman" w:hAnsi="Avenir Next LT Pro" w:cstheme="minorHAnsi"/>
                <w:sz w:val="20"/>
                <w:szCs w:val="20"/>
              </w:rPr>
            </w:pPr>
            <w:r w:rsidRPr="000D08CF">
              <w:rPr>
                <w:rFonts w:ascii="Avenir Next LT Pro" w:eastAsia="Times New Roman" w:hAnsi="Avenir Next LT Pro" w:cstheme="minorHAnsi"/>
                <w:sz w:val="20"/>
                <w:szCs w:val="20"/>
              </w:rPr>
              <w:t xml:space="preserve">La </w:t>
            </w:r>
            <w:r w:rsidR="000D08CF" w:rsidRPr="000D08CF">
              <w:rPr>
                <w:rFonts w:ascii="Avenir Next LT Pro" w:eastAsia="Times New Roman" w:hAnsi="Avenir Next LT Pro" w:cstheme="minorHAnsi"/>
                <w:sz w:val="20"/>
                <w:szCs w:val="20"/>
              </w:rPr>
              <w:t>création</w:t>
            </w:r>
            <w:r w:rsidRPr="000D08CF">
              <w:rPr>
                <w:rFonts w:ascii="Avenir Next LT Pro" w:eastAsia="Times New Roman" w:hAnsi="Avenir Next LT Pro" w:cstheme="minorHAnsi"/>
                <w:sz w:val="20"/>
                <w:szCs w:val="20"/>
              </w:rPr>
              <w:t xml:space="preserve"> et/ou la mobilisation des cadres de concertation</w:t>
            </w:r>
            <w:r w:rsidR="00F528BE">
              <w:rPr>
                <w:rFonts w:ascii="Avenir Next LT Pro" w:eastAsia="Times New Roman" w:hAnsi="Avenir Next LT Pro" w:cstheme="minorHAnsi"/>
                <w:sz w:val="20"/>
                <w:szCs w:val="20"/>
              </w:rPr>
              <w:t xml:space="preserve"> et dialogue</w:t>
            </w:r>
            <w:r w:rsidRPr="000D08CF">
              <w:rPr>
                <w:rFonts w:ascii="Avenir Next LT Pro" w:eastAsia="Times New Roman" w:hAnsi="Avenir Next LT Pro" w:cstheme="minorHAnsi"/>
                <w:sz w:val="20"/>
                <w:szCs w:val="20"/>
              </w:rPr>
              <w:t xml:space="preserve"> </w:t>
            </w:r>
            <w:r w:rsidR="000D08CF" w:rsidRPr="000D08CF">
              <w:rPr>
                <w:rFonts w:ascii="Avenir Next LT Pro" w:eastAsia="Times New Roman" w:hAnsi="Avenir Next LT Pro" w:cstheme="minorHAnsi"/>
                <w:sz w:val="20"/>
                <w:szCs w:val="20"/>
              </w:rPr>
              <w:t>multi-acteurs</w:t>
            </w:r>
            <w:r w:rsidR="00EA29A5">
              <w:rPr>
                <w:rFonts w:ascii="Avenir Next LT Pro" w:eastAsia="Times New Roman" w:hAnsi="Avenir Next LT Pro" w:cstheme="minorHAnsi"/>
                <w:sz w:val="20"/>
                <w:szCs w:val="20"/>
              </w:rPr>
              <w:t xml:space="preserve"> inclusifs</w:t>
            </w:r>
            <w:r w:rsidR="00F528BE">
              <w:rPr>
                <w:rFonts w:ascii="Avenir Next LT Pro" w:eastAsia="Times New Roman" w:hAnsi="Avenir Next LT Pro" w:cstheme="minorHAnsi"/>
                <w:sz w:val="20"/>
                <w:szCs w:val="20"/>
              </w:rPr>
              <w:t xml:space="preserve"> va </w:t>
            </w:r>
            <w:r w:rsidR="005F2522">
              <w:rPr>
                <w:rFonts w:ascii="Avenir Next LT Pro" w:eastAsia="Times New Roman" w:hAnsi="Avenir Next LT Pro" w:cstheme="minorHAnsi"/>
                <w:sz w:val="20"/>
                <w:szCs w:val="20"/>
              </w:rPr>
              <w:t xml:space="preserve">contribuer </w:t>
            </w:r>
            <w:r w:rsidR="005F2522">
              <w:t>à</w:t>
            </w:r>
            <w:r w:rsidR="00F528BE" w:rsidRPr="00F528BE">
              <w:rPr>
                <w:rFonts w:ascii="Avenir Next LT Pro" w:eastAsia="Times New Roman" w:hAnsi="Avenir Next LT Pro" w:cstheme="minorHAnsi"/>
                <w:sz w:val="20"/>
                <w:szCs w:val="20"/>
              </w:rPr>
              <w:t xml:space="preserve"> </w:t>
            </w:r>
            <w:r w:rsidR="00F528BE">
              <w:rPr>
                <w:rFonts w:ascii="Avenir Next LT Pro" w:eastAsia="Times New Roman" w:hAnsi="Avenir Next LT Pro" w:cstheme="minorHAnsi"/>
                <w:sz w:val="20"/>
                <w:szCs w:val="20"/>
              </w:rPr>
              <w:t xml:space="preserve">une meilleure coordination entre les diverses parties prenantes </w:t>
            </w:r>
            <w:r w:rsidR="00427231">
              <w:rPr>
                <w:rFonts w:ascii="Avenir Next LT Pro" w:eastAsia="Times New Roman" w:hAnsi="Avenir Next LT Pro" w:cstheme="minorHAnsi"/>
                <w:sz w:val="20"/>
                <w:szCs w:val="20"/>
              </w:rPr>
              <w:t xml:space="preserve">ce qui </w:t>
            </w:r>
            <w:r w:rsidR="00AA5C00">
              <w:rPr>
                <w:rFonts w:ascii="Avenir Next LT Pro" w:eastAsia="Times New Roman" w:hAnsi="Avenir Next LT Pro" w:cstheme="minorHAnsi"/>
                <w:sz w:val="20"/>
                <w:szCs w:val="20"/>
              </w:rPr>
              <w:t xml:space="preserve">se traduira par </w:t>
            </w:r>
            <w:r w:rsidR="00400481">
              <w:rPr>
                <w:rFonts w:ascii="Avenir Next LT Pro" w:eastAsia="Times New Roman" w:hAnsi="Avenir Next LT Pro" w:cstheme="minorHAnsi"/>
                <w:sz w:val="20"/>
                <w:szCs w:val="20"/>
              </w:rPr>
              <w:t>un climat des affaires</w:t>
            </w:r>
            <w:r w:rsidR="00AA5C00">
              <w:rPr>
                <w:rFonts w:ascii="Avenir Next LT Pro" w:eastAsia="Times New Roman" w:hAnsi="Avenir Next LT Pro" w:cstheme="minorHAnsi"/>
                <w:sz w:val="20"/>
                <w:szCs w:val="20"/>
              </w:rPr>
              <w:t xml:space="preserve"> favorable </w:t>
            </w:r>
            <w:r w:rsidR="008F2E4D">
              <w:rPr>
                <w:rFonts w:ascii="Avenir Next LT Pro" w:eastAsia="Times New Roman" w:hAnsi="Avenir Next LT Pro" w:cstheme="minorHAnsi"/>
                <w:sz w:val="20"/>
                <w:szCs w:val="20"/>
              </w:rPr>
              <w:t xml:space="preserve">aux investissements respectueux des </w:t>
            </w:r>
            <w:r w:rsidR="005F2522">
              <w:rPr>
                <w:rFonts w:ascii="Avenir Next LT Pro" w:eastAsia="Times New Roman" w:hAnsi="Avenir Next LT Pro" w:cstheme="minorHAnsi"/>
                <w:sz w:val="20"/>
                <w:szCs w:val="20"/>
              </w:rPr>
              <w:t>forêts</w:t>
            </w:r>
            <w:r w:rsidR="008F2E4D">
              <w:rPr>
                <w:rFonts w:ascii="Avenir Next LT Pro" w:eastAsia="Times New Roman" w:hAnsi="Avenir Next LT Pro" w:cstheme="minorHAnsi"/>
                <w:sz w:val="20"/>
                <w:szCs w:val="20"/>
              </w:rPr>
              <w:t xml:space="preserve">, notamment dans </w:t>
            </w:r>
            <w:r w:rsidR="005F2522">
              <w:rPr>
                <w:rFonts w:ascii="Avenir Next LT Pro" w:eastAsia="Times New Roman" w:hAnsi="Avenir Next LT Pro" w:cstheme="minorHAnsi"/>
                <w:sz w:val="20"/>
                <w:szCs w:val="20"/>
              </w:rPr>
              <w:t>le cadre d</w:t>
            </w:r>
            <w:r w:rsidR="008F2E4D">
              <w:rPr>
                <w:rFonts w:ascii="Avenir Next LT Pro" w:eastAsia="Times New Roman" w:hAnsi="Avenir Next LT Pro" w:cstheme="minorHAnsi"/>
                <w:sz w:val="20"/>
                <w:szCs w:val="20"/>
              </w:rPr>
              <w:t xml:space="preserve">es marchés du carbone </w:t>
            </w:r>
            <w:r w:rsidR="00400481">
              <w:rPr>
                <w:rFonts w:ascii="Avenir Next LT Pro" w:eastAsia="Times New Roman" w:hAnsi="Avenir Next LT Pro" w:cstheme="minorHAnsi"/>
                <w:sz w:val="20"/>
                <w:szCs w:val="20"/>
              </w:rPr>
              <w:t xml:space="preserve">  </w:t>
            </w:r>
            <w:r w:rsidR="00427231">
              <w:rPr>
                <w:rFonts w:ascii="Avenir Next LT Pro" w:eastAsia="Times New Roman" w:hAnsi="Avenir Next LT Pro" w:cstheme="minorHAnsi"/>
                <w:sz w:val="20"/>
                <w:szCs w:val="20"/>
              </w:rPr>
              <w:t xml:space="preserve"> </w:t>
            </w:r>
            <w:r w:rsidR="00F528BE">
              <w:rPr>
                <w:rFonts w:ascii="Avenir Next LT Pro" w:eastAsia="Times New Roman" w:hAnsi="Avenir Next LT Pro" w:cstheme="minorHAnsi"/>
                <w:sz w:val="20"/>
                <w:szCs w:val="20"/>
              </w:rPr>
              <w:t xml:space="preserve"> </w:t>
            </w:r>
            <w:r w:rsidR="00EA29A5">
              <w:rPr>
                <w:rFonts w:ascii="Avenir Next LT Pro" w:eastAsia="Times New Roman" w:hAnsi="Avenir Next LT Pro" w:cstheme="minorHAnsi"/>
                <w:sz w:val="20"/>
                <w:szCs w:val="20"/>
              </w:rPr>
              <w:t xml:space="preserve"> </w:t>
            </w:r>
            <w:r w:rsidR="000D08CF" w:rsidRPr="000D08CF">
              <w:rPr>
                <w:rFonts w:ascii="Avenir Next LT Pro" w:eastAsia="Times New Roman" w:hAnsi="Avenir Next LT Pro" w:cstheme="minorHAnsi"/>
                <w:sz w:val="20"/>
                <w:szCs w:val="20"/>
              </w:rPr>
              <w:t xml:space="preserve"> </w:t>
            </w:r>
          </w:p>
        </w:tc>
      </w:tr>
    </w:tbl>
    <w:p w14:paraId="62CC04FF" w14:textId="77777777" w:rsidR="00C1709D" w:rsidRPr="00CB1409" w:rsidRDefault="00C1709D" w:rsidP="00A67C2F">
      <w:pPr>
        <w:spacing w:after="120"/>
        <w:jc w:val="both"/>
        <w:rPr>
          <w:rFonts w:ascii="Avenir Next LT Pro" w:hAnsi="Avenir Next LT Pro"/>
          <w:color w:val="066684" w:themeColor="accent6" w:themeShade="BF"/>
          <w:sz w:val="20"/>
          <w:szCs w:val="20"/>
          <w:lang w:eastAsia="fr-FR"/>
        </w:rPr>
      </w:pPr>
    </w:p>
    <w:p w14:paraId="5CDAF0E3" w14:textId="77777777" w:rsidR="00AF744B" w:rsidRPr="00C345C4" w:rsidRDefault="00AF744B" w:rsidP="009340BA">
      <w:pPr>
        <w:spacing w:after="120"/>
        <w:jc w:val="both"/>
        <w:rPr>
          <w:rFonts w:ascii="Avenir Next LT Pro" w:hAnsi="Avenir Next LT Pro"/>
          <w:sz w:val="20"/>
          <w:szCs w:val="20"/>
          <w:highlight w:val="yellow"/>
          <w:lang w:eastAsia="fr-FR"/>
        </w:rPr>
      </w:pPr>
    </w:p>
    <w:p w14:paraId="73A3BD8E" w14:textId="1CD81D89" w:rsidR="0076438E" w:rsidRPr="00C345C4" w:rsidRDefault="001A3B0F" w:rsidP="000E7FF0">
      <w:pPr>
        <w:pStyle w:val="Titre2"/>
        <w:rPr>
          <w:rFonts w:ascii="Avenir Next LT Pro" w:hAnsi="Avenir Next LT Pro"/>
        </w:rPr>
      </w:pPr>
      <w:bookmarkStart w:id="28" w:name="_Toc163230374"/>
      <w:bookmarkStart w:id="29" w:name="_Toc87443332"/>
      <w:bookmarkStart w:id="30" w:name="_Toc87443367"/>
      <w:r w:rsidRPr="269B353C">
        <w:rPr>
          <w:rFonts w:ascii="Avenir Next LT Pro" w:hAnsi="Avenir Next LT Pro"/>
        </w:rPr>
        <w:t>Appropriation nationale et d</w:t>
      </w:r>
      <w:r w:rsidR="00713986" w:rsidRPr="269B353C">
        <w:rPr>
          <w:rFonts w:ascii="Avenir Next LT Pro" w:hAnsi="Avenir Next LT Pro"/>
        </w:rPr>
        <w:t>urabilité du projet</w:t>
      </w:r>
      <w:bookmarkEnd w:id="28"/>
    </w:p>
    <w:p w14:paraId="1C158E4C" w14:textId="3684B3C1"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b/>
          <w:bCs/>
          <w:sz w:val="20"/>
          <w:szCs w:val="20"/>
          <w:lang w:val="fr-CD"/>
        </w:rPr>
        <w:t>L‘appropriation nationale du Projet</w:t>
      </w:r>
      <w:r w:rsidRPr="00FF0AFE">
        <w:rPr>
          <w:rFonts w:ascii="Avenir Next LT Pro" w:hAnsi="Avenir Next LT Pro" w:cstheme="minorHAnsi"/>
          <w:sz w:val="20"/>
          <w:szCs w:val="20"/>
          <w:lang w:val="fr-CD"/>
        </w:rPr>
        <w:t xml:space="preserve"> peut être perçue aussi bien dans le cadre de sa conception que de sa mise en œuvre. Au niveau de sa conception, le projet a été élaboré de manière participative et en étroite collaboration avec les parties prenantes clés, notamment le Ministère de l’Environnement et Développement Durable, le Ministère des Finances et le FONAREDD. Chacune de ces institutions a participé à la définition de l’idée de projet et à sa maturation sous forme de note conceptuelle. En plus, chaque institution a contribué </w:t>
      </w:r>
      <w:r w:rsidR="00241D37" w:rsidRPr="00FF0AFE">
        <w:rPr>
          <w:rFonts w:ascii="Avenir Next LT Pro" w:hAnsi="Avenir Next LT Pro" w:cstheme="minorHAnsi"/>
          <w:sz w:val="20"/>
          <w:szCs w:val="20"/>
          <w:lang w:val="fr-CD"/>
        </w:rPr>
        <w:t>au recrutement des</w:t>
      </w:r>
      <w:r w:rsidRPr="00FF0AFE">
        <w:rPr>
          <w:rFonts w:ascii="Avenir Next LT Pro" w:hAnsi="Avenir Next LT Pro" w:cstheme="minorHAnsi"/>
          <w:sz w:val="20"/>
          <w:szCs w:val="20"/>
          <w:lang w:val="fr-CD"/>
        </w:rPr>
        <w:t xml:space="preserve"> consultants chargés d’élaborer le document de projet </w:t>
      </w:r>
      <w:r w:rsidR="00241D37" w:rsidRPr="00FF0AFE">
        <w:rPr>
          <w:rFonts w:ascii="Avenir Next LT Pro" w:hAnsi="Avenir Next LT Pro" w:cstheme="minorHAnsi"/>
          <w:sz w:val="20"/>
          <w:szCs w:val="20"/>
          <w:lang w:val="fr-CD"/>
        </w:rPr>
        <w:t xml:space="preserve">(Prodoc) </w:t>
      </w:r>
      <w:r w:rsidRPr="00FF0AFE">
        <w:rPr>
          <w:rFonts w:ascii="Avenir Next LT Pro" w:hAnsi="Avenir Next LT Pro" w:cstheme="minorHAnsi"/>
          <w:sz w:val="20"/>
          <w:szCs w:val="20"/>
          <w:lang w:val="fr-CD"/>
        </w:rPr>
        <w:t xml:space="preserve">et a participé à la relecture dudit </w:t>
      </w:r>
      <w:r w:rsidR="00241D37" w:rsidRPr="00FF0AFE">
        <w:rPr>
          <w:rFonts w:ascii="Avenir Next LT Pro" w:hAnsi="Avenir Next LT Pro" w:cstheme="minorHAnsi"/>
          <w:sz w:val="20"/>
          <w:szCs w:val="20"/>
          <w:lang w:val="fr-CD"/>
        </w:rPr>
        <w:t>Prodoc</w:t>
      </w:r>
      <w:r w:rsidRPr="00FF0AFE">
        <w:rPr>
          <w:rFonts w:ascii="Avenir Next LT Pro" w:hAnsi="Avenir Next LT Pro" w:cstheme="minorHAnsi"/>
          <w:sz w:val="20"/>
          <w:szCs w:val="20"/>
          <w:lang w:val="fr-CD"/>
        </w:rPr>
        <w:t xml:space="preserve"> et leurs commentaires pertinents y ont été incorporées. </w:t>
      </w:r>
    </w:p>
    <w:p w14:paraId="0200CA16" w14:textId="77777777" w:rsidR="007F7508" w:rsidRPr="00FF0AFE" w:rsidRDefault="007F7508" w:rsidP="007F7508">
      <w:pPr>
        <w:pStyle w:val="Sansinterligne"/>
        <w:jc w:val="both"/>
        <w:rPr>
          <w:rFonts w:ascii="Avenir Next LT Pro" w:hAnsi="Avenir Next LT Pro" w:cstheme="minorHAnsi"/>
          <w:sz w:val="20"/>
          <w:szCs w:val="20"/>
          <w:lang w:val="fr-CD"/>
        </w:rPr>
      </w:pPr>
    </w:p>
    <w:p w14:paraId="7355649D" w14:textId="4BAAA1E9"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sz w:val="20"/>
          <w:szCs w:val="20"/>
          <w:lang w:val="fr-CD"/>
        </w:rPr>
        <w:t xml:space="preserve">En outre, il convient de noter que le </w:t>
      </w:r>
      <w:r w:rsidR="00241D37" w:rsidRPr="00FF0AFE">
        <w:rPr>
          <w:rFonts w:ascii="Avenir Next LT Pro" w:hAnsi="Avenir Next LT Pro" w:cstheme="minorHAnsi"/>
          <w:sz w:val="20"/>
          <w:szCs w:val="20"/>
          <w:lang w:val="fr-CD"/>
        </w:rPr>
        <w:t>P</w:t>
      </w:r>
      <w:r w:rsidRPr="00FF0AFE">
        <w:rPr>
          <w:rFonts w:ascii="Avenir Next LT Pro" w:hAnsi="Avenir Next LT Pro" w:cstheme="minorHAnsi"/>
          <w:sz w:val="20"/>
          <w:szCs w:val="20"/>
          <w:lang w:val="fr-CD"/>
        </w:rPr>
        <w:t xml:space="preserve">rojet </w:t>
      </w:r>
      <w:r w:rsidR="00D348AD" w:rsidRPr="00FF0AFE">
        <w:rPr>
          <w:rFonts w:ascii="Avenir Next LT Pro" w:hAnsi="Avenir Next LT Pro" w:cstheme="minorHAnsi"/>
          <w:sz w:val="20"/>
          <w:szCs w:val="20"/>
          <w:lang w:val="fr-CD"/>
        </w:rPr>
        <w:t xml:space="preserve">fait </w:t>
      </w:r>
      <w:r w:rsidRPr="00FF0AFE">
        <w:rPr>
          <w:rFonts w:ascii="Avenir Next LT Pro" w:hAnsi="Avenir Next LT Pro" w:cstheme="minorHAnsi"/>
          <w:sz w:val="20"/>
          <w:szCs w:val="20"/>
          <w:lang w:val="fr-CD"/>
        </w:rPr>
        <w:t xml:space="preserve">l’objet d’une étude de </w:t>
      </w:r>
      <w:r w:rsidR="00D348AD" w:rsidRPr="00FF0AFE">
        <w:rPr>
          <w:rFonts w:ascii="Avenir Next LT Pro" w:hAnsi="Avenir Next LT Pro" w:cstheme="minorHAnsi"/>
          <w:sz w:val="20"/>
          <w:szCs w:val="20"/>
          <w:lang w:val="fr-CD"/>
        </w:rPr>
        <w:t xml:space="preserve">cadrage qui sera </w:t>
      </w:r>
      <w:r w:rsidRPr="00FF0AFE">
        <w:rPr>
          <w:rFonts w:ascii="Avenir Next LT Pro" w:hAnsi="Avenir Next LT Pro" w:cstheme="minorHAnsi"/>
          <w:sz w:val="20"/>
          <w:szCs w:val="20"/>
          <w:lang w:val="fr-CD"/>
        </w:rPr>
        <w:t xml:space="preserve">assortie d’un plan opérationnel </w:t>
      </w:r>
      <w:r w:rsidR="00D348AD" w:rsidRPr="00FF0AFE">
        <w:rPr>
          <w:rFonts w:ascii="Avenir Next LT Pro" w:hAnsi="Avenir Next LT Pro" w:cstheme="minorHAnsi"/>
          <w:sz w:val="20"/>
          <w:szCs w:val="20"/>
          <w:lang w:val="fr-CD"/>
        </w:rPr>
        <w:t xml:space="preserve">tous deux </w:t>
      </w:r>
      <w:r w:rsidRPr="00FF0AFE">
        <w:rPr>
          <w:rFonts w:ascii="Avenir Next LT Pro" w:hAnsi="Avenir Next LT Pro" w:cstheme="minorHAnsi"/>
          <w:sz w:val="20"/>
          <w:szCs w:val="20"/>
          <w:lang w:val="fr-CD"/>
        </w:rPr>
        <w:t xml:space="preserve">validés avant </w:t>
      </w:r>
      <w:r w:rsidR="00CB608D" w:rsidRPr="00FF0AFE">
        <w:rPr>
          <w:rFonts w:ascii="Avenir Next LT Pro" w:hAnsi="Avenir Next LT Pro" w:cstheme="minorHAnsi"/>
          <w:sz w:val="20"/>
          <w:szCs w:val="20"/>
          <w:lang w:val="fr-CD"/>
        </w:rPr>
        <w:t xml:space="preserve">le </w:t>
      </w:r>
      <w:r w:rsidRPr="00FF0AFE">
        <w:rPr>
          <w:rFonts w:ascii="Avenir Next LT Pro" w:hAnsi="Avenir Next LT Pro" w:cstheme="minorHAnsi"/>
          <w:sz w:val="20"/>
          <w:szCs w:val="20"/>
          <w:lang w:val="fr-CD"/>
        </w:rPr>
        <w:t>démarrage</w:t>
      </w:r>
      <w:r w:rsidR="00CB608D" w:rsidRPr="00FF0AFE">
        <w:rPr>
          <w:rFonts w:ascii="Avenir Next LT Pro" w:hAnsi="Avenir Next LT Pro" w:cstheme="minorHAnsi"/>
          <w:sz w:val="20"/>
          <w:szCs w:val="20"/>
          <w:lang w:val="fr-CD"/>
        </w:rPr>
        <w:t xml:space="preserve"> effectif des activités</w:t>
      </w:r>
      <w:r w:rsidRPr="00FF0AFE">
        <w:rPr>
          <w:rFonts w:ascii="Avenir Next LT Pro" w:hAnsi="Avenir Next LT Pro" w:cstheme="minorHAnsi"/>
          <w:sz w:val="20"/>
          <w:szCs w:val="20"/>
          <w:lang w:val="fr-CD"/>
        </w:rPr>
        <w:t xml:space="preserve">. Cette étude de cadrage donnera l’occasion d’élargir les consultations publiques et assurer la participation de divers acteurs pertinents au processus de conception du Projet. </w:t>
      </w:r>
    </w:p>
    <w:p w14:paraId="2E01C4D6" w14:textId="77777777" w:rsidR="007F7508" w:rsidRPr="00FF0AFE" w:rsidRDefault="007F7508" w:rsidP="007F7508">
      <w:pPr>
        <w:pStyle w:val="Sansinterligne"/>
        <w:jc w:val="both"/>
        <w:rPr>
          <w:rFonts w:ascii="Avenir Next LT Pro" w:hAnsi="Avenir Next LT Pro" w:cstheme="minorHAnsi"/>
          <w:sz w:val="20"/>
          <w:szCs w:val="20"/>
          <w:lang w:val="fr-CD"/>
        </w:rPr>
      </w:pPr>
    </w:p>
    <w:p w14:paraId="14E92295" w14:textId="124A4476"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sz w:val="20"/>
          <w:szCs w:val="20"/>
          <w:lang w:val="fr-CD"/>
        </w:rPr>
        <w:t>Au niveau de sa mise en œuvre, plusieurs acteurs nationaux joueront un rôle dans la mise en œuvre des activités du Projet à différents niveaux. C’est notamment le cas de la participation de diverses institutions dans le Comité de pilotage du projet, notamment le FONAREDD, les ministères sectoriels (</w:t>
      </w:r>
      <w:r w:rsidR="007E0777" w:rsidRPr="00FF0AFE">
        <w:rPr>
          <w:rFonts w:ascii="Avenir Next LT Pro" w:hAnsi="Avenir Next LT Pro" w:cstheme="minorHAnsi"/>
          <w:sz w:val="20"/>
          <w:szCs w:val="20"/>
          <w:lang w:val="fr-CD"/>
        </w:rPr>
        <w:t>MEDD,</w:t>
      </w:r>
      <w:r w:rsidR="007E0777">
        <w:rPr>
          <w:rFonts w:ascii="Avenir Next LT Pro" w:hAnsi="Avenir Next LT Pro" w:cstheme="minorHAnsi"/>
          <w:sz w:val="20"/>
          <w:szCs w:val="20"/>
          <w:lang w:val="fr-CD"/>
        </w:rPr>
        <w:t xml:space="preserve"> </w:t>
      </w:r>
      <w:r w:rsidR="008B704B" w:rsidRPr="00FF0AFE">
        <w:rPr>
          <w:rFonts w:ascii="Avenir Next LT Pro" w:hAnsi="Avenir Next LT Pro" w:cstheme="minorHAnsi"/>
          <w:sz w:val="20"/>
          <w:szCs w:val="20"/>
          <w:lang w:val="fr-CD"/>
        </w:rPr>
        <w:t>f</w:t>
      </w:r>
      <w:r w:rsidRPr="00FF0AFE">
        <w:rPr>
          <w:rFonts w:ascii="Avenir Next LT Pro" w:hAnsi="Avenir Next LT Pro" w:cstheme="minorHAnsi"/>
          <w:sz w:val="20"/>
          <w:szCs w:val="20"/>
          <w:lang w:val="fr-CD"/>
        </w:rPr>
        <w:t>inances</w:t>
      </w:r>
      <w:r w:rsidR="004E7564">
        <w:rPr>
          <w:rFonts w:ascii="Avenir Next LT Pro" w:hAnsi="Avenir Next LT Pro" w:cstheme="minorHAnsi"/>
          <w:sz w:val="20"/>
          <w:szCs w:val="20"/>
          <w:lang w:val="fr-CD"/>
        </w:rPr>
        <w:t xml:space="preserve">, </w:t>
      </w:r>
      <w:r w:rsidRPr="00FF0AFE">
        <w:rPr>
          <w:rFonts w:ascii="Avenir Next LT Pro" w:hAnsi="Avenir Next LT Pro" w:cstheme="minorHAnsi"/>
          <w:sz w:val="20"/>
          <w:szCs w:val="20"/>
          <w:lang w:val="fr-CD"/>
        </w:rPr>
        <w:t>plan, agriculture,</w:t>
      </w:r>
      <w:r w:rsidR="004E7564">
        <w:rPr>
          <w:rFonts w:ascii="Avenir Next LT Pro" w:hAnsi="Avenir Next LT Pro" w:cstheme="minorHAnsi"/>
          <w:sz w:val="20"/>
          <w:szCs w:val="20"/>
          <w:lang w:val="fr-CD"/>
        </w:rPr>
        <w:t xml:space="preserve"> </w:t>
      </w:r>
      <w:r w:rsidRPr="00FF0AFE">
        <w:rPr>
          <w:rFonts w:ascii="Avenir Next LT Pro" w:hAnsi="Avenir Next LT Pro" w:cstheme="minorHAnsi"/>
          <w:sz w:val="20"/>
          <w:szCs w:val="20"/>
          <w:lang w:val="fr-CD"/>
        </w:rPr>
        <w:t xml:space="preserve">développement rural, coopération internationale, aménagement du territoire, genre, énergie, transport, etc.) impliqués dans la mise en œuvre de la CDN, les institutions spécialisées comme l’ARMCA, le secteur privé, les Partenaires Techniques et Financiers ainsi que les délégués de la société civile. Par ailleurs, plusieurs activités du </w:t>
      </w:r>
      <w:r w:rsidR="008B704B" w:rsidRPr="00FF0AFE">
        <w:rPr>
          <w:rFonts w:ascii="Avenir Next LT Pro" w:hAnsi="Avenir Next LT Pro" w:cstheme="minorHAnsi"/>
          <w:sz w:val="20"/>
          <w:szCs w:val="20"/>
          <w:lang w:val="fr-CD"/>
        </w:rPr>
        <w:t>P</w:t>
      </w:r>
      <w:r w:rsidRPr="00FF0AFE">
        <w:rPr>
          <w:rFonts w:ascii="Avenir Next LT Pro" w:hAnsi="Avenir Next LT Pro" w:cstheme="minorHAnsi"/>
          <w:sz w:val="20"/>
          <w:szCs w:val="20"/>
          <w:lang w:val="fr-CD"/>
        </w:rPr>
        <w:t xml:space="preserve">rojet seront mises en œuvre par les acteurs nationaux aussi bien gouvernementaux (ex. ARMCA) que de la société civile (ex. GTCRR, etc.). En somme, toutes ces activités contribueront au renforceront de l’appropriation nationale et par échéant permettront de garantir la durabilité du </w:t>
      </w:r>
      <w:r w:rsidR="004505C1" w:rsidRPr="00FF0AFE">
        <w:rPr>
          <w:rFonts w:ascii="Avenir Next LT Pro" w:hAnsi="Avenir Next LT Pro" w:cstheme="minorHAnsi"/>
          <w:sz w:val="20"/>
          <w:szCs w:val="20"/>
          <w:lang w:val="fr-CD"/>
        </w:rPr>
        <w:t>P</w:t>
      </w:r>
      <w:r w:rsidRPr="00FF0AFE">
        <w:rPr>
          <w:rFonts w:ascii="Avenir Next LT Pro" w:hAnsi="Avenir Next LT Pro" w:cstheme="minorHAnsi"/>
          <w:sz w:val="20"/>
          <w:szCs w:val="20"/>
          <w:lang w:val="fr-CD"/>
        </w:rPr>
        <w:t xml:space="preserve">rojet. </w:t>
      </w:r>
    </w:p>
    <w:p w14:paraId="4EE063A1" w14:textId="77777777" w:rsidR="007F7508" w:rsidRPr="00FF0AFE" w:rsidRDefault="007F7508" w:rsidP="007F7508">
      <w:pPr>
        <w:pStyle w:val="Sansinterligne"/>
        <w:jc w:val="both"/>
        <w:rPr>
          <w:rFonts w:ascii="Avenir Next LT Pro" w:hAnsi="Avenir Next LT Pro" w:cstheme="minorHAnsi"/>
          <w:sz w:val="20"/>
          <w:szCs w:val="20"/>
          <w:lang w:val="fr-CD"/>
        </w:rPr>
      </w:pPr>
    </w:p>
    <w:p w14:paraId="115AE57E" w14:textId="2B08C559"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b/>
          <w:bCs/>
          <w:sz w:val="20"/>
          <w:szCs w:val="20"/>
          <w:lang w:val="fr-CD"/>
        </w:rPr>
        <w:t>La stratégie de sortie du Projet</w:t>
      </w:r>
      <w:r w:rsidRPr="00FF0AFE">
        <w:rPr>
          <w:rFonts w:ascii="Avenir Next LT Pro" w:hAnsi="Avenir Next LT Pro" w:cstheme="minorHAnsi"/>
          <w:sz w:val="20"/>
          <w:szCs w:val="20"/>
          <w:lang w:val="fr-CD"/>
        </w:rPr>
        <w:t xml:space="preserve"> sera définie dès le démarrage des activités avec l’implication de l’ensemble des partenaires nationaux de mise en œuvre. Pour ce faire, le </w:t>
      </w:r>
      <w:r w:rsidR="004505C1" w:rsidRPr="00FF0AFE">
        <w:rPr>
          <w:rFonts w:ascii="Avenir Next LT Pro" w:hAnsi="Avenir Next LT Pro" w:cstheme="minorHAnsi"/>
          <w:sz w:val="20"/>
          <w:szCs w:val="20"/>
          <w:lang w:val="fr-CD"/>
        </w:rPr>
        <w:t>P</w:t>
      </w:r>
      <w:r w:rsidRPr="00FF0AFE">
        <w:rPr>
          <w:rFonts w:ascii="Avenir Next LT Pro" w:hAnsi="Avenir Next LT Pro" w:cstheme="minorHAnsi"/>
          <w:sz w:val="20"/>
          <w:szCs w:val="20"/>
          <w:lang w:val="fr-CD"/>
        </w:rPr>
        <w:t xml:space="preserve">rojet facilitera avec le concours des ministères techniques partenaires de mise en œuvre, la planification des activités à réaliser, l’établissement d’un dispositif de gestion, de coordination et de suivi dans un souci de pérennisation des interventions et d’appropriation. Elle repose sur un ensemble d’interventions qui permettront au Gouvernement de la RDC et à plusieurs autres acteurs de se déployer de manière </w:t>
      </w:r>
      <w:r w:rsidRPr="00FF0AFE">
        <w:rPr>
          <w:rFonts w:ascii="Avenir Next LT Pro" w:hAnsi="Avenir Next LT Pro" w:cstheme="minorHAnsi"/>
          <w:sz w:val="20"/>
          <w:szCs w:val="20"/>
          <w:lang w:val="fr-CD"/>
        </w:rPr>
        <w:lastRenderedPageBreak/>
        <w:t xml:space="preserve">indépendante sur les marchés du carbone afin de mobiliser les financements climatiques d’envergure pour la mise en œuvre effective de la CDN. </w:t>
      </w:r>
    </w:p>
    <w:p w14:paraId="6722C99E" w14:textId="77777777" w:rsidR="007F7508" w:rsidRPr="00FF0AFE" w:rsidRDefault="007F7508" w:rsidP="007F7508">
      <w:pPr>
        <w:pStyle w:val="Sansinterligne"/>
        <w:jc w:val="both"/>
        <w:rPr>
          <w:rFonts w:ascii="Avenir Next LT Pro" w:hAnsi="Avenir Next LT Pro" w:cstheme="minorHAnsi"/>
          <w:sz w:val="20"/>
          <w:szCs w:val="20"/>
          <w:lang w:val="fr-CD"/>
        </w:rPr>
      </w:pPr>
    </w:p>
    <w:p w14:paraId="3C9DB11A" w14:textId="2B3D52C8"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sz w:val="20"/>
          <w:szCs w:val="20"/>
          <w:lang w:val="fr-CD"/>
        </w:rPr>
        <w:t xml:space="preserve">Sur le plan stratégique par exemple, la stratégie de financements de la CDN donnera au Gouvernement de la RDC une vision claire et </w:t>
      </w:r>
      <w:r w:rsidR="004505C1" w:rsidRPr="00FF0AFE">
        <w:rPr>
          <w:rFonts w:ascii="Avenir Next LT Pro" w:hAnsi="Avenir Next LT Pro" w:cstheme="minorHAnsi"/>
          <w:sz w:val="20"/>
          <w:szCs w:val="20"/>
          <w:lang w:val="fr-CD"/>
        </w:rPr>
        <w:t xml:space="preserve">précise </w:t>
      </w:r>
      <w:r w:rsidRPr="00FF0AFE">
        <w:rPr>
          <w:rFonts w:ascii="Avenir Next LT Pro" w:hAnsi="Avenir Next LT Pro" w:cstheme="minorHAnsi"/>
          <w:sz w:val="20"/>
          <w:szCs w:val="20"/>
          <w:lang w:val="fr-CD"/>
        </w:rPr>
        <w:t xml:space="preserve">sur les différents instruments financiers adaptés aux différents enjeux du pays, ainsi la stratégie pour leur utilisation effective permettant ainsi une mobilisation plus effective des financements climatiques à moyen et long terme. De même, la stratégie nationale sur les marchés du carbone donnera une vision claire et robuste aux différents acteurs de la finance carbone sur les volumes, les marchés et les prix permettant ainsi de s’engager de manière informée et stratégique sur les différents segments des marchés du carbone. Il en est de même du mécanisme de partage des bénéfices en vue d’assurer la redistribution juste et équitable à l’échelle </w:t>
      </w:r>
      <w:r w:rsidR="00AA0599" w:rsidRPr="00FF0AFE">
        <w:rPr>
          <w:rFonts w:ascii="Avenir Next LT Pro" w:hAnsi="Avenir Next LT Pro" w:cstheme="minorHAnsi"/>
          <w:sz w:val="20"/>
          <w:szCs w:val="20"/>
          <w:lang w:val="fr-CD"/>
        </w:rPr>
        <w:t>n</w:t>
      </w:r>
      <w:r w:rsidRPr="00FF0AFE">
        <w:rPr>
          <w:rFonts w:ascii="Avenir Next LT Pro" w:hAnsi="Avenir Next LT Pro" w:cstheme="minorHAnsi"/>
          <w:sz w:val="20"/>
          <w:szCs w:val="20"/>
          <w:lang w:val="fr-CD"/>
        </w:rPr>
        <w:t>ationale des revenus financiers issus de la vente des crédits carbone sur les marchés.</w:t>
      </w:r>
    </w:p>
    <w:p w14:paraId="08A01235" w14:textId="77777777" w:rsidR="007F7508" w:rsidRPr="00FF0AFE" w:rsidRDefault="007F7508" w:rsidP="007F7508">
      <w:pPr>
        <w:pStyle w:val="Sansinterligne"/>
        <w:jc w:val="both"/>
        <w:rPr>
          <w:rFonts w:ascii="Avenir Next LT Pro" w:hAnsi="Avenir Next LT Pro" w:cstheme="minorHAnsi"/>
          <w:sz w:val="20"/>
          <w:szCs w:val="20"/>
          <w:lang w:val="fr-CD"/>
        </w:rPr>
      </w:pPr>
    </w:p>
    <w:p w14:paraId="7FE733F9" w14:textId="77777777"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sz w:val="20"/>
          <w:szCs w:val="20"/>
          <w:lang w:val="fr-CD"/>
        </w:rPr>
        <w:t xml:space="preserve">Au niveau institutionnel, l’appui à l’opérationnalisation effective de l’ARMCA et de la CNEDD (ex. appui à l’élaboration des procédures opérationnelles, etc.) permettra à ces institutions de se déployer de manière dynamique et autonome au-delà de la mise en œuvre du Projet. Par ailleurs, le développement des infrastructures (ex. registre carbone, sauvegardes environnementales et sociales, etc.) de concert avec les bénéficiaires, leur intégration aux systèmes existants au sein des institutions bénéficiaires et le renforcement des capacités humaines pour leur utilisation effective garantira la durabilité de ces infrastructures au-delà de la durée de vie du Projet. Un plan de renforcement des capacités sera ainsi élaboré et mis en œuvre avec le concours des partenaires. Ce plan adressera également les besoins de mise à niveau en matière de normes sociales et environnementales. A travers cette action, Il s’agira de veiller à ce que les ressources forestières soient préservées, et les droits et les besoins des peuples autochtones. En outre, le renforcement des capacités diverses des parties prenantes sur les différents aspects et thématiques de la finance carbone constitue une acquisition permanente et constitue un socle pour un engagement permanent et continue dans le domaine de la finance climatique au-delà de la période de mise en œuvre du projet. </w:t>
      </w:r>
    </w:p>
    <w:p w14:paraId="63C1C48D" w14:textId="77777777" w:rsidR="007F7508" w:rsidRPr="00FF0AFE" w:rsidRDefault="007F7508" w:rsidP="007F7508">
      <w:pPr>
        <w:pStyle w:val="Sansinterligne"/>
        <w:jc w:val="both"/>
        <w:rPr>
          <w:rFonts w:ascii="Avenir Next LT Pro" w:hAnsi="Avenir Next LT Pro" w:cstheme="minorHAnsi"/>
          <w:sz w:val="20"/>
          <w:szCs w:val="20"/>
          <w:lang w:val="fr-CD"/>
        </w:rPr>
      </w:pPr>
    </w:p>
    <w:p w14:paraId="1B9E410C" w14:textId="39B8BB60"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sz w:val="20"/>
          <w:szCs w:val="20"/>
          <w:lang w:val="fr-CD"/>
        </w:rPr>
        <w:t>En outre, le Projet viellera à ce que la partie des revenus financiers issus de la vente des crédits carbone</w:t>
      </w:r>
      <w:r w:rsidR="00355696" w:rsidRPr="00FF0AFE">
        <w:rPr>
          <w:rFonts w:ascii="Avenir Next LT Pro" w:hAnsi="Avenir Next LT Pro" w:cstheme="minorHAnsi"/>
          <w:sz w:val="20"/>
          <w:szCs w:val="20"/>
          <w:lang w:val="fr-CD"/>
        </w:rPr>
        <w:t>s</w:t>
      </w:r>
      <w:r w:rsidRPr="00FF0AFE">
        <w:rPr>
          <w:rFonts w:ascii="Avenir Next LT Pro" w:hAnsi="Avenir Next LT Pro" w:cstheme="minorHAnsi"/>
          <w:sz w:val="20"/>
          <w:szCs w:val="20"/>
          <w:lang w:val="fr-CD"/>
        </w:rPr>
        <w:t xml:space="preserve"> à allouer conformément </w:t>
      </w:r>
      <w:r w:rsidR="007F45AB" w:rsidRPr="00FF0AFE">
        <w:rPr>
          <w:rFonts w:ascii="Avenir Next LT Pro" w:hAnsi="Avenir Next LT Pro" w:cstheme="minorHAnsi"/>
          <w:sz w:val="20"/>
          <w:szCs w:val="20"/>
          <w:lang w:val="fr-CD"/>
        </w:rPr>
        <w:t>à la clé</w:t>
      </w:r>
      <w:r w:rsidR="003A06D7" w:rsidRPr="00FF0AFE">
        <w:rPr>
          <w:rFonts w:ascii="Avenir Next LT Pro" w:hAnsi="Avenir Next LT Pro" w:cstheme="minorHAnsi"/>
          <w:sz w:val="20"/>
          <w:szCs w:val="20"/>
          <w:lang w:val="fr-CD"/>
        </w:rPr>
        <w:t xml:space="preserve"> de répartition des</w:t>
      </w:r>
      <w:r w:rsidRPr="00FF0AFE">
        <w:rPr>
          <w:rFonts w:ascii="Avenir Next LT Pro" w:hAnsi="Avenir Next LT Pro" w:cstheme="minorHAnsi"/>
          <w:sz w:val="20"/>
          <w:szCs w:val="20"/>
          <w:lang w:val="fr-CD"/>
        </w:rPr>
        <w:t xml:space="preserve"> bénéfices soit effective, et permettent à l’ARMCA et à d’autres instituions spécifiquement </w:t>
      </w:r>
      <w:r w:rsidR="00355696" w:rsidRPr="00FF0AFE">
        <w:rPr>
          <w:rFonts w:ascii="Avenir Next LT Pro" w:hAnsi="Avenir Next LT Pro" w:cstheme="minorHAnsi"/>
          <w:sz w:val="20"/>
          <w:szCs w:val="20"/>
          <w:lang w:val="fr-CD"/>
        </w:rPr>
        <w:t>créées</w:t>
      </w:r>
      <w:r w:rsidRPr="00FF0AFE">
        <w:rPr>
          <w:rFonts w:ascii="Avenir Next LT Pro" w:hAnsi="Avenir Next LT Pro" w:cstheme="minorHAnsi"/>
          <w:sz w:val="20"/>
          <w:szCs w:val="20"/>
          <w:lang w:val="fr-CD"/>
        </w:rPr>
        <w:t xml:space="preserve"> ou rendues opérationnelles grâce au Projet d’assurer leur fonctionnement en vue consolider ainsi les acquis.</w:t>
      </w:r>
      <w:r w:rsidRPr="00FF0AFE">
        <w:rPr>
          <w:rFonts w:ascii="Avenir Next LT Pro" w:hAnsi="Avenir Next LT Pro"/>
          <w:sz w:val="20"/>
          <w:szCs w:val="20"/>
        </w:rPr>
        <w:t xml:space="preserve"> Cette disposition permettra d’</w:t>
      </w:r>
      <w:r w:rsidRPr="00FF0AFE">
        <w:rPr>
          <w:rFonts w:ascii="Avenir Next LT Pro" w:hAnsi="Avenir Next LT Pro" w:cstheme="minorHAnsi"/>
          <w:sz w:val="20"/>
          <w:szCs w:val="20"/>
          <w:lang w:val="fr-CD"/>
        </w:rPr>
        <w:t>assurer la durabilité des acquis et des opérations à la fin du Projet.</w:t>
      </w:r>
    </w:p>
    <w:p w14:paraId="21322B73" w14:textId="77777777" w:rsidR="007F7508" w:rsidRPr="00FF0AFE" w:rsidRDefault="007F7508" w:rsidP="007F7508">
      <w:pPr>
        <w:pStyle w:val="Sansinterligne"/>
        <w:jc w:val="both"/>
        <w:rPr>
          <w:rFonts w:ascii="Avenir Next LT Pro" w:hAnsi="Avenir Next LT Pro" w:cstheme="minorHAnsi"/>
          <w:sz w:val="20"/>
          <w:szCs w:val="20"/>
          <w:lang w:val="fr-CD"/>
        </w:rPr>
      </w:pPr>
    </w:p>
    <w:p w14:paraId="1CB99633" w14:textId="1186640E" w:rsidR="007F7508"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sz w:val="20"/>
          <w:szCs w:val="20"/>
          <w:lang w:val="fr-CD"/>
        </w:rPr>
        <w:t xml:space="preserve">Le projet catalysera les investissements du gouvernement, du secteur privé et des </w:t>
      </w:r>
      <w:r w:rsidR="008A2BD1" w:rsidRPr="00FF0AFE">
        <w:rPr>
          <w:rFonts w:ascii="Avenir Next LT Pro" w:hAnsi="Avenir Next LT Pro" w:cstheme="minorHAnsi"/>
          <w:sz w:val="20"/>
          <w:szCs w:val="20"/>
          <w:lang w:val="fr-CD"/>
        </w:rPr>
        <w:t>p</w:t>
      </w:r>
      <w:r w:rsidRPr="00FF0AFE">
        <w:rPr>
          <w:rFonts w:ascii="Avenir Next LT Pro" w:hAnsi="Avenir Next LT Pro" w:cstheme="minorHAnsi"/>
          <w:sz w:val="20"/>
          <w:szCs w:val="20"/>
          <w:lang w:val="fr-CD"/>
        </w:rPr>
        <w:t>artenaires techniques et financiers (Banque mondiale, USAID, US Forest Service, Grande Bretagne, Allemagne-GIZ, UE, FAO, ACMI-Initiative des marchés du carbone en Afrique), qui soutiennent ou sont engagés dans une initiative conjointe avec le PNUD à fournir un appui au développement des marchés du carbone en RDC. L’accent sera aussi mis sur l’optimisation de l’utilisation des expertises techniques et ressources financières disponibles. L’assistance technique sera également fournie en cas de besoin à l’ARMCA et aux structures techniques nationales impliquées afin de leur permettre de disposer de moyens pour réaliser les activités.</w:t>
      </w:r>
    </w:p>
    <w:p w14:paraId="16C3D794" w14:textId="77777777" w:rsidR="007F7508" w:rsidRPr="00FF0AFE" w:rsidRDefault="007F7508" w:rsidP="007F7508">
      <w:pPr>
        <w:pStyle w:val="Sansinterligne"/>
        <w:jc w:val="both"/>
        <w:rPr>
          <w:rFonts w:ascii="Avenir Next LT Pro" w:hAnsi="Avenir Next LT Pro" w:cstheme="minorHAnsi"/>
          <w:sz w:val="20"/>
          <w:szCs w:val="20"/>
          <w:lang w:val="fr-CD"/>
        </w:rPr>
      </w:pPr>
    </w:p>
    <w:p w14:paraId="527465EC" w14:textId="41D5452C" w:rsidR="003C0D55" w:rsidRPr="00FF0AFE" w:rsidRDefault="007F7508" w:rsidP="007F7508">
      <w:pPr>
        <w:pStyle w:val="Sansinterligne"/>
        <w:jc w:val="both"/>
        <w:rPr>
          <w:rFonts w:ascii="Avenir Next LT Pro" w:hAnsi="Avenir Next LT Pro" w:cstheme="minorHAnsi"/>
          <w:sz w:val="20"/>
          <w:szCs w:val="20"/>
          <w:lang w:val="fr-CD"/>
        </w:rPr>
      </w:pPr>
      <w:r w:rsidRPr="00FF0AFE">
        <w:rPr>
          <w:rFonts w:ascii="Avenir Next LT Pro" w:hAnsi="Avenir Next LT Pro" w:cstheme="minorHAnsi"/>
          <w:sz w:val="20"/>
          <w:szCs w:val="20"/>
          <w:lang w:val="fr-CD"/>
        </w:rPr>
        <w:t>En matière d’innovation, le Projet favorisera l’exploration des nouvelles idées et des tendances novatrices par le biais du Laboratoire d’accélération du PNUD en vue d’établir une cartographie des solutions, et promouvoir le transfert des connaissances et le développement des capacités technologiques.</w:t>
      </w:r>
    </w:p>
    <w:p w14:paraId="099E8B43" w14:textId="77777777" w:rsidR="003334AF" w:rsidRPr="00C345C4" w:rsidRDefault="003334AF" w:rsidP="003A4091">
      <w:pPr>
        <w:spacing w:after="120"/>
        <w:jc w:val="both"/>
        <w:rPr>
          <w:rFonts w:ascii="Avenir Next LT Pro" w:hAnsi="Avenir Next LT Pro"/>
          <w:sz w:val="20"/>
          <w:szCs w:val="20"/>
          <w:highlight w:val="yellow"/>
          <w:lang w:eastAsia="fr-FR"/>
        </w:rPr>
      </w:pPr>
    </w:p>
    <w:p w14:paraId="1D2FAFAE" w14:textId="06D7C08A" w:rsidR="008C0055" w:rsidRPr="00C345C4" w:rsidRDefault="008C0055" w:rsidP="0068302F">
      <w:pPr>
        <w:pStyle w:val="Titre1"/>
        <w:rPr>
          <w:rFonts w:ascii="Avenir Next LT Pro" w:hAnsi="Avenir Next LT Pro"/>
        </w:rPr>
      </w:pPr>
      <w:bookmarkStart w:id="31" w:name="_Toc163230375"/>
      <w:r w:rsidRPr="00C345C4">
        <w:rPr>
          <w:rFonts w:ascii="Avenir Next LT Pro" w:hAnsi="Avenir Next LT Pro"/>
        </w:rPr>
        <w:t xml:space="preserve">Cadre de résultats </w:t>
      </w:r>
      <w:bookmarkEnd w:id="29"/>
      <w:bookmarkEnd w:id="30"/>
      <w:r w:rsidR="008C58B5" w:rsidRPr="00C345C4">
        <w:rPr>
          <w:rFonts w:ascii="Avenir Next LT Pro" w:hAnsi="Avenir Next LT Pro"/>
        </w:rPr>
        <w:t>et contribution aux jalons de la lettre d’intention</w:t>
      </w:r>
      <w:bookmarkEnd w:id="31"/>
      <w:r w:rsidR="008C58B5" w:rsidRPr="00C345C4">
        <w:rPr>
          <w:rFonts w:ascii="Avenir Next LT Pro" w:hAnsi="Avenir Next LT Pro"/>
        </w:rPr>
        <w:t xml:space="preserve"> </w:t>
      </w:r>
    </w:p>
    <w:p w14:paraId="05B7DDD0" w14:textId="77777777" w:rsidR="00413A7B" w:rsidRPr="00C345C4" w:rsidRDefault="00413A7B" w:rsidP="00413A7B">
      <w:pPr>
        <w:spacing w:after="0"/>
        <w:jc w:val="both"/>
        <w:rPr>
          <w:rFonts w:ascii="Avenir Next LT Pro" w:hAnsi="Avenir Next LT Pro"/>
          <w:sz w:val="20"/>
          <w:szCs w:val="20"/>
          <w:lang w:eastAsia="fr-FR"/>
        </w:rPr>
      </w:pPr>
    </w:p>
    <w:p w14:paraId="093E5B5E" w14:textId="6B8F1F80" w:rsidR="00AC2224" w:rsidRPr="00C345C4" w:rsidRDefault="00912CB8" w:rsidP="000E7FF0">
      <w:pPr>
        <w:pStyle w:val="Titre2"/>
        <w:rPr>
          <w:rFonts w:ascii="Avenir Next LT Pro" w:hAnsi="Avenir Next LT Pro"/>
        </w:rPr>
      </w:pPr>
      <w:bookmarkStart w:id="32" w:name="_Toc163230376"/>
      <w:r w:rsidRPr="00C345C4">
        <w:rPr>
          <w:rFonts w:ascii="Avenir Next LT Pro" w:hAnsi="Avenir Next LT Pro"/>
        </w:rPr>
        <w:t>Cadre de résultats</w:t>
      </w:r>
      <w:bookmarkEnd w:id="32"/>
      <w:r w:rsidRPr="00C345C4">
        <w:rPr>
          <w:rFonts w:ascii="Avenir Next LT Pro" w:hAnsi="Avenir Next LT Pro"/>
        </w:rPr>
        <w:t xml:space="preserve"> </w:t>
      </w:r>
    </w:p>
    <w:p w14:paraId="2BA3B91C" w14:textId="620B3B65" w:rsidR="000402BD" w:rsidRPr="00373463" w:rsidRDefault="000402BD" w:rsidP="00373463">
      <w:pPr>
        <w:spacing w:after="120"/>
        <w:jc w:val="both"/>
        <w:rPr>
          <w:rFonts w:ascii="Avenir Next LT Pro" w:hAnsi="Avenir Next LT Pro"/>
          <w:color w:val="3E762A" w:themeColor="accent1" w:themeShade="BF"/>
          <w:sz w:val="20"/>
          <w:szCs w:val="20"/>
          <w:lang w:eastAsia="fr-FR"/>
        </w:rPr>
      </w:pPr>
    </w:p>
    <w:p w14:paraId="5D7161BA" w14:textId="77777777" w:rsidR="009340BA" w:rsidRPr="00C345C4" w:rsidRDefault="009340BA" w:rsidP="009340BA">
      <w:pPr>
        <w:spacing w:after="120"/>
        <w:jc w:val="both"/>
        <w:rPr>
          <w:rFonts w:ascii="Avenir Next LT Pro" w:hAnsi="Avenir Next LT Pro"/>
          <w:sz w:val="20"/>
          <w:szCs w:val="20"/>
          <w:highlight w:val="yellow"/>
          <w:lang w:eastAsia="fr-FR"/>
        </w:rPr>
      </w:pPr>
    </w:p>
    <w:p w14:paraId="2FBCB310" w14:textId="77777777" w:rsidR="00F81FEB" w:rsidRPr="00C345C4" w:rsidRDefault="00F81FEB" w:rsidP="00EE69F4">
      <w:pPr>
        <w:pStyle w:val="Paragraphedeliste"/>
        <w:spacing w:after="0" w:line="240" w:lineRule="auto"/>
        <w:ind w:left="360"/>
        <w:rPr>
          <w:rFonts w:ascii="Avenir Next LT Pro" w:eastAsiaTheme="minorHAnsi" w:hAnsi="Avenir Next LT Pro"/>
          <w:b/>
          <w:bCs/>
          <w:sz w:val="20"/>
          <w:szCs w:val="20"/>
        </w:rPr>
        <w:sectPr w:rsidR="00F81FEB" w:rsidRPr="00C345C4" w:rsidSect="007E07E5">
          <w:pgSz w:w="11906" w:h="16838"/>
          <w:pgMar w:top="1843" w:right="1418" w:bottom="1418" w:left="1418" w:header="709" w:footer="709" w:gutter="0"/>
          <w:cols w:space="708"/>
          <w:titlePg/>
          <w:docGrid w:linePitch="360"/>
        </w:sectPr>
      </w:pPr>
    </w:p>
    <w:p w14:paraId="771594E5" w14:textId="3185A2FA" w:rsidR="003A28C1" w:rsidRPr="00C345C4" w:rsidRDefault="0016601A" w:rsidP="004641B3">
      <w:pPr>
        <w:pStyle w:val="Lgende"/>
        <w:rPr>
          <w:rFonts w:ascii="Avenir Next LT Pro" w:eastAsiaTheme="minorHAnsi" w:hAnsi="Avenir Next LT Pro"/>
          <w:b/>
          <w:bCs/>
          <w:sz w:val="20"/>
          <w:szCs w:val="20"/>
        </w:rPr>
      </w:pPr>
      <w:bookmarkStart w:id="33" w:name="_Toc179238787"/>
      <w:r w:rsidRPr="004641B3">
        <w:rPr>
          <w:b/>
          <w:bCs/>
          <w:i w:val="0"/>
          <w:iCs w:val="0"/>
          <w:sz w:val="24"/>
          <w:szCs w:val="24"/>
        </w:rPr>
        <w:lastRenderedPageBreak/>
        <w:t xml:space="preserve">Tableau </w:t>
      </w:r>
      <w:r w:rsidRPr="004641B3">
        <w:rPr>
          <w:b/>
          <w:bCs/>
          <w:i w:val="0"/>
          <w:iCs w:val="0"/>
          <w:sz w:val="24"/>
          <w:szCs w:val="24"/>
        </w:rPr>
        <w:fldChar w:fldCharType="begin"/>
      </w:r>
      <w:r w:rsidRPr="004641B3">
        <w:rPr>
          <w:b/>
          <w:bCs/>
          <w:i w:val="0"/>
          <w:iCs w:val="0"/>
          <w:sz w:val="24"/>
          <w:szCs w:val="24"/>
        </w:rPr>
        <w:instrText xml:space="preserve"> SEQ Tableau \* ARABIC </w:instrText>
      </w:r>
      <w:r w:rsidRPr="004641B3">
        <w:rPr>
          <w:b/>
          <w:bCs/>
          <w:i w:val="0"/>
          <w:iCs w:val="0"/>
          <w:sz w:val="24"/>
          <w:szCs w:val="24"/>
        </w:rPr>
        <w:fldChar w:fldCharType="separate"/>
      </w:r>
      <w:r w:rsidR="0059639C">
        <w:rPr>
          <w:b/>
          <w:bCs/>
          <w:i w:val="0"/>
          <w:iCs w:val="0"/>
          <w:noProof/>
          <w:sz w:val="24"/>
          <w:szCs w:val="24"/>
        </w:rPr>
        <w:t>3</w:t>
      </w:r>
      <w:r w:rsidRPr="004641B3">
        <w:rPr>
          <w:b/>
          <w:bCs/>
          <w:i w:val="0"/>
          <w:iCs w:val="0"/>
          <w:sz w:val="24"/>
          <w:szCs w:val="24"/>
        </w:rPr>
        <w:fldChar w:fldCharType="end"/>
      </w:r>
      <w:r w:rsidRPr="004641B3">
        <w:rPr>
          <w:b/>
          <w:bCs/>
          <w:i w:val="0"/>
          <w:iCs w:val="0"/>
          <w:sz w:val="24"/>
          <w:szCs w:val="24"/>
        </w:rPr>
        <w:t xml:space="preserve"> Cadre de résultats</w:t>
      </w:r>
      <w:bookmarkEnd w:id="33"/>
    </w:p>
    <w:tbl>
      <w:tblPr>
        <w:tblW w:w="14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974"/>
        <w:gridCol w:w="1673"/>
        <w:gridCol w:w="1673"/>
        <w:gridCol w:w="992"/>
        <w:gridCol w:w="1111"/>
        <w:gridCol w:w="899"/>
        <w:gridCol w:w="2456"/>
        <w:gridCol w:w="1213"/>
        <w:gridCol w:w="1484"/>
        <w:gridCol w:w="797"/>
        <w:gridCol w:w="28"/>
      </w:tblGrid>
      <w:tr w:rsidR="007F67AB" w:rsidRPr="0085123F" w14:paraId="5FCA1BE6" w14:textId="77777777" w:rsidTr="007F45AB">
        <w:trPr>
          <w:trHeight w:val="727"/>
        </w:trPr>
        <w:tc>
          <w:tcPr>
            <w:tcW w:w="2528" w:type="dxa"/>
            <w:gridSpan w:val="2"/>
            <w:shd w:val="clear" w:color="auto" w:fill="3E762A" w:themeFill="accent1" w:themeFillShade="BF"/>
            <w:vAlign w:val="center"/>
          </w:tcPr>
          <w:p w14:paraId="74487D0A" w14:textId="34549F7C" w:rsidR="007F1411" w:rsidRPr="0085123F" w:rsidRDefault="007F1411" w:rsidP="001638F3">
            <w:pPr>
              <w:spacing w:after="0"/>
              <w:jc w:val="both"/>
              <w:rPr>
                <w:rFonts w:ascii="Avenir Next LT Pro" w:hAnsi="Avenir Next LT Pro" w:cstheme="minorHAnsi"/>
                <w:b/>
                <w:color w:val="FFFFFF" w:themeColor="background1"/>
                <w:sz w:val="20"/>
                <w:szCs w:val="20"/>
                <w:lang w:eastAsia="fr-CA"/>
              </w:rPr>
            </w:pPr>
          </w:p>
        </w:tc>
        <w:tc>
          <w:tcPr>
            <w:tcW w:w="8804" w:type="dxa"/>
            <w:gridSpan w:val="6"/>
            <w:shd w:val="clear" w:color="auto" w:fill="3E762A" w:themeFill="accent1" w:themeFillShade="BF"/>
          </w:tcPr>
          <w:p w14:paraId="7493F68F" w14:textId="3EAE0077" w:rsidR="007F1411" w:rsidRPr="0085123F" w:rsidRDefault="007F1411" w:rsidP="001638F3">
            <w:pPr>
              <w:spacing w:after="0"/>
              <w:jc w:val="both"/>
              <w:rPr>
                <w:rFonts w:ascii="Avenir Next LT Pro" w:hAnsi="Avenir Next LT Pro" w:cstheme="minorHAnsi"/>
                <w:b/>
                <w:color w:val="FFFFFF" w:themeColor="background1"/>
                <w:sz w:val="20"/>
                <w:szCs w:val="20"/>
                <w:lang w:eastAsia="fr-CA"/>
              </w:rPr>
            </w:pPr>
          </w:p>
        </w:tc>
        <w:tc>
          <w:tcPr>
            <w:tcW w:w="3522" w:type="dxa"/>
            <w:gridSpan w:val="4"/>
            <w:shd w:val="clear" w:color="auto" w:fill="3E762A" w:themeFill="accent1" w:themeFillShade="BF"/>
            <w:vAlign w:val="center"/>
          </w:tcPr>
          <w:p w14:paraId="6B66BF69" w14:textId="77777777" w:rsidR="007F1411" w:rsidRPr="0085123F" w:rsidRDefault="007F1411" w:rsidP="001638F3">
            <w:pPr>
              <w:spacing w:after="0"/>
              <w:jc w:val="center"/>
              <w:rPr>
                <w:rFonts w:ascii="Avenir Next LT Pro" w:hAnsi="Avenir Next LT Pro" w:cstheme="minorHAnsi"/>
                <w:b/>
                <w:color w:val="FFFFFF" w:themeColor="background1"/>
                <w:sz w:val="20"/>
                <w:szCs w:val="20"/>
                <w:lang w:eastAsia="fr-CA"/>
              </w:rPr>
            </w:pPr>
            <w:r w:rsidRPr="0085123F">
              <w:rPr>
                <w:rFonts w:ascii="Avenir Next LT Pro" w:hAnsi="Avenir Next LT Pro" w:cstheme="minorHAnsi"/>
                <w:b/>
                <w:color w:val="FFFFFF" w:themeColor="background1"/>
                <w:sz w:val="20"/>
                <w:szCs w:val="20"/>
                <w:lang w:eastAsia="fr-CA"/>
              </w:rPr>
              <w:t>Liens vers</w:t>
            </w:r>
          </w:p>
        </w:tc>
      </w:tr>
      <w:tr w:rsidR="00DA52F4" w:rsidRPr="0085123F" w14:paraId="657E22EF" w14:textId="77777777" w:rsidTr="007F45AB">
        <w:trPr>
          <w:gridAfter w:val="1"/>
          <w:wAfter w:w="28" w:type="dxa"/>
          <w:trHeight w:val="727"/>
        </w:trPr>
        <w:tc>
          <w:tcPr>
            <w:tcW w:w="1554" w:type="dxa"/>
            <w:shd w:val="clear" w:color="auto" w:fill="3E762A" w:themeFill="accent1" w:themeFillShade="BF"/>
            <w:vAlign w:val="center"/>
          </w:tcPr>
          <w:p w14:paraId="679D3107" w14:textId="6C80ADAF" w:rsidR="005807A5" w:rsidRPr="0085123F" w:rsidRDefault="005807A5" w:rsidP="0077760A">
            <w:pPr>
              <w:spacing w:after="0" w:line="180" w:lineRule="exact"/>
              <w:jc w:val="both"/>
              <w:rPr>
                <w:rFonts w:ascii="Avenir Next LT Pro" w:hAnsi="Avenir Next LT Pro" w:cstheme="minorHAnsi"/>
                <w:b/>
                <w:color w:val="FFFFFF" w:themeColor="background1"/>
                <w:sz w:val="18"/>
                <w:szCs w:val="18"/>
                <w:lang w:eastAsia="fr-CA"/>
              </w:rPr>
            </w:pPr>
            <w:r w:rsidRPr="5DD9259D">
              <w:rPr>
                <w:rFonts w:ascii="Avenir Next LT Pro" w:hAnsi="Avenir Next LT Pro" w:cstheme="minorBidi"/>
                <w:b/>
                <w:bCs/>
                <w:color w:val="FFFFFF" w:themeColor="background1"/>
                <w:sz w:val="18"/>
                <w:szCs w:val="18"/>
                <w:lang w:eastAsia="fr-CA"/>
              </w:rPr>
              <w:t>Indicateurs</w:t>
            </w:r>
            <w:r w:rsidR="00F944DE" w:rsidRPr="5DD9259D">
              <w:rPr>
                <w:rStyle w:val="Appelnotedebasdep"/>
                <w:rFonts w:ascii="Avenir Next LT Pro" w:hAnsi="Avenir Next LT Pro" w:cstheme="minorBidi"/>
                <w:b/>
                <w:bCs/>
                <w:color w:val="FFFFFF" w:themeColor="background1"/>
                <w:sz w:val="18"/>
                <w:szCs w:val="18"/>
                <w:lang w:eastAsia="fr-CA"/>
              </w:rPr>
              <w:footnoteReference w:id="14"/>
            </w:r>
          </w:p>
          <w:p w14:paraId="146EB7A8" w14:textId="77777777" w:rsidR="005807A5" w:rsidRPr="0085123F" w:rsidRDefault="005807A5" w:rsidP="0077760A">
            <w:pPr>
              <w:spacing w:after="0" w:line="180" w:lineRule="exact"/>
              <w:rPr>
                <w:rFonts w:ascii="Avenir Next LT Pro" w:hAnsi="Avenir Next LT Pro" w:cstheme="minorHAnsi"/>
                <w:color w:val="FFFFFF" w:themeColor="background1"/>
                <w:sz w:val="18"/>
                <w:szCs w:val="18"/>
                <w:lang w:eastAsia="fr-CA"/>
              </w:rPr>
            </w:pPr>
          </w:p>
        </w:tc>
        <w:tc>
          <w:tcPr>
            <w:tcW w:w="974" w:type="dxa"/>
            <w:shd w:val="clear" w:color="auto" w:fill="3E762A" w:themeFill="accent1" w:themeFillShade="BF"/>
            <w:vAlign w:val="center"/>
          </w:tcPr>
          <w:p w14:paraId="768860E6" w14:textId="7A63707A" w:rsidR="005807A5" w:rsidRPr="0085123F" w:rsidRDefault="005807A5" w:rsidP="0077760A">
            <w:pPr>
              <w:spacing w:after="0" w:line="180" w:lineRule="exact"/>
              <w:jc w:val="center"/>
              <w:rPr>
                <w:rFonts w:ascii="Avenir Next LT Pro" w:hAnsi="Avenir Next LT Pro" w:cstheme="minorBidi"/>
                <w:b/>
                <w:color w:val="FFFFFF" w:themeColor="background1"/>
                <w:sz w:val="18"/>
                <w:szCs w:val="18"/>
                <w:lang w:eastAsia="fr-CA"/>
              </w:rPr>
            </w:pPr>
            <w:r w:rsidRPr="0085123F">
              <w:rPr>
                <w:rFonts w:ascii="Avenir Next LT Pro" w:hAnsi="Avenir Next LT Pro" w:cstheme="minorBidi"/>
                <w:b/>
                <w:color w:val="FFFFFF" w:themeColor="background1"/>
                <w:sz w:val="18"/>
                <w:szCs w:val="18"/>
                <w:lang w:eastAsia="fr-CA"/>
              </w:rPr>
              <w:t>Situation de référence</w:t>
            </w:r>
            <w:r w:rsidR="4C305114" w:rsidRPr="0085123F">
              <w:rPr>
                <w:rFonts w:ascii="Avenir Next LT Pro" w:hAnsi="Avenir Next LT Pro" w:cstheme="minorBidi"/>
                <w:color w:val="FFFFFF" w:themeColor="background1"/>
                <w:sz w:val="18"/>
                <w:szCs w:val="18"/>
                <w:lang w:eastAsia="fr-CA"/>
              </w:rPr>
              <w:t>, en précisant l'</w:t>
            </w:r>
            <w:r w:rsidR="070C5125" w:rsidRPr="0085123F">
              <w:rPr>
                <w:rFonts w:ascii="Avenir Next LT Pro" w:hAnsi="Avenir Next LT Pro" w:cstheme="minorBidi"/>
                <w:color w:val="FFFFFF" w:themeColor="background1"/>
                <w:sz w:val="18"/>
                <w:szCs w:val="18"/>
                <w:lang w:eastAsia="fr-CA"/>
              </w:rPr>
              <w:t>année</w:t>
            </w:r>
            <w:r w:rsidRPr="0085123F">
              <w:rPr>
                <w:rFonts w:ascii="Avenir Next LT Pro" w:hAnsi="Avenir Next LT Pro" w:cstheme="minorBidi"/>
                <w:color w:val="FFFFFF" w:themeColor="background1"/>
                <w:sz w:val="18"/>
                <w:szCs w:val="18"/>
                <w:lang w:eastAsia="fr-CA"/>
              </w:rPr>
              <w:t xml:space="preserve"> et </w:t>
            </w:r>
            <w:r w:rsidR="665EC3BD" w:rsidRPr="0085123F">
              <w:rPr>
                <w:rFonts w:ascii="Avenir Next LT Pro" w:hAnsi="Avenir Next LT Pro" w:cstheme="minorBidi"/>
                <w:color w:val="FFFFFF" w:themeColor="background1"/>
                <w:sz w:val="18"/>
                <w:szCs w:val="18"/>
                <w:lang w:eastAsia="fr-CA"/>
              </w:rPr>
              <w:t>la</w:t>
            </w:r>
            <w:r w:rsidR="070C5125" w:rsidRPr="0085123F">
              <w:rPr>
                <w:rFonts w:ascii="Avenir Next LT Pro" w:hAnsi="Avenir Next LT Pro" w:cstheme="minorBidi"/>
                <w:color w:val="FFFFFF" w:themeColor="background1"/>
                <w:sz w:val="18"/>
                <w:szCs w:val="18"/>
                <w:lang w:eastAsia="fr-CA"/>
              </w:rPr>
              <w:t xml:space="preserve"> </w:t>
            </w:r>
            <w:r w:rsidRPr="0085123F">
              <w:rPr>
                <w:rFonts w:ascii="Avenir Next LT Pro" w:hAnsi="Avenir Next LT Pro" w:cstheme="minorBidi"/>
                <w:color w:val="FFFFFF" w:themeColor="background1"/>
                <w:sz w:val="18"/>
                <w:szCs w:val="18"/>
                <w:lang w:eastAsia="fr-CA"/>
              </w:rPr>
              <w:t>source des données</w:t>
            </w:r>
          </w:p>
        </w:tc>
        <w:tc>
          <w:tcPr>
            <w:tcW w:w="1673" w:type="dxa"/>
            <w:shd w:val="clear" w:color="auto" w:fill="3E762A" w:themeFill="accent1" w:themeFillShade="BF"/>
            <w:vAlign w:val="center"/>
          </w:tcPr>
          <w:p w14:paraId="68FA5296" w14:textId="2D31B841" w:rsidR="005807A5" w:rsidRPr="0085123F" w:rsidRDefault="005807A5" w:rsidP="0077760A">
            <w:pPr>
              <w:spacing w:after="0" w:line="180" w:lineRule="exact"/>
              <w:jc w:val="center"/>
              <w:rPr>
                <w:rFonts w:ascii="Avenir Next LT Pro" w:hAnsi="Avenir Next LT Pro" w:cstheme="minorBidi"/>
                <w:b/>
                <w:color w:val="FFFFFF" w:themeColor="background1"/>
                <w:sz w:val="18"/>
                <w:szCs w:val="18"/>
                <w:lang w:eastAsia="fr-CA"/>
              </w:rPr>
            </w:pPr>
            <w:r w:rsidRPr="0085123F">
              <w:rPr>
                <w:rFonts w:ascii="Avenir Next LT Pro" w:hAnsi="Avenir Next LT Pro" w:cstheme="minorBidi"/>
                <w:b/>
                <w:color w:val="FFFFFF" w:themeColor="background1"/>
                <w:sz w:val="18"/>
                <w:szCs w:val="18"/>
                <w:lang w:eastAsia="fr-CA"/>
              </w:rPr>
              <w:t xml:space="preserve">Cible à </w:t>
            </w:r>
            <w:r w:rsidR="00DF2845" w:rsidRPr="0085123F">
              <w:rPr>
                <w:rFonts w:ascii="Avenir Next LT Pro" w:hAnsi="Avenir Next LT Pro" w:cstheme="minorBidi"/>
                <w:b/>
                <w:color w:val="FFFFFF" w:themeColor="background1"/>
                <w:sz w:val="18"/>
                <w:szCs w:val="18"/>
                <w:lang w:eastAsia="fr-CA"/>
              </w:rPr>
              <w:t>mi-parcours</w:t>
            </w:r>
            <w:r w:rsidRPr="0085123F">
              <w:rPr>
                <w:rFonts w:ascii="Avenir Next LT Pro" w:hAnsi="Avenir Next LT Pro" w:cstheme="minorBidi"/>
                <w:b/>
                <w:color w:val="FFFFFF" w:themeColor="background1"/>
                <w:sz w:val="18"/>
                <w:szCs w:val="18"/>
                <w:lang w:eastAsia="fr-CA"/>
              </w:rPr>
              <w:t xml:space="preserve"> </w:t>
            </w:r>
            <w:r w:rsidRPr="0085123F">
              <w:rPr>
                <w:rFonts w:ascii="Avenir Next LT Pro" w:hAnsi="Avenir Next LT Pro" w:cstheme="minorBidi"/>
                <w:bCs/>
                <w:color w:val="FFFFFF" w:themeColor="background1"/>
                <w:sz w:val="18"/>
                <w:szCs w:val="18"/>
                <w:lang w:eastAsia="fr-CA"/>
              </w:rPr>
              <w:t xml:space="preserve">(ou fin </w:t>
            </w:r>
            <w:r w:rsidR="001638F3" w:rsidRPr="0085123F">
              <w:rPr>
                <w:rFonts w:ascii="Avenir Next LT Pro" w:hAnsi="Avenir Next LT Pro" w:cstheme="minorBidi"/>
                <w:bCs/>
                <w:color w:val="FFFFFF" w:themeColor="background1"/>
                <w:sz w:val="18"/>
                <w:szCs w:val="18"/>
                <w:lang w:eastAsia="fr-CA"/>
              </w:rPr>
              <w:t xml:space="preserve">de </w:t>
            </w:r>
            <w:r w:rsidRPr="0085123F">
              <w:rPr>
                <w:rFonts w:ascii="Avenir Next LT Pro" w:hAnsi="Avenir Next LT Pro" w:cstheme="minorBidi"/>
                <w:bCs/>
                <w:color w:val="FFFFFF" w:themeColor="background1"/>
                <w:sz w:val="18"/>
                <w:szCs w:val="18"/>
                <w:lang w:eastAsia="fr-CA"/>
              </w:rPr>
              <w:t>phase dans le cas d</w:t>
            </w:r>
            <w:r w:rsidR="00EF503F" w:rsidRPr="0085123F">
              <w:rPr>
                <w:rFonts w:ascii="Avenir Next LT Pro" w:hAnsi="Avenir Next LT Pro" w:cstheme="minorBidi"/>
                <w:bCs/>
                <w:color w:val="FFFFFF" w:themeColor="background1"/>
                <w:sz w:val="18"/>
                <w:szCs w:val="18"/>
                <w:lang w:eastAsia="fr-CA"/>
              </w:rPr>
              <w:t>’un</w:t>
            </w:r>
            <w:r w:rsidRPr="0085123F">
              <w:rPr>
                <w:rFonts w:ascii="Avenir Next LT Pro" w:hAnsi="Avenir Next LT Pro" w:cstheme="minorBidi"/>
                <w:bCs/>
                <w:color w:val="FFFFFF" w:themeColor="background1"/>
                <w:sz w:val="18"/>
                <w:szCs w:val="18"/>
                <w:lang w:eastAsia="fr-CA"/>
              </w:rPr>
              <w:t xml:space="preserve"> projet</w:t>
            </w:r>
            <w:r w:rsidR="001638F3" w:rsidRPr="0085123F">
              <w:rPr>
                <w:rFonts w:ascii="Avenir Next LT Pro" w:hAnsi="Avenir Next LT Pro" w:cstheme="minorBidi"/>
                <w:bCs/>
                <w:color w:val="FFFFFF" w:themeColor="background1"/>
                <w:sz w:val="18"/>
                <w:szCs w:val="18"/>
                <w:lang w:eastAsia="fr-CA"/>
              </w:rPr>
              <w:t xml:space="preserve"> financé par </w:t>
            </w:r>
            <w:r w:rsidR="5A1D1403" w:rsidRPr="0085123F">
              <w:rPr>
                <w:rFonts w:ascii="Avenir Next LT Pro" w:hAnsi="Avenir Next LT Pro" w:cstheme="minorBidi"/>
                <w:bCs/>
                <w:color w:val="FFFFFF" w:themeColor="background1"/>
                <w:sz w:val="18"/>
                <w:szCs w:val="18"/>
                <w:lang w:eastAsia="fr-CA"/>
              </w:rPr>
              <w:t>tranche</w:t>
            </w:r>
            <w:r w:rsidR="1528663A" w:rsidRPr="0085123F">
              <w:rPr>
                <w:rFonts w:ascii="Avenir Next LT Pro" w:hAnsi="Avenir Next LT Pro" w:cstheme="minorBidi"/>
                <w:bCs/>
                <w:color w:val="FFFFFF" w:themeColor="background1"/>
                <w:sz w:val="18"/>
                <w:szCs w:val="18"/>
                <w:lang w:eastAsia="fr-CA"/>
              </w:rPr>
              <w:t>s</w:t>
            </w:r>
            <w:r w:rsidRPr="0085123F">
              <w:rPr>
                <w:rFonts w:ascii="Avenir Next LT Pro" w:hAnsi="Avenir Next LT Pro" w:cstheme="minorBidi"/>
                <w:bCs/>
                <w:color w:val="FFFFFF" w:themeColor="background1"/>
                <w:sz w:val="18"/>
                <w:szCs w:val="18"/>
                <w:lang w:eastAsia="fr-CA"/>
              </w:rPr>
              <w:t>)</w:t>
            </w:r>
          </w:p>
        </w:tc>
        <w:tc>
          <w:tcPr>
            <w:tcW w:w="1673" w:type="dxa"/>
            <w:shd w:val="clear" w:color="auto" w:fill="3E762A" w:themeFill="accent1" w:themeFillShade="BF"/>
            <w:vAlign w:val="center"/>
          </w:tcPr>
          <w:p w14:paraId="6B3FC4FE" w14:textId="6845B7AB" w:rsidR="005807A5" w:rsidRPr="0085123F" w:rsidRDefault="005807A5" w:rsidP="0077760A">
            <w:pPr>
              <w:spacing w:after="0" w:line="180" w:lineRule="exact"/>
              <w:jc w:val="center"/>
              <w:rPr>
                <w:rFonts w:ascii="Avenir Next LT Pro" w:hAnsi="Avenir Next LT Pro" w:cstheme="minorHAnsi"/>
                <w:b/>
                <w:color w:val="FFFFFF" w:themeColor="background1"/>
                <w:sz w:val="18"/>
                <w:szCs w:val="18"/>
                <w:lang w:eastAsia="fr-CA"/>
              </w:rPr>
            </w:pPr>
            <w:r w:rsidRPr="0085123F">
              <w:rPr>
                <w:rFonts w:ascii="Avenir Next LT Pro" w:hAnsi="Avenir Next LT Pro" w:cstheme="minorHAnsi"/>
                <w:b/>
                <w:color w:val="FFFFFF" w:themeColor="background1"/>
                <w:sz w:val="18"/>
                <w:szCs w:val="18"/>
                <w:lang w:eastAsia="fr-CA"/>
              </w:rPr>
              <w:t>Cible en fin de projet</w:t>
            </w:r>
          </w:p>
        </w:tc>
        <w:tc>
          <w:tcPr>
            <w:tcW w:w="992" w:type="dxa"/>
            <w:shd w:val="clear" w:color="auto" w:fill="3E762A" w:themeFill="accent1" w:themeFillShade="BF"/>
            <w:vAlign w:val="center"/>
          </w:tcPr>
          <w:p w14:paraId="663F2838" w14:textId="664AE69F" w:rsidR="005807A5" w:rsidRPr="0085123F" w:rsidRDefault="005807A5" w:rsidP="0077760A">
            <w:pPr>
              <w:spacing w:after="0" w:line="180" w:lineRule="exact"/>
              <w:jc w:val="center"/>
              <w:rPr>
                <w:rFonts w:ascii="Avenir Next LT Pro" w:hAnsi="Avenir Next LT Pro" w:cstheme="minorHAnsi"/>
                <w:b/>
                <w:color w:val="FFFFFF" w:themeColor="background1"/>
                <w:sz w:val="18"/>
                <w:szCs w:val="18"/>
                <w:lang w:eastAsia="fr-CA"/>
              </w:rPr>
            </w:pPr>
            <w:r w:rsidRPr="5DD9259D">
              <w:rPr>
                <w:rFonts w:ascii="Avenir Next LT Pro" w:hAnsi="Avenir Next LT Pro" w:cstheme="minorBidi"/>
                <w:b/>
                <w:bCs/>
                <w:color w:val="FFFFFF" w:themeColor="background1"/>
                <w:sz w:val="18"/>
                <w:szCs w:val="18"/>
                <w:lang w:eastAsia="fr-CA"/>
              </w:rPr>
              <w:t>Moyens de vérification</w:t>
            </w:r>
            <w:r w:rsidR="00CC362F" w:rsidRPr="5DD9259D">
              <w:rPr>
                <w:rStyle w:val="Appelnotedebasdep"/>
                <w:rFonts w:ascii="Avenir Next LT Pro" w:hAnsi="Avenir Next LT Pro" w:cstheme="minorBidi"/>
                <w:b/>
                <w:bCs/>
                <w:color w:val="FFFFFF" w:themeColor="background1"/>
                <w:sz w:val="18"/>
                <w:szCs w:val="18"/>
                <w:lang w:eastAsia="fr-CA"/>
              </w:rPr>
              <w:footnoteReference w:id="15"/>
            </w:r>
          </w:p>
        </w:tc>
        <w:tc>
          <w:tcPr>
            <w:tcW w:w="1111" w:type="dxa"/>
            <w:shd w:val="clear" w:color="auto" w:fill="3E762A" w:themeFill="accent1" w:themeFillShade="BF"/>
            <w:vAlign w:val="center"/>
          </w:tcPr>
          <w:p w14:paraId="39A6F485" w14:textId="019C7160" w:rsidR="005807A5" w:rsidRPr="0085123F" w:rsidDel="00061A23" w:rsidRDefault="001638F3" w:rsidP="0077760A">
            <w:pPr>
              <w:spacing w:after="0" w:line="180" w:lineRule="exact"/>
              <w:jc w:val="center"/>
              <w:rPr>
                <w:rFonts w:ascii="Avenir Next LT Pro" w:hAnsi="Avenir Next LT Pro" w:cstheme="minorHAnsi"/>
                <w:b/>
                <w:color w:val="FFFFFF" w:themeColor="background1"/>
                <w:sz w:val="18"/>
                <w:szCs w:val="18"/>
                <w:lang w:eastAsia="fr-CA"/>
              </w:rPr>
            </w:pPr>
            <w:r w:rsidRPr="0085123F">
              <w:rPr>
                <w:rFonts w:ascii="Avenir Next LT Pro" w:hAnsi="Avenir Next LT Pro" w:cstheme="minorHAnsi"/>
                <w:b/>
                <w:color w:val="FFFFFF" w:themeColor="background1"/>
                <w:sz w:val="18"/>
                <w:szCs w:val="18"/>
                <w:lang w:eastAsia="fr-CA"/>
              </w:rPr>
              <w:t>Fréquence</w:t>
            </w:r>
            <w:r w:rsidR="007F1411" w:rsidRPr="0085123F">
              <w:rPr>
                <w:rFonts w:ascii="Avenir Next LT Pro" w:hAnsi="Avenir Next LT Pro" w:cstheme="minorHAnsi"/>
                <w:b/>
                <w:color w:val="FFFFFF" w:themeColor="background1"/>
                <w:sz w:val="18"/>
                <w:szCs w:val="18"/>
                <w:lang w:eastAsia="fr-CA"/>
              </w:rPr>
              <w:t xml:space="preserve"> de re</w:t>
            </w:r>
            <w:r w:rsidR="006515F2" w:rsidRPr="0085123F">
              <w:rPr>
                <w:rFonts w:ascii="Avenir Next LT Pro" w:hAnsi="Avenir Next LT Pro" w:cstheme="minorHAnsi"/>
                <w:b/>
                <w:color w:val="FFFFFF" w:themeColor="background1"/>
                <w:sz w:val="18"/>
                <w:szCs w:val="18"/>
                <w:lang w:eastAsia="fr-CA"/>
              </w:rPr>
              <w:t>nseignement de l’indicateur</w:t>
            </w:r>
          </w:p>
        </w:tc>
        <w:tc>
          <w:tcPr>
            <w:tcW w:w="899" w:type="dxa"/>
            <w:shd w:val="clear" w:color="auto" w:fill="3E762A" w:themeFill="accent1" w:themeFillShade="BF"/>
            <w:vAlign w:val="center"/>
          </w:tcPr>
          <w:p w14:paraId="1FF6E37B" w14:textId="072ECD20" w:rsidR="005807A5" w:rsidRPr="0085123F" w:rsidRDefault="005807A5" w:rsidP="0077760A">
            <w:pPr>
              <w:spacing w:after="0" w:line="180" w:lineRule="exact"/>
              <w:jc w:val="center"/>
              <w:rPr>
                <w:rFonts w:ascii="Avenir Next LT Pro" w:hAnsi="Avenir Next LT Pro" w:cstheme="minorHAnsi"/>
                <w:b/>
                <w:color w:val="FFFFFF" w:themeColor="background1"/>
                <w:sz w:val="18"/>
                <w:szCs w:val="18"/>
                <w:lang w:eastAsia="fr-CA"/>
              </w:rPr>
            </w:pPr>
            <w:r w:rsidRPr="0085123F">
              <w:rPr>
                <w:rFonts w:ascii="Avenir Next LT Pro" w:hAnsi="Avenir Next LT Pro" w:cstheme="minorHAnsi"/>
                <w:b/>
                <w:color w:val="FFFFFF" w:themeColor="background1"/>
                <w:sz w:val="18"/>
                <w:szCs w:val="18"/>
                <w:lang w:eastAsia="fr-CA"/>
              </w:rPr>
              <w:t xml:space="preserve">Le suivi </w:t>
            </w:r>
            <w:r w:rsidR="001638F3" w:rsidRPr="0085123F">
              <w:rPr>
                <w:rFonts w:ascii="Avenir Next LT Pro" w:hAnsi="Avenir Next LT Pro" w:cstheme="minorHAnsi"/>
                <w:b/>
                <w:color w:val="FFFFFF" w:themeColor="background1"/>
                <w:sz w:val="18"/>
                <w:szCs w:val="18"/>
                <w:lang w:eastAsia="fr-CA"/>
              </w:rPr>
              <w:t>nécessite</w:t>
            </w:r>
            <w:r w:rsidRPr="0085123F">
              <w:rPr>
                <w:rFonts w:ascii="Avenir Next LT Pro" w:hAnsi="Avenir Next LT Pro" w:cstheme="minorHAnsi"/>
                <w:b/>
                <w:color w:val="FFFFFF" w:themeColor="background1"/>
                <w:sz w:val="18"/>
                <w:szCs w:val="18"/>
                <w:lang w:eastAsia="fr-CA"/>
              </w:rPr>
              <w:t xml:space="preserve"> un budget </w:t>
            </w:r>
            <w:r w:rsidR="001638F3" w:rsidRPr="0085123F">
              <w:rPr>
                <w:rFonts w:ascii="Avenir Next LT Pro" w:hAnsi="Avenir Next LT Pro" w:cstheme="minorHAnsi"/>
                <w:b/>
                <w:color w:val="FFFFFF" w:themeColor="background1"/>
                <w:sz w:val="18"/>
                <w:szCs w:val="18"/>
                <w:lang w:eastAsia="fr-CA"/>
              </w:rPr>
              <w:t>spécifique</w:t>
            </w:r>
            <w:r w:rsidRPr="0085123F">
              <w:rPr>
                <w:rFonts w:ascii="Avenir Next LT Pro" w:hAnsi="Avenir Next LT Pro" w:cstheme="minorHAnsi"/>
                <w:b/>
                <w:color w:val="FFFFFF" w:themeColor="background1"/>
                <w:sz w:val="18"/>
                <w:szCs w:val="18"/>
                <w:lang w:eastAsia="fr-CA"/>
              </w:rPr>
              <w:t xml:space="preserve"> additionnel (O</w:t>
            </w:r>
            <w:r w:rsidR="001638F3" w:rsidRPr="0085123F">
              <w:rPr>
                <w:rFonts w:ascii="Avenir Next LT Pro" w:hAnsi="Avenir Next LT Pro" w:cstheme="minorHAnsi"/>
                <w:b/>
                <w:color w:val="FFFFFF" w:themeColor="background1"/>
                <w:sz w:val="18"/>
                <w:szCs w:val="18"/>
                <w:lang w:eastAsia="fr-CA"/>
              </w:rPr>
              <w:t>/</w:t>
            </w:r>
            <w:r w:rsidRPr="0085123F">
              <w:rPr>
                <w:rFonts w:ascii="Avenir Next LT Pro" w:hAnsi="Avenir Next LT Pro" w:cstheme="minorHAnsi"/>
                <w:b/>
                <w:color w:val="FFFFFF" w:themeColor="background1"/>
                <w:sz w:val="18"/>
                <w:szCs w:val="18"/>
                <w:lang w:eastAsia="fr-CA"/>
              </w:rPr>
              <w:t>N)</w:t>
            </w:r>
          </w:p>
        </w:tc>
        <w:tc>
          <w:tcPr>
            <w:tcW w:w="2456" w:type="dxa"/>
            <w:shd w:val="clear" w:color="auto" w:fill="3E762A" w:themeFill="accent1" w:themeFillShade="BF"/>
            <w:vAlign w:val="center"/>
          </w:tcPr>
          <w:p w14:paraId="5D81B82E" w14:textId="194EF53C" w:rsidR="005807A5" w:rsidRPr="0085123F" w:rsidRDefault="005807A5" w:rsidP="0077760A">
            <w:pPr>
              <w:spacing w:after="0" w:line="180" w:lineRule="exact"/>
              <w:jc w:val="center"/>
              <w:rPr>
                <w:rFonts w:ascii="Avenir Next LT Pro" w:hAnsi="Avenir Next LT Pro" w:cstheme="minorHAnsi"/>
                <w:b/>
                <w:color w:val="FFFFFF" w:themeColor="background1"/>
                <w:sz w:val="18"/>
                <w:szCs w:val="18"/>
                <w:lang w:eastAsia="fr-CA"/>
              </w:rPr>
            </w:pPr>
            <w:r w:rsidRPr="0085123F">
              <w:rPr>
                <w:rFonts w:ascii="Avenir Next LT Pro" w:hAnsi="Avenir Next LT Pro" w:cstheme="minorHAnsi"/>
                <w:b/>
                <w:color w:val="FFFFFF" w:themeColor="background1"/>
                <w:sz w:val="18"/>
                <w:szCs w:val="18"/>
                <w:lang w:eastAsia="fr-CA"/>
              </w:rPr>
              <w:t>Hypothèse</w:t>
            </w:r>
            <w:r w:rsidR="003D5A51" w:rsidRPr="0085123F">
              <w:rPr>
                <w:rFonts w:ascii="Avenir Next LT Pro" w:hAnsi="Avenir Next LT Pro" w:cstheme="minorHAnsi"/>
                <w:b/>
                <w:color w:val="FFFFFF" w:themeColor="background1"/>
                <w:sz w:val="18"/>
                <w:szCs w:val="18"/>
                <w:lang w:eastAsia="fr-CA"/>
              </w:rPr>
              <w:t>s</w:t>
            </w:r>
            <w:r w:rsidRPr="0085123F">
              <w:rPr>
                <w:rFonts w:ascii="Avenir Next LT Pro" w:hAnsi="Avenir Next LT Pro" w:cstheme="minorHAnsi"/>
                <w:b/>
                <w:color w:val="FFFFFF" w:themeColor="background1"/>
                <w:sz w:val="18"/>
                <w:szCs w:val="18"/>
                <w:lang w:eastAsia="fr-CA"/>
              </w:rPr>
              <w:t xml:space="preserve"> et risques</w:t>
            </w:r>
          </w:p>
        </w:tc>
        <w:tc>
          <w:tcPr>
            <w:tcW w:w="1213" w:type="dxa"/>
            <w:shd w:val="clear" w:color="auto" w:fill="3E762A" w:themeFill="accent1" w:themeFillShade="BF"/>
            <w:vAlign w:val="center"/>
          </w:tcPr>
          <w:p w14:paraId="54839606" w14:textId="7B27F99C" w:rsidR="005807A5" w:rsidRPr="0085123F" w:rsidRDefault="070C5125" w:rsidP="0077760A">
            <w:pPr>
              <w:spacing w:after="0" w:line="180" w:lineRule="exact"/>
              <w:jc w:val="center"/>
              <w:rPr>
                <w:rFonts w:ascii="Avenir Next LT Pro" w:hAnsi="Avenir Next LT Pro" w:cstheme="minorBidi"/>
                <w:b/>
                <w:color w:val="FFFFFF" w:themeColor="background1"/>
                <w:sz w:val="18"/>
                <w:szCs w:val="18"/>
                <w:lang w:eastAsia="fr-CA"/>
              </w:rPr>
            </w:pPr>
            <w:r w:rsidRPr="0085123F">
              <w:rPr>
                <w:rFonts w:ascii="Avenir Next LT Pro" w:hAnsi="Avenir Next LT Pro" w:cstheme="minorBidi"/>
                <w:b/>
                <w:bCs/>
                <w:color w:val="FFFFFF" w:themeColor="background1"/>
                <w:sz w:val="18"/>
                <w:szCs w:val="18"/>
                <w:lang w:eastAsia="fr-CA"/>
              </w:rPr>
              <w:t>L</w:t>
            </w:r>
            <w:r w:rsidR="466ED989" w:rsidRPr="0085123F">
              <w:rPr>
                <w:rFonts w:ascii="Avenir Next LT Pro" w:hAnsi="Avenir Next LT Pro" w:cstheme="minorBidi"/>
                <w:b/>
                <w:bCs/>
                <w:color w:val="FFFFFF" w:themeColor="background1"/>
                <w:sz w:val="18"/>
                <w:szCs w:val="18"/>
                <w:lang w:eastAsia="fr-CA"/>
              </w:rPr>
              <w:t xml:space="preserve">ettre d’intention </w:t>
            </w:r>
          </w:p>
        </w:tc>
        <w:tc>
          <w:tcPr>
            <w:tcW w:w="1484" w:type="dxa"/>
            <w:shd w:val="clear" w:color="auto" w:fill="3E762A" w:themeFill="accent1" w:themeFillShade="BF"/>
            <w:vAlign w:val="center"/>
          </w:tcPr>
          <w:p w14:paraId="571F51CC" w14:textId="5FA52C9D" w:rsidR="005807A5" w:rsidRPr="0085123F" w:rsidRDefault="005807A5" w:rsidP="0077760A">
            <w:pPr>
              <w:spacing w:after="0" w:line="180" w:lineRule="exact"/>
              <w:jc w:val="center"/>
              <w:rPr>
                <w:rFonts w:ascii="Avenir Next LT Pro" w:hAnsi="Avenir Next LT Pro" w:cstheme="minorBidi"/>
                <w:b/>
                <w:color w:val="FFFFFF" w:themeColor="background1"/>
                <w:sz w:val="18"/>
                <w:szCs w:val="18"/>
                <w:lang w:eastAsia="fr-CA"/>
              </w:rPr>
            </w:pPr>
            <w:r w:rsidRPr="0085123F">
              <w:rPr>
                <w:rFonts w:ascii="Avenir Next LT Pro" w:hAnsi="Avenir Next LT Pro" w:cstheme="minorBidi"/>
                <w:b/>
                <w:color w:val="FFFFFF" w:themeColor="background1"/>
                <w:sz w:val="18"/>
                <w:szCs w:val="18"/>
                <w:lang w:eastAsia="fr-CA"/>
              </w:rPr>
              <w:t xml:space="preserve">Cadre </w:t>
            </w:r>
            <w:r w:rsidR="070C5125" w:rsidRPr="0085123F">
              <w:rPr>
                <w:rFonts w:ascii="Avenir Next LT Pro" w:hAnsi="Avenir Next LT Pro" w:cstheme="minorBidi"/>
                <w:b/>
                <w:bCs/>
                <w:color w:val="FFFFFF" w:themeColor="background1"/>
                <w:sz w:val="18"/>
                <w:szCs w:val="18"/>
                <w:lang w:eastAsia="fr-CA"/>
              </w:rPr>
              <w:t>de</w:t>
            </w:r>
            <w:r w:rsidRPr="0085123F">
              <w:rPr>
                <w:rFonts w:ascii="Avenir Next LT Pro" w:hAnsi="Avenir Next LT Pro" w:cstheme="minorBidi"/>
                <w:b/>
                <w:color w:val="FFFFFF" w:themeColor="background1"/>
                <w:sz w:val="18"/>
                <w:szCs w:val="18"/>
                <w:lang w:eastAsia="fr-CA"/>
              </w:rPr>
              <w:t xml:space="preserve"> résultats CAFI</w:t>
            </w:r>
          </w:p>
        </w:tc>
        <w:tc>
          <w:tcPr>
            <w:tcW w:w="797" w:type="dxa"/>
            <w:shd w:val="clear" w:color="auto" w:fill="3E762A" w:themeFill="accent1" w:themeFillShade="BF"/>
            <w:vAlign w:val="center"/>
          </w:tcPr>
          <w:p w14:paraId="6791F558" w14:textId="14679AC0" w:rsidR="005807A5" w:rsidRPr="0085123F" w:rsidRDefault="005807A5" w:rsidP="0077760A">
            <w:pPr>
              <w:spacing w:after="0" w:line="180" w:lineRule="exact"/>
              <w:jc w:val="center"/>
              <w:rPr>
                <w:rFonts w:ascii="Avenir Next LT Pro" w:hAnsi="Avenir Next LT Pro" w:cstheme="minorHAnsi"/>
                <w:b/>
                <w:color w:val="FFFFFF" w:themeColor="background1"/>
                <w:sz w:val="18"/>
                <w:szCs w:val="18"/>
                <w:lang w:eastAsia="fr-CA"/>
              </w:rPr>
            </w:pPr>
            <w:r w:rsidRPr="5DD9259D">
              <w:rPr>
                <w:rFonts w:ascii="Avenir Next LT Pro" w:hAnsi="Avenir Next LT Pro" w:cstheme="minorBidi"/>
                <w:b/>
                <w:bCs/>
                <w:color w:val="FFFFFF" w:themeColor="background1"/>
                <w:sz w:val="18"/>
                <w:szCs w:val="18"/>
                <w:lang w:eastAsia="fr-CA"/>
              </w:rPr>
              <w:t>Cadre de résultats du CNI</w:t>
            </w:r>
            <w:r w:rsidR="001B7B39" w:rsidRPr="5DD9259D">
              <w:rPr>
                <w:rStyle w:val="Appelnotedebasdep"/>
                <w:rFonts w:ascii="Avenir Next LT Pro" w:hAnsi="Avenir Next LT Pro" w:cstheme="minorBidi"/>
                <w:b/>
                <w:bCs/>
                <w:color w:val="FFFFFF" w:themeColor="background1"/>
                <w:sz w:val="18"/>
                <w:szCs w:val="18"/>
                <w:lang w:eastAsia="fr-CA"/>
              </w:rPr>
              <w:footnoteReference w:id="16"/>
            </w:r>
          </w:p>
        </w:tc>
      </w:tr>
      <w:tr w:rsidR="001638F3" w:rsidRPr="0069753F" w14:paraId="01AF2FCA" w14:textId="77777777" w:rsidTr="004641B3">
        <w:trPr>
          <w:trHeight w:val="253"/>
        </w:trPr>
        <w:tc>
          <w:tcPr>
            <w:tcW w:w="14854" w:type="dxa"/>
            <w:gridSpan w:val="12"/>
            <w:shd w:val="clear" w:color="auto" w:fill="549E39" w:themeFill="accent1"/>
          </w:tcPr>
          <w:p w14:paraId="1DF957EF" w14:textId="22B6A42A" w:rsidR="001638F3" w:rsidRPr="004641B3" w:rsidRDefault="001638F3" w:rsidP="001638F3">
            <w:pPr>
              <w:spacing w:after="0"/>
              <w:jc w:val="both"/>
              <w:rPr>
                <w:rFonts w:ascii="Avenir Next LT Pro" w:hAnsi="Avenir Next LT Pro" w:cstheme="minorHAnsi"/>
                <w:sz w:val="24"/>
                <w:szCs w:val="24"/>
                <w:lang w:eastAsia="fr-CA"/>
              </w:rPr>
            </w:pPr>
            <w:r w:rsidRPr="004641B3">
              <w:rPr>
                <w:rFonts w:ascii="Avenir Next LT Pro" w:hAnsi="Avenir Next LT Pro" w:cstheme="minorHAnsi"/>
                <w:b/>
                <w:bCs/>
                <w:sz w:val="24"/>
                <w:szCs w:val="24"/>
                <w:lang w:eastAsia="fr-CA"/>
              </w:rPr>
              <w:t>IMPACTS</w:t>
            </w:r>
            <w:r w:rsidR="0069753F" w:rsidRPr="004641B3">
              <w:rPr>
                <w:rFonts w:ascii="Avenir Next LT Pro" w:hAnsi="Avenir Next LT Pro" w:cstheme="minorHAnsi"/>
                <w:b/>
                <w:bCs/>
                <w:sz w:val="24"/>
                <w:szCs w:val="24"/>
                <w:lang w:eastAsia="fr-CA"/>
              </w:rPr>
              <w:t xml:space="preserve"> : </w:t>
            </w:r>
            <w:r w:rsidR="0069753F" w:rsidRPr="004641B3">
              <w:rPr>
                <w:b/>
                <w:bCs/>
                <w:sz w:val="24"/>
                <w:szCs w:val="24"/>
              </w:rPr>
              <w:t xml:space="preserve">1. </w:t>
            </w:r>
            <w:r w:rsidR="0069753F">
              <w:rPr>
                <w:b/>
                <w:bCs/>
                <w:sz w:val="24"/>
                <w:szCs w:val="24"/>
              </w:rPr>
              <w:t>L</w:t>
            </w:r>
            <w:r w:rsidR="0069753F" w:rsidRPr="004641B3">
              <w:rPr>
                <w:b/>
                <w:color w:val="000000"/>
                <w:sz w:val="24"/>
                <w:szCs w:val="24"/>
              </w:rPr>
              <w:t>a pression sur la forêt diminue</w:t>
            </w:r>
          </w:p>
        </w:tc>
      </w:tr>
      <w:tr w:rsidR="0069753F" w:rsidRPr="00C345C4" w14:paraId="462A2A7A" w14:textId="77777777" w:rsidTr="007F45AB">
        <w:trPr>
          <w:gridAfter w:val="1"/>
          <w:wAfter w:w="28" w:type="dxa"/>
          <w:trHeight w:val="458"/>
        </w:trPr>
        <w:tc>
          <w:tcPr>
            <w:tcW w:w="1554" w:type="dxa"/>
            <w:shd w:val="clear" w:color="auto" w:fill="auto"/>
          </w:tcPr>
          <w:p w14:paraId="78C966E8" w14:textId="03C0C019" w:rsidR="0069753F" w:rsidRPr="00C345C4" w:rsidRDefault="0069753F" w:rsidP="0069753F">
            <w:pPr>
              <w:spacing w:after="0"/>
              <w:jc w:val="both"/>
              <w:rPr>
                <w:rFonts w:ascii="Avenir Next LT Pro" w:hAnsi="Avenir Next LT Pro" w:cstheme="minorHAnsi"/>
                <w:i/>
                <w:sz w:val="20"/>
                <w:szCs w:val="20"/>
                <w:lang w:eastAsia="fr-CA"/>
              </w:rPr>
            </w:pPr>
            <w:r w:rsidRPr="008439DA">
              <w:rPr>
                <w:rFonts w:eastAsia="Times New Roman" w:cs="Calibri"/>
                <w:color w:val="000000"/>
                <w:sz w:val="16"/>
                <w:szCs w:val="16"/>
                <w:lang w:eastAsia="fr-FR"/>
              </w:rPr>
              <w:t>Taux de réduction de la déforestation</w:t>
            </w:r>
            <w:r w:rsidRPr="008439DA">
              <w:rPr>
                <w:rFonts w:ascii="Avenir Next LT Pro" w:eastAsia="Times New Roman" w:hAnsi="Avenir Next LT Pro" w:cs="Calibri"/>
                <w:i/>
                <w:sz w:val="16"/>
                <w:szCs w:val="16"/>
                <w:lang w:eastAsia="fr-CA"/>
              </w:rPr>
              <w:t xml:space="preserve"> </w:t>
            </w:r>
          </w:p>
        </w:tc>
        <w:tc>
          <w:tcPr>
            <w:tcW w:w="974" w:type="dxa"/>
            <w:shd w:val="clear" w:color="auto" w:fill="auto"/>
          </w:tcPr>
          <w:p w14:paraId="617DBDCD" w14:textId="14961EA1" w:rsidR="0069753F" w:rsidRPr="00C345C4" w:rsidRDefault="0069753F" w:rsidP="0069753F">
            <w:pPr>
              <w:spacing w:after="0"/>
              <w:jc w:val="both"/>
              <w:rPr>
                <w:rFonts w:ascii="Avenir Next LT Pro" w:hAnsi="Avenir Next LT Pro" w:cstheme="minorHAnsi"/>
                <w:sz w:val="20"/>
                <w:szCs w:val="20"/>
                <w:lang w:eastAsia="fr-CA"/>
              </w:rPr>
            </w:pPr>
            <w:r w:rsidRPr="008439DA">
              <w:rPr>
                <w:rFonts w:eastAsia="Times New Roman" w:cs="Calibri"/>
                <w:color w:val="000000"/>
                <w:sz w:val="16"/>
                <w:szCs w:val="16"/>
                <w:lang w:eastAsia="fr-FR"/>
              </w:rPr>
              <w:t>-</w:t>
            </w:r>
          </w:p>
        </w:tc>
        <w:tc>
          <w:tcPr>
            <w:tcW w:w="1673" w:type="dxa"/>
            <w:shd w:val="clear" w:color="auto" w:fill="auto"/>
          </w:tcPr>
          <w:p w14:paraId="2FE7547D" w14:textId="5E21CC05" w:rsidR="0069753F" w:rsidRPr="00C345C4" w:rsidRDefault="0069753F" w:rsidP="0069753F">
            <w:pPr>
              <w:spacing w:after="0"/>
              <w:jc w:val="both"/>
              <w:rPr>
                <w:rFonts w:ascii="Avenir Next LT Pro" w:hAnsi="Avenir Next LT Pro" w:cstheme="minorHAnsi"/>
                <w:sz w:val="20"/>
                <w:szCs w:val="20"/>
                <w:lang w:eastAsia="fr-CA"/>
              </w:rPr>
            </w:pPr>
            <w:r w:rsidRPr="008439DA">
              <w:rPr>
                <w:rFonts w:eastAsia="Times New Roman" w:cs="Calibri"/>
                <w:color w:val="000000"/>
                <w:sz w:val="16"/>
                <w:szCs w:val="16"/>
                <w:lang w:eastAsia="fr-FR"/>
              </w:rPr>
              <w:t>-</w:t>
            </w:r>
          </w:p>
        </w:tc>
        <w:tc>
          <w:tcPr>
            <w:tcW w:w="1673" w:type="dxa"/>
          </w:tcPr>
          <w:p w14:paraId="58A11248" w14:textId="519CCB3C" w:rsidR="0069753F" w:rsidRPr="00C345C4" w:rsidRDefault="0069753F" w:rsidP="0069753F">
            <w:pPr>
              <w:spacing w:after="0"/>
              <w:jc w:val="both"/>
              <w:rPr>
                <w:rFonts w:ascii="Avenir Next LT Pro" w:hAnsi="Avenir Next LT Pro" w:cstheme="minorHAnsi"/>
                <w:sz w:val="20"/>
                <w:szCs w:val="20"/>
                <w:lang w:eastAsia="fr-CA"/>
              </w:rPr>
            </w:pPr>
            <w:r w:rsidRPr="008439DA">
              <w:rPr>
                <w:rFonts w:eastAsia="Times New Roman" w:cs="Calibri"/>
                <w:color w:val="000000"/>
                <w:sz w:val="16"/>
                <w:szCs w:val="16"/>
                <w:lang w:eastAsia="fr-FR"/>
              </w:rPr>
              <w:t>5%</w:t>
            </w:r>
          </w:p>
        </w:tc>
        <w:tc>
          <w:tcPr>
            <w:tcW w:w="992" w:type="dxa"/>
          </w:tcPr>
          <w:p w14:paraId="364729F3" w14:textId="072D9A76" w:rsidR="0069753F" w:rsidRPr="00C345C4" w:rsidRDefault="0069753F" w:rsidP="0069753F">
            <w:pPr>
              <w:spacing w:after="0"/>
              <w:jc w:val="both"/>
              <w:rPr>
                <w:rFonts w:ascii="Avenir Next LT Pro" w:hAnsi="Avenir Next LT Pro" w:cstheme="minorHAnsi"/>
                <w:sz w:val="20"/>
                <w:szCs w:val="20"/>
                <w:lang w:eastAsia="fr-CA"/>
              </w:rPr>
            </w:pPr>
            <w:r w:rsidRPr="008439DA">
              <w:rPr>
                <w:rFonts w:eastAsia="Times New Roman" w:cs="Calibri"/>
                <w:color w:val="000000"/>
                <w:sz w:val="16"/>
                <w:szCs w:val="16"/>
                <w:lang w:eastAsia="fr-FR"/>
              </w:rPr>
              <w:t>Enquête spécifique</w:t>
            </w:r>
          </w:p>
        </w:tc>
        <w:tc>
          <w:tcPr>
            <w:tcW w:w="1111" w:type="dxa"/>
          </w:tcPr>
          <w:p w14:paraId="6321284A" w14:textId="7B8B564A" w:rsidR="0069753F" w:rsidRPr="00C345C4" w:rsidRDefault="0069753F" w:rsidP="0069753F">
            <w:pPr>
              <w:spacing w:after="0"/>
              <w:jc w:val="both"/>
              <w:rPr>
                <w:rFonts w:ascii="Avenir Next LT Pro" w:hAnsi="Avenir Next LT Pro" w:cstheme="minorHAnsi"/>
                <w:sz w:val="20"/>
                <w:szCs w:val="20"/>
                <w:lang w:eastAsia="fr-CA"/>
              </w:rPr>
            </w:pPr>
            <w:r w:rsidRPr="008439DA">
              <w:rPr>
                <w:rFonts w:eastAsia="Times New Roman" w:cs="Calibri"/>
                <w:color w:val="000000"/>
                <w:sz w:val="16"/>
                <w:szCs w:val="16"/>
                <w:lang w:eastAsia="fr-FR"/>
              </w:rPr>
              <w:t xml:space="preserve">Après projet </w:t>
            </w:r>
          </w:p>
        </w:tc>
        <w:tc>
          <w:tcPr>
            <w:tcW w:w="899" w:type="dxa"/>
          </w:tcPr>
          <w:p w14:paraId="0A1396FF"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2456" w:type="dxa"/>
          </w:tcPr>
          <w:p w14:paraId="2C946EA2"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213" w:type="dxa"/>
          </w:tcPr>
          <w:p w14:paraId="556506F4"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484" w:type="dxa"/>
          </w:tcPr>
          <w:p w14:paraId="1FC8B122"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797" w:type="dxa"/>
          </w:tcPr>
          <w:p w14:paraId="71402DCE" w14:textId="77777777" w:rsidR="0069753F" w:rsidRPr="00C345C4" w:rsidRDefault="0069753F" w:rsidP="0069753F">
            <w:pPr>
              <w:spacing w:after="0"/>
              <w:jc w:val="both"/>
              <w:rPr>
                <w:rFonts w:ascii="Avenir Next LT Pro" w:hAnsi="Avenir Next LT Pro" w:cstheme="minorHAnsi"/>
                <w:sz w:val="20"/>
                <w:szCs w:val="20"/>
                <w:lang w:eastAsia="fr-CA"/>
              </w:rPr>
            </w:pPr>
          </w:p>
        </w:tc>
      </w:tr>
      <w:tr w:rsidR="0069753F" w:rsidRPr="00C345C4" w14:paraId="47382261" w14:textId="77777777" w:rsidTr="007F45AB">
        <w:trPr>
          <w:gridAfter w:val="1"/>
          <w:wAfter w:w="28" w:type="dxa"/>
          <w:trHeight w:val="566"/>
        </w:trPr>
        <w:tc>
          <w:tcPr>
            <w:tcW w:w="1554" w:type="dxa"/>
            <w:shd w:val="clear" w:color="auto" w:fill="auto"/>
          </w:tcPr>
          <w:p w14:paraId="0421B438" w14:textId="77777777" w:rsidR="0069753F" w:rsidRPr="00C345C4" w:rsidRDefault="0069753F" w:rsidP="0069753F">
            <w:pPr>
              <w:spacing w:after="0"/>
              <w:jc w:val="both"/>
              <w:rPr>
                <w:rFonts w:ascii="Avenir Next LT Pro" w:hAnsi="Avenir Next LT Pro" w:cstheme="minorHAnsi"/>
                <w:i/>
                <w:sz w:val="20"/>
                <w:szCs w:val="20"/>
                <w:lang w:eastAsia="fr-CA"/>
              </w:rPr>
            </w:pPr>
          </w:p>
        </w:tc>
        <w:tc>
          <w:tcPr>
            <w:tcW w:w="974" w:type="dxa"/>
            <w:shd w:val="clear" w:color="auto" w:fill="auto"/>
          </w:tcPr>
          <w:p w14:paraId="1C0B8DCE"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673" w:type="dxa"/>
            <w:shd w:val="clear" w:color="auto" w:fill="auto"/>
          </w:tcPr>
          <w:p w14:paraId="024BD9ED"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673" w:type="dxa"/>
          </w:tcPr>
          <w:p w14:paraId="32F41484"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992" w:type="dxa"/>
          </w:tcPr>
          <w:p w14:paraId="58C3E75E"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111" w:type="dxa"/>
          </w:tcPr>
          <w:p w14:paraId="6E8FE2B4"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899" w:type="dxa"/>
          </w:tcPr>
          <w:p w14:paraId="20F90043"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2456" w:type="dxa"/>
          </w:tcPr>
          <w:p w14:paraId="0B8BE156"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213" w:type="dxa"/>
          </w:tcPr>
          <w:p w14:paraId="10504F4D"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484" w:type="dxa"/>
          </w:tcPr>
          <w:p w14:paraId="73FEF325"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797" w:type="dxa"/>
          </w:tcPr>
          <w:p w14:paraId="16C2B8CC" w14:textId="77777777" w:rsidR="0069753F" w:rsidRPr="00C345C4" w:rsidRDefault="0069753F" w:rsidP="0069753F">
            <w:pPr>
              <w:spacing w:after="0"/>
              <w:jc w:val="both"/>
              <w:rPr>
                <w:rFonts w:ascii="Avenir Next LT Pro" w:hAnsi="Avenir Next LT Pro" w:cstheme="minorHAnsi"/>
                <w:sz w:val="20"/>
                <w:szCs w:val="20"/>
                <w:lang w:eastAsia="fr-CA"/>
              </w:rPr>
            </w:pPr>
          </w:p>
        </w:tc>
      </w:tr>
      <w:tr w:rsidR="0069753F" w:rsidRPr="00C345C4" w14:paraId="6993C6C4" w14:textId="77777777" w:rsidTr="004641B3">
        <w:trPr>
          <w:trHeight w:val="259"/>
        </w:trPr>
        <w:tc>
          <w:tcPr>
            <w:tcW w:w="14854" w:type="dxa"/>
            <w:gridSpan w:val="12"/>
            <w:shd w:val="clear" w:color="auto" w:fill="BADB7D" w:themeFill="accent2" w:themeFillTint="99"/>
          </w:tcPr>
          <w:p w14:paraId="1013FB13" w14:textId="43C14F2C" w:rsidR="0069753F" w:rsidRPr="00C345C4" w:rsidRDefault="0069753F" w:rsidP="0069753F">
            <w:pPr>
              <w:spacing w:after="0"/>
              <w:jc w:val="both"/>
              <w:rPr>
                <w:rFonts w:ascii="Avenir Next LT Pro" w:hAnsi="Avenir Next LT Pro" w:cstheme="minorHAnsi"/>
                <w:b/>
                <w:bCs/>
                <w:sz w:val="20"/>
                <w:szCs w:val="20"/>
                <w:lang w:eastAsia="fr-CA"/>
              </w:rPr>
            </w:pPr>
            <w:r w:rsidRPr="00C345C4">
              <w:rPr>
                <w:rFonts w:ascii="Avenir Next LT Pro" w:hAnsi="Avenir Next LT Pro" w:cstheme="minorHAnsi"/>
                <w:b/>
                <w:bCs/>
                <w:sz w:val="20"/>
                <w:szCs w:val="20"/>
                <w:lang w:eastAsia="fr-CA"/>
              </w:rPr>
              <w:t>EFFET CAFI</w:t>
            </w:r>
            <w:r>
              <w:rPr>
                <w:rFonts w:ascii="Avenir Next LT Pro" w:hAnsi="Avenir Next LT Pro" w:cstheme="minorHAnsi"/>
                <w:b/>
                <w:bCs/>
                <w:sz w:val="20"/>
                <w:szCs w:val="20"/>
                <w:lang w:eastAsia="fr-CA"/>
              </w:rPr>
              <w:t> </w:t>
            </w:r>
            <w:r w:rsidRPr="00E169FE">
              <w:rPr>
                <w:rFonts w:ascii="Avenir Next LT Pro" w:hAnsi="Avenir Next LT Pro" w:cstheme="minorHAnsi"/>
                <w:b/>
                <w:bCs/>
                <w:sz w:val="20"/>
                <w:szCs w:val="20"/>
                <w:lang w:eastAsia="fr-CA"/>
              </w:rPr>
              <w:t>3</w:t>
            </w:r>
            <w:r>
              <w:rPr>
                <w:rFonts w:ascii="Avenir Next LT Pro" w:hAnsi="Avenir Next LT Pro" w:cstheme="minorHAnsi"/>
                <w:b/>
                <w:bCs/>
                <w:sz w:val="20"/>
                <w:szCs w:val="20"/>
                <w:lang w:eastAsia="fr-CA"/>
              </w:rPr>
              <w:t xml:space="preserve">. </w:t>
            </w:r>
            <w:r w:rsidRPr="00E169FE">
              <w:rPr>
                <w:rFonts w:ascii="Avenir Next LT Pro" w:hAnsi="Avenir Next LT Pro" w:cstheme="minorHAnsi"/>
                <w:b/>
                <w:bCs/>
                <w:sz w:val="20"/>
                <w:szCs w:val="20"/>
                <w:lang w:eastAsia="fr-CA"/>
              </w:rPr>
              <w:t>Les institutions et les parties prenantes du secteur forestier et des aires protégées ont la capacité et le cadre juridique nécessaires pour promouvoir, surveiller et faire respecter la gestion durable des forêts</w:t>
            </w:r>
          </w:p>
        </w:tc>
      </w:tr>
      <w:tr w:rsidR="0069753F" w:rsidRPr="00C345C4" w14:paraId="54162AB7" w14:textId="77777777" w:rsidTr="007F45AB">
        <w:trPr>
          <w:gridAfter w:val="1"/>
          <w:wAfter w:w="28" w:type="dxa"/>
          <w:trHeight w:val="566"/>
        </w:trPr>
        <w:tc>
          <w:tcPr>
            <w:tcW w:w="1554" w:type="dxa"/>
            <w:shd w:val="clear" w:color="auto" w:fill="auto"/>
          </w:tcPr>
          <w:p w14:paraId="6325F9A0" w14:textId="0E45CF69" w:rsidR="0069753F" w:rsidRDefault="0069753F" w:rsidP="0069753F">
            <w:pPr>
              <w:rPr>
                <w:rFonts w:ascii="Avenir" w:eastAsia="Avenir" w:hAnsi="Avenir" w:cs="Avenir"/>
                <w:sz w:val="18"/>
                <w:szCs w:val="18"/>
              </w:rPr>
            </w:pPr>
            <w:r>
              <w:rPr>
                <w:rFonts w:ascii="Avenir" w:eastAsia="Avenir" w:hAnsi="Avenir" w:cs="Avenir"/>
                <w:sz w:val="18"/>
                <w:szCs w:val="18"/>
              </w:rPr>
              <w:t>Nombre de personnes formées, ventilées par type de formation au sein de la Société civile, du secteur privé ou du Gouvernement</w:t>
            </w:r>
          </w:p>
          <w:p w14:paraId="330F0F3B" w14:textId="71F3D2EB" w:rsidR="0069753F" w:rsidRPr="00C345C4" w:rsidRDefault="0069753F" w:rsidP="004641B3">
            <w:pPr>
              <w:rPr>
                <w:rFonts w:ascii="Avenir Next LT Pro" w:hAnsi="Avenir Next LT Pro" w:cstheme="minorHAnsi"/>
                <w:i/>
                <w:sz w:val="20"/>
                <w:szCs w:val="20"/>
                <w:lang w:eastAsia="fr-CA"/>
              </w:rPr>
            </w:pPr>
          </w:p>
        </w:tc>
        <w:tc>
          <w:tcPr>
            <w:tcW w:w="974" w:type="dxa"/>
            <w:shd w:val="clear" w:color="auto" w:fill="auto"/>
          </w:tcPr>
          <w:p w14:paraId="63C80D31" w14:textId="50454801" w:rsidR="0069753F" w:rsidRPr="00C345C4" w:rsidRDefault="0069753F" w:rsidP="0069753F">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w:t>
            </w:r>
          </w:p>
        </w:tc>
        <w:tc>
          <w:tcPr>
            <w:tcW w:w="1673" w:type="dxa"/>
            <w:shd w:val="clear" w:color="auto" w:fill="auto"/>
          </w:tcPr>
          <w:p w14:paraId="0CAF0AF0" w14:textId="06C0B6CE" w:rsidR="0069753F" w:rsidRPr="00C345C4" w:rsidRDefault="0069753F" w:rsidP="0069753F">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w:t>
            </w:r>
          </w:p>
        </w:tc>
        <w:tc>
          <w:tcPr>
            <w:tcW w:w="1673" w:type="dxa"/>
          </w:tcPr>
          <w:p w14:paraId="796DA838" w14:textId="35F4B943" w:rsidR="0069753F" w:rsidRPr="00C345C4" w:rsidRDefault="0069753F" w:rsidP="0069753F">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1000</w:t>
            </w:r>
          </w:p>
        </w:tc>
        <w:tc>
          <w:tcPr>
            <w:tcW w:w="992" w:type="dxa"/>
          </w:tcPr>
          <w:p w14:paraId="32434F83" w14:textId="231515FE" w:rsidR="0069753F" w:rsidRPr="00C345C4" w:rsidRDefault="0069753F" w:rsidP="0069753F">
            <w:pPr>
              <w:spacing w:after="0"/>
              <w:jc w:val="both"/>
              <w:rPr>
                <w:rFonts w:ascii="Avenir Next LT Pro" w:hAnsi="Avenir Next LT Pro" w:cstheme="minorHAnsi"/>
                <w:sz w:val="20"/>
                <w:szCs w:val="20"/>
                <w:lang w:eastAsia="fr-CA"/>
              </w:rPr>
            </w:pPr>
            <w:r w:rsidRPr="008439DA">
              <w:rPr>
                <w:rFonts w:eastAsia="Times New Roman" w:cs="Calibri"/>
                <w:color w:val="000000"/>
                <w:sz w:val="16"/>
                <w:szCs w:val="16"/>
                <w:lang w:eastAsia="fr-FR"/>
              </w:rPr>
              <w:t>Enquête spécifique</w:t>
            </w:r>
          </w:p>
        </w:tc>
        <w:tc>
          <w:tcPr>
            <w:tcW w:w="1111" w:type="dxa"/>
          </w:tcPr>
          <w:p w14:paraId="3AE1731C" w14:textId="7AF9809F" w:rsidR="0069753F" w:rsidRPr="00C345C4" w:rsidRDefault="0069753F" w:rsidP="0069753F">
            <w:pPr>
              <w:spacing w:after="0"/>
              <w:jc w:val="both"/>
              <w:rPr>
                <w:rFonts w:ascii="Avenir Next LT Pro" w:hAnsi="Avenir Next LT Pro" w:cstheme="minorHAnsi"/>
                <w:sz w:val="20"/>
                <w:szCs w:val="20"/>
                <w:lang w:eastAsia="fr-CA"/>
              </w:rPr>
            </w:pPr>
            <w:r w:rsidRPr="008439DA">
              <w:rPr>
                <w:rFonts w:eastAsia="Times New Roman" w:cs="Calibri"/>
                <w:color w:val="000000"/>
                <w:sz w:val="16"/>
                <w:szCs w:val="16"/>
                <w:lang w:eastAsia="fr-FR"/>
              </w:rPr>
              <w:t>Fin projet</w:t>
            </w:r>
          </w:p>
        </w:tc>
        <w:tc>
          <w:tcPr>
            <w:tcW w:w="899" w:type="dxa"/>
          </w:tcPr>
          <w:p w14:paraId="5B4E2284" w14:textId="1D88D9F9" w:rsidR="0069753F" w:rsidRPr="00C345C4" w:rsidRDefault="0069753F" w:rsidP="0069753F">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15E94858" w14:textId="77777777" w:rsidR="009E1AB0" w:rsidRPr="00594690" w:rsidRDefault="009E1AB0" w:rsidP="004641B3">
            <w:pPr>
              <w:spacing w:after="0"/>
              <w:rPr>
                <w:rFonts w:ascii="Avenir Next LT Pro" w:hAnsi="Avenir Next LT Pro" w:cstheme="minorHAnsi"/>
                <w:sz w:val="16"/>
                <w:szCs w:val="16"/>
                <w:lang w:eastAsia="fr-CA"/>
              </w:rPr>
            </w:pPr>
            <w:r w:rsidRPr="00594690">
              <w:rPr>
                <w:rFonts w:ascii="Avenir Next LT Pro" w:hAnsi="Avenir Next LT Pro" w:cstheme="minorHAnsi"/>
                <w:b/>
                <w:bCs/>
                <w:sz w:val="16"/>
                <w:szCs w:val="16"/>
                <w:lang w:eastAsia="fr-CA"/>
              </w:rPr>
              <w:t>Hypothèse </w:t>
            </w:r>
            <w:r w:rsidRPr="00594690">
              <w:rPr>
                <w:rFonts w:ascii="Avenir Next LT Pro" w:hAnsi="Avenir Next LT Pro" w:cstheme="minorHAnsi"/>
                <w:sz w:val="16"/>
                <w:szCs w:val="16"/>
                <w:lang w:eastAsia="fr-CA"/>
              </w:rPr>
              <w:t>: Des dispositions institutionnels et règlementaires nécessaires sont en place</w:t>
            </w:r>
          </w:p>
          <w:p w14:paraId="0E1CA02B" w14:textId="51315FE5" w:rsidR="0069753F" w:rsidRPr="008439DA" w:rsidRDefault="009E1AB0" w:rsidP="0069753F">
            <w:pPr>
              <w:spacing w:after="0"/>
              <w:rPr>
                <w:rFonts w:eastAsia="Times New Roman" w:cs="Calibri"/>
                <w:color w:val="000000"/>
                <w:sz w:val="16"/>
                <w:szCs w:val="16"/>
                <w:lang w:eastAsia="fr-FR"/>
              </w:rPr>
            </w:pPr>
            <w:r w:rsidRPr="004641B3">
              <w:rPr>
                <w:rFonts w:eastAsia="Times New Roman" w:cs="Calibri"/>
                <w:b/>
                <w:bCs/>
                <w:color w:val="000000"/>
                <w:sz w:val="16"/>
                <w:szCs w:val="16"/>
                <w:lang w:eastAsia="fr-FR"/>
              </w:rPr>
              <w:t>Risques</w:t>
            </w:r>
            <w:r>
              <w:rPr>
                <w:rFonts w:eastAsia="Times New Roman" w:cs="Calibri"/>
                <w:color w:val="000000"/>
                <w:sz w:val="16"/>
                <w:szCs w:val="16"/>
                <w:lang w:eastAsia="fr-FR"/>
              </w:rPr>
              <w:t xml:space="preserve"> : </w:t>
            </w:r>
            <w:r w:rsidR="0069753F" w:rsidRPr="008439DA">
              <w:rPr>
                <w:rFonts w:eastAsia="Times New Roman" w:cs="Calibri"/>
                <w:color w:val="000000"/>
                <w:sz w:val="16"/>
                <w:szCs w:val="16"/>
                <w:lang w:eastAsia="fr-FR"/>
              </w:rPr>
              <w:t>Instabilité politique et institutionnelle.</w:t>
            </w:r>
          </w:p>
          <w:p w14:paraId="5F8EF832" w14:textId="77777777" w:rsidR="0069753F" w:rsidRPr="00C345C4" w:rsidRDefault="0069753F" w:rsidP="0069753F">
            <w:pPr>
              <w:spacing w:after="0"/>
              <w:jc w:val="both"/>
              <w:rPr>
                <w:rFonts w:ascii="Avenir Next LT Pro" w:hAnsi="Avenir Next LT Pro" w:cstheme="minorHAnsi"/>
                <w:sz w:val="20"/>
                <w:szCs w:val="20"/>
                <w:lang w:eastAsia="fr-CA"/>
              </w:rPr>
            </w:pPr>
          </w:p>
        </w:tc>
        <w:tc>
          <w:tcPr>
            <w:tcW w:w="1213" w:type="dxa"/>
          </w:tcPr>
          <w:p w14:paraId="695C82CF" w14:textId="53C49B59" w:rsidR="0069753F" w:rsidRPr="004641B3" w:rsidRDefault="0069753F" w:rsidP="007F45AB">
            <w:pPr>
              <w:spacing w:after="0"/>
              <w:rPr>
                <w:rFonts w:ascii="Avenir Next LT Pro" w:hAnsi="Avenir Next LT Pro" w:cstheme="minorHAnsi"/>
                <w:sz w:val="16"/>
                <w:szCs w:val="16"/>
                <w:lang w:eastAsia="fr-CA"/>
              </w:rPr>
            </w:pPr>
          </w:p>
          <w:p w14:paraId="0AD472A1" w14:textId="28D22858" w:rsidR="00941842" w:rsidRPr="004641B3" w:rsidRDefault="00941842" w:rsidP="007F45AB">
            <w:pPr>
              <w:spacing w:after="0"/>
              <w:rPr>
                <w:rFonts w:ascii="Avenir Next LT Pro" w:hAnsi="Avenir Next LT Pro" w:cstheme="minorHAnsi"/>
                <w:sz w:val="16"/>
                <w:szCs w:val="16"/>
                <w:lang w:eastAsia="fr-CA"/>
              </w:rPr>
            </w:pPr>
            <w:r w:rsidRPr="004641B3">
              <w:rPr>
                <w:rFonts w:ascii="Avenir Next LT Pro" w:hAnsi="Avenir Next LT Pro" w:cstheme="minorHAnsi"/>
                <w:sz w:val="16"/>
                <w:szCs w:val="16"/>
                <w:lang w:eastAsia="fr-CA"/>
              </w:rPr>
              <w:t>Jalons politiques 2023’ (l) Des ressources non-domestiques innovantes</w:t>
            </w:r>
            <w:r w:rsidRPr="004641B3">
              <w:rPr>
                <w:rFonts w:ascii="Arial Nova Cond" w:hAnsi="Arial Nova Cond"/>
                <w:i/>
                <w:iCs/>
                <w:w w:val="110"/>
                <w:sz w:val="16"/>
                <w:szCs w:val="16"/>
                <w:lang w:val="fr-CD"/>
              </w:rPr>
              <w:t xml:space="preserve"> </w:t>
            </w:r>
            <w:r w:rsidRPr="004641B3">
              <w:rPr>
                <w:rFonts w:ascii="Avenir Next LT Pro" w:hAnsi="Avenir Next LT Pro" w:cstheme="minorHAnsi"/>
                <w:sz w:val="16"/>
                <w:szCs w:val="16"/>
                <w:lang w:eastAsia="fr-CA"/>
              </w:rPr>
              <w:t>sont</w:t>
            </w:r>
            <w:r w:rsidRPr="004641B3">
              <w:rPr>
                <w:rFonts w:ascii="Arial Nova Cond" w:hAnsi="Arial Nova Cond"/>
                <w:i/>
                <w:iCs/>
                <w:w w:val="110"/>
                <w:sz w:val="16"/>
                <w:szCs w:val="16"/>
                <w:lang w:val="fr-CD"/>
              </w:rPr>
              <w:t xml:space="preserve"> </w:t>
            </w:r>
            <w:r w:rsidRPr="004641B3">
              <w:rPr>
                <w:rFonts w:ascii="Avenir Next LT Pro" w:hAnsi="Avenir Next LT Pro" w:cstheme="minorHAnsi"/>
                <w:sz w:val="16"/>
                <w:szCs w:val="16"/>
                <w:lang w:eastAsia="fr-CA"/>
              </w:rPr>
              <w:t xml:space="preserve">mobilisées à la mise en œuvre des priorités REDD+, sous forme de </w:t>
            </w:r>
            <w:r w:rsidRPr="004641B3">
              <w:rPr>
                <w:rFonts w:ascii="Avenir Next LT Pro" w:hAnsi="Avenir Next LT Pro" w:cstheme="minorHAnsi"/>
                <w:sz w:val="16"/>
                <w:szCs w:val="16"/>
                <w:lang w:eastAsia="fr-CA"/>
              </w:rPr>
              <w:lastRenderedPageBreak/>
              <w:t>contributions directes, co-financement et alignement</w:t>
            </w:r>
          </w:p>
        </w:tc>
        <w:tc>
          <w:tcPr>
            <w:tcW w:w="1484" w:type="dxa"/>
          </w:tcPr>
          <w:p w14:paraId="44E3FB82" w14:textId="38889919" w:rsidR="0069753F" w:rsidRPr="004641B3" w:rsidRDefault="0069753F" w:rsidP="007F45AB">
            <w:pPr>
              <w:spacing w:after="0"/>
              <w:rPr>
                <w:rFonts w:ascii="Avenir Next LT Pro" w:hAnsi="Avenir Next LT Pro" w:cstheme="minorHAnsi"/>
                <w:sz w:val="16"/>
                <w:szCs w:val="16"/>
                <w:lang w:eastAsia="fr-CA"/>
              </w:rPr>
            </w:pPr>
          </w:p>
          <w:p w14:paraId="133E4383" w14:textId="71E10C68" w:rsidR="00FB5F86" w:rsidRPr="004641B3" w:rsidRDefault="00FB5F86" w:rsidP="007F45AB">
            <w:pPr>
              <w:spacing w:after="0"/>
              <w:rPr>
                <w:rFonts w:ascii="Avenir Next LT Pro" w:hAnsi="Avenir Next LT Pro" w:cstheme="minorHAnsi"/>
                <w:sz w:val="16"/>
                <w:szCs w:val="16"/>
                <w:lang w:eastAsia="fr-CA"/>
              </w:rPr>
            </w:pPr>
            <w:r w:rsidRPr="004641B3">
              <w:rPr>
                <w:rFonts w:ascii="Avenir Next LT Pro" w:hAnsi="Avenir Next LT Pro" w:cstheme="minorHAnsi"/>
                <w:sz w:val="16"/>
                <w:szCs w:val="16"/>
                <w:lang w:eastAsia="fr-CA"/>
              </w:rPr>
              <w:t>La bonne  gouvernance assurée permettant une mise en œuvre effective, transversale et intégrée, transparente, équitable et durable de partenariat</w:t>
            </w:r>
          </w:p>
        </w:tc>
        <w:tc>
          <w:tcPr>
            <w:tcW w:w="797" w:type="dxa"/>
          </w:tcPr>
          <w:p w14:paraId="56B0B4D5" w14:textId="6B661FE8" w:rsidR="0069753F" w:rsidRPr="00246C24" w:rsidRDefault="0069753F" w:rsidP="0069753F">
            <w:pPr>
              <w:spacing w:after="0"/>
              <w:jc w:val="both"/>
              <w:rPr>
                <w:rFonts w:ascii="Avenir Next LT Pro" w:hAnsi="Avenir Next LT Pro" w:cstheme="minorHAnsi"/>
                <w:sz w:val="18"/>
                <w:szCs w:val="18"/>
                <w:lang w:eastAsia="fr-CA"/>
              </w:rPr>
            </w:pPr>
          </w:p>
        </w:tc>
      </w:tr>
      <w:tr w:rsidR="00F8617D" w:rsidRPr="00C345C4" w14:paraId="29EC6CD0" w14:textId="77777777" w:rsidTr="007F45AB">
        <w:trPr>
          <w:gridAfter w:val="1"/>
          <w:wAfter w:w="28" w:type="dxa"/>
          <w:trHeight w:val="566"/>
        </w:trPr>
        <w:tc>
          <w:tcPr>
            <w:tcW w:w="1554" w:type="dxa"/>
            <w:shd w:val="clear" w:color="auto" w:fill="auto"/>
          </w:tcPr>
          <w:p w14:paraId="6F5B08A9" w14:textId="19D3C604" w:rsidR="00F8617D" w:rsidRDefault="00F8617D" w:rsidP="00F8617D">
            <w:pPr>
              <w:rPr>
                <w:rFonts w:ascii="Avenir" w:eastAsia="Avenir" w:hAnsi="Avenir" w:cs="Avenir"/>
                <w:sz w:val="18"/>
                <w:szCs w:val="18"/>
              </w:rPr>
            </w:pPr>
            <w:r>
              <w:rPr>
                <w:rFonts w:ascii="Avenir" w:eastAsia="Avenir" w:hAnsi="Avenir" w:cs="Avenir"/>
                <w:sz w:val="18"/>
                <w:szCs w:val="18"/>
              </w:rPr>
              <w:t>Nombre de textes réglementaires prioritaires rédigés avec l’appui du projet, dont approuvés</w:t>
            </w:r>
          </w:p>
        </w:tc>
        <w:tc>
          <w:tcPr>
            <w:tcW w:w="974" w:type="dxa"/>
            <w:shd w:val="clear" w:color="auto" w:fill="auto"/>
          </w:tcPr>
          <w:p w14:paraId="12682B91" w14:textId="769C58D0" w:rsidR="00F8617D" w:rsidRDefault="00F8617D" w:rsidP="00F8617D">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w:t>
            </w:r>
          </w:p>
        </w:tc>
        <w:tc>
          <w:tcPr>
            <w:tcW w:w="1673" w:type="dxa"/>
            <w:shd w:val="clear" w:color="auto" w:fill="auto"/>
          </w:tcPr>
          <w:p w14:paraId="415C0A01" w14:textId="4EE526B0" w:rsidR="00F8617D" w:rsidRDefault="00F8617D" w:rsidP="00F8617D">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1</w:t>
            </w:r>
          </w:p>
        </w:tc>
        <w:tc>
          <w:tcPr>
            <w:tcW w:w="1673" w:type="dxa"/>
          </w:tcPr>
          <w:p w14:paraId="02F8A847" w14:textId="16107992" w:rsidR="00F8617D" w:rsidRDefault="00F8617D" w:rsidP="00F8617D">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992" w:type="dxa"/>
          </w:tcPr>
          <w:p w14:paraId="185C4C17" w14:textId="51B03910" w:rsidR="00F8617D" w:rsidRPr="008439DA" w:rsidRDefault="00F8617D" w:rsidP="00F8617D">
            <w:pPr>
              <w:spacing w:after="0"/>
              <w:jc w:val="both"/>
              <w:rPr>
                <w:rFonts w:eastAsia="Times New Roman" w:cs="Calibri"/>
                <w:color w:val="000000"/>
                <w:sz w:val="16"/>
                <w:szCs w:val="16"/>
                <w:lang w:eastAsia="fr-FR"/>
              </w:rPr>
            </w:pPr>
            <w:r>
              <w:rPr>
                <w:rFonts w:eastAsia="Times New Roman" w:cs="Calibri"/>
                <w:color w:val="000000"/>
                <w:sz w:val="16"/>
                <w:szCs w:val="16"/>
                <w:lang w:eastAsia="fr-FR"/>
              </w:rPr>
              <w:t>Journal Officiel</w:t>
            </w:r>
          </w:p>
        </w:tc>
        <w:tc>
          <w:tcPr>
            <w:tcW w:w="1111" w:type="dxa"/>
          </w:tcPr>
          <w:p w14:paraId="27DFCCDA" w14:textId="5E0F485B" w:rsidR="00F8617D" w:rsidRPr="008439DA" w:rsidRDefault="00F8617D" w:rsidP="00F8617D">
            <w:pPr>
              <w:spacing w:after="0"/>
              <w:jc w:val="both"/>
              <w:rPr>
                <w:rFonts w:eastAsia="Times New Roman" w:cs="Calibri"/>
                <w:color w:val="000000"/>
                <w:sz w:val="16"/>
                <w:szCs w:val="16"/>
                <w:lang w:eastAsia="fr-FR"/>
              </w:rPr>
            </w:pPr>
            <w:r>
              <w:rPr>
                <w:rFonts w:eastAsia="Times New Roman" w:cs="Calibri"/>
                <w:color w:val="000000"/>
                <w:sz w:val="16"/>
                <w:szCs w:val="16"/>
                <w:lang w:eastAsia="fr-FR"/>
              </w:rPr>
              <w:t>Fin Projet</w:t>
            </w:r>
          </w:p>
        </w:tc>
        <w:tc>
          <w:tcPr>
            <w:tcW w:w="899" w:type="dxa"/>
          </w:tcPr>
          <w:p w14:paraId="4FC27E0B" w14:textId="51AEE675" w:rsidR="00F8617D" w:rsidRDefault="00F8617D" w:rsidP="00F8617D">
            <w:pPr>
              <w:spacing w:after="0"/>
              <w:jc w:val="both"/>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3B3B8948" w14:textId="77777777" w:rsidR="00F8617D" w:rsidRPr="008439DA" w:rsidRDefault="00F8617D" w:rsidP="00F8617D">
            <w:pPr>
              <w:spacing w:after="0"/>
              <w:rPr>
                <w:rFonts w:eastAsia="Times New Roman" w:cs="Calibri"/>
                <w:color w:val="000000"/>
                <w:sz w:val="16"/>
                <w:szCs w:val="16"/>
                <w:lang w:eastAsia="fr-FR"/>
              </w:rPr>
            </w:pPr>
            <w:r w:rsidRPr="008439DA">
              <w:rPr>
                <w:rFonts w:eastAsia="Times New Roman" w:cs="Calibri"/>
                <w:color w:val="000000"/>
                <w:sz w:val="16"/>
                <w:szCs w:val="16"/>
                <w:lang w:eastAsia="fr-FR"/>
              </w:rPr>
              <w:t>Instabilité politique et institutionnelle.</w:t>
            </w:r>
          </w:p>
          <w:p w14:paraId="736A4455" w14:textId="77777777" w:rsidR="00F8617D" w:rsidRPr="008439DA" w:rsidRDefault="00F8617D" w:rsidP="00F8617D">
            <w:pPr>
              <w:spacing w:after="0"/>
              <w:rPr>
                <w:rFonts w:eastAsia="Times New Roman" w:cs="Calibri"/>
                <w:color w:val="000000"/>
                <w:sz w:val="16"/>
                <w:szCs w:val="16"/>
                <w:lang w:eastAsia="fr-FR"/>
              </w:rPr>
            </w:pPr>
          </w:p>
        </w:tc>
        <w:tc>
          <w:tcPr>
            <w:tcW w:w="1213" w:type="dxa"/>
          </w:tcPr>
          <w:p w14:paraId="4ECC7700" w14:textId="01860718" w:rsidR="00F8617D" w:rsidRPr="00F8617D" w:rsidDel="0069753F" w:rsidRDefault="00F8617D" w:rsidP="007F45AB">
            <w:pPr>
              <w:spacing w:after="0"/>
              <w:rPr>
                <w:rFonts w:ascii="Avenir Next LT Pro" w:hAnsi="Avenir Next LT Pro" w:cstheme="minorHAnsi"/>
                <w:sz w:val="20"/>
                <w:szCs w:val="20"/>
                <w:lang w:eastAsia="fr-CA"/>
              </w:rPr>
            </w:pPr>
            <w:r w:rsidRPr="00594690">
              <w:rPr>
                <w:rFonts w:ascii="Avenir Next LT Pro" w:hAnsi="Avenir Next LT Pro" w:cstheme="minorHAnsi"/>
                <w:sz w:val="16"/>
                <w:szCs w:val="16"/>
                <w:lang w:eastAsia="fr-CA"/>
              </w:rPr>
              <w:t>Jalons politiques 2023’ (l) Des ressources non-domestiques innovantes</w:t>
            </w:r>
            <w:r w:rsidRPr="00594690">
              <w:rPr>
                <w:rFonts w:ascii="Arial Nova Cond" w:hAnsi="Arial Nova Cond"/>
                <w:i/>
                <w:iCs/>
                <w:w w:val="110"/>
                <w:sz w:val="16"/>
                <w:szCs w:val="16"/>
                <w:lang w:val="fr-CD"/>
              </w:rPr>
              <w:t xml:space="preserve"> </w:t>
            </w:r>
            <w:r w:rsidRPr="00594690">
              <w:rPr>
                <w:rFonts w:ascii="Avenir Next LT Pro" w:hAnsi="Avenir Next LT Pro" w:cstheme="minorHAnsi"/>
                <w:sz w:val="16"/>
                <w:szCs w:val="16"/>
                <w:lang w:eastAsia="fr-CA"/>
              </w:rPr>
              <w:t>sont</w:t>
            </w:r>
            <w:r w:rsidRPr="00594690">
              <w:rPr>
                <w:rFonts w:ascii="Arial Nova Cond" w:hAnsi="Arial Nova Cond"/>
                <w:i/>
                <w:iCs/>
                <w:w w:val="110"/>
                <w:sz w:val="16"/>
                <w:szCs w:val="16"/>
                <w:lang w:val="fr-CD"/>
              </w:rPr>
              <w:t xml:space="preserve"> </w:t>
            </w:r>
            <w:r w:rsidRPr="00594690">
              <w:rPr>
                <w:rFonts w:ascii="Avenir Next LT Pro" w:hAnsi="Avenir Next LT Pro" w:cstheme="minorHAnsi"/>
                <w:sz w:val="16"/>
                <w:szCs w:val="16"/>
                <w:lang w:eastAsia="fr-CA"/>
              </w:rPr>
              <w:t>mobilisées à la mise en œuvre des priorités REDD+, sous forme de contributions directes, co-financement et alignement</w:t>
            </w:r>
          </w:p>
        </w:tc>
        <w:tc>
          <w:tcPr>
            <w:tcW w:w="1484" w:type="dxa"/>
          </w:tcPr>
          <w:p w14:paraId="14FE1A3D" w14:textId="391FF0DE" w:rsidR="00F8617D" w:rsidRPr="00246C24" w:rsidDel="00941842" w:rsidRDefault="00F8617D" w:rsidP="007F45AB">
            <w:pPr>
              <w:spacing w:after="0"/>
              <w:rPr>
                <w:rFonts w:ascii="Avenir Next LT Pro" w:hAnsi="Avenir Next LT Pro" w:cstheme="minorHAnsi"/>
                <w:sz w:val="18"/>
                <w:szCs w:val="18"/>
                <w:lang w:eastAsia="fr-CA"/>
              </w:rPr>
            </w:pPr>
            <w:r w:rsidRPr="00594690">
              <w:rPr>
                <w:rFonts w:ascii="Avenir Next LT Pro" w:hAnsi="Avenir Next LT Pro" w:cstheme="minorHAnsi"/>
                <w:sz w:val="16"/>
                <w:szCs w:val="16"/>
                <w:lang w:eastAsia="fr-CA"/>
              </w:rPr>
              <w:t xml:space="preserve">La </w:t>
            </w:r>
            <w:r w:rsidR="007F45AB" w:rsidRPr="00594690">
              <w:rPr>
                <w:rFonts w:ascii="Avenir Next LT Pro" w:hAnsi="Avenir Next LT Pro" w:cstheme="minorHAnsi"/>
                <w:sz w:val="16"/>
                <w:szCs w:val="16"/>
                <w:lang w:eastAsia="fr-CA"/>
              </w:rPr>
              <w:t>bonne gouvernance</w:t>
            </w:r>
            <w:r w:rsidRPr="00594690">
              <w:rPr>
                <w:rFonts w:ascii="Avenir Next LT Pro" w:hAnsi="Avenir Next LT Pro" w:cstheme="minorHAnsi"/>
                <w:sz w:val="16"/>
                <w:szCs w:val="16"/>
                <w:lang w:eastAsia="fr-CA"/>
              </w:rPr>
              <w:t xml:space="preserve"> assurée permettant une mise en œuvre effective, transversale et intégrée, transparente, équitable et durable de partenariat</w:t>
            </w:r>
          </w:p>
        </w:tc>
        <w:tc>
          <w:tcPr>
            <w:tcW w:w="797" w:type="dxa"/>
          </w:tcPr>
          <w:p w14:paraId="73414477" w14:textId="77777777" w:rsidR="00F8617D" w:rsidRPr="00246C24" w:rsidRDefault="00F8617D" w:rsidP="00F8617D">
            <w:pPr>
              <w:spacing w:after="0"/>
              <w:jc w:val="both"/>
              <w:rPr>
                <w:rFonts w:ascii="Avenir Next LT Pro" w:hAnsi="Avenir Next LT Pro" w:cstheme="minorHAnsi"/>
                <w:sz w:val="18"/>
                <w:szCs w:val="18"/>
                <w:lang w:eastAsia="fr-CA"/>
              </w:rPr>
            </w:pPr>
          </w:p>
        </w:tc>
      </w:tr>
      <w:tr w:rsidR="00F8617D" w:rsidRPr="00C345C4" w14:paraId="2DAD14C1" w14:textId="77777777" w:rsidTr="004641B3">
        <w:trPr>
          <w:trHeight w:val="145"/>
        </w:trPr>
        <w:tc>
          <w:tcPr>
            <w:tcW w:w="14854" w:type="dxa"/>
            <w:gridSpan w:val="12"/>
            <w:shd w:val="clear" w:color="auto" w:fill="BADB7D" w:themeFill="accent2" w:themeFillTint="99"/>
          </w:tcPr>
          <w:p w14:paraId="40A8FADF" w14:textId="4EF218D1" w:rsidR="00F8617D" w:rsidRPr="00C345C4" w:rsidRDefault="00F8617D" w:rsidP="00F8617D">
            <w:pPr>
              <w:spacing w:after="0"/>
              <w:jc w:val="both"/>
              <w:rPr>
                <w:rFonts w:ascii="Avenir Next LT Pro" w:hAnsi="Avenir Next LT Pro" w:cstheme="minorHAnsi"/>
                <w:sz w:val="20"/>
                <w:szCs w:val="20"/>
                <w:lang w:eastAsia="fr-CA"/>
              </w:rPr>
            </w:pPr>
            <w:r w:rsidRPr="00C345C4">
              <w:rPr>
                <w:rFonts w:ascii="Avenir Next LT Pro" w:hAnsi="Avenir Next LT Pro" w:cstheme="minorHAnsi"/>
                <w:b/>
                <w:bCs/>
                <w:sz w:val="20"/>
                <w:szCs w:val="20"/>
                <w:lang w:eastAsia="fr-CA"/>
              </w:rPr>
              <w:t>EFFET CAFI</w:t>
            </w:r>
            <w:r>
              <w:rPr>
                <w:rFonts w:ascii="Avenir Next LT Pro" w:hAnsi="Avenir Next LT Pro" w:cstheme="minorHAnsi"/>
                <w:b/>
                <w:bCs/>
                <w:sz w:val="20"/>
                <w:szCs w:val="20"/>
                <w:lang w:eastAsia="fr-CA"/>
              </w:rPr>
              <w:t xml:space="preserve"> 7. </w:t>
            </w:r>
            <w:r w:rsidRPr="003763E2">
              <w:rPr>
                <w:rFonts w:ascii="Avenir Next LT Pro" w:hAnsi="Avenir Next LT Pro" w:cstheme="minorHAnsi"/>
                <w:b/>
                <w:bCs/>
                <w:sz w:val="20"/>
                <w:szCs w:val="20"/>
                <w:lang w:eastAsia="fr-CA"/>
              </w:rPr>
              <w:t>Une meilleure coordination et gouvernance interministérielle aboutissant à des permis et à un régime fiscal des activités économiques qui ne poussent pas les acteurs économiques à la conversion forestière et aux activités illégales et un climat des affaires favorable aux investissements respectueux des forêts.</w:t>
            </w:r>
          </w:p>
        </w:tc>
      </w:tr>
      <w:tr w:rsidR="005D140D" w:rsidRPr="00C345C4" w14:paraId="1D2325F3" w14:textId="77777777" w:rsidTr="007F45AB">
        <w:trPr>
          <w:gridAfter w:val="1"/>
          <w:wAfter w:w="28" w:type="dxa"/>
          <w:trHeight w:val="566"/>
        </w:trPr>
        <w:tc>
          <w:tcPr>
            <w:tcW w:w="1554" w:type="dxa"/>
            <w:shd w:val="clear" w:color="auto" w:fill="auto"/>
          </w:tcPr>
          <w:p w14:paraId="6401FE7D" w14:textId="3695F41C" w:rsidR="005D140D" w:rsidRPr="004641B3" w:rsidRDefault="005D140D" w:rsidP="005D140D">
            <w:pPr>
              <w:spacing w:after="0"/>
              <w:jc w:val="both"/>
              <w:rPr>
                <w:rFonts w:asciiTheme="minorHAnsi" w:hAnsiTheme="minorHAnsi" w:cstheme="minorHAnsi"/>
                <w:i/>
                <w:sz w:val="16"/>
                <w:szCs w:val="16"/>
                <w:lang w:eastAsia="fr-CA"/>
              </w:rPr>
            </w:pPr>
            <w:r w:rsidRPr="004641B3">
              <w:rPr>
                <w:rFonts w:asciiTheme="minorHAnsi" w:eastAsia="Avenir" w:hAnsiTheme="minorHAnsi" w:cstheme="minorHAnsi"/>
                <w:sz w:val="16"/>
                <w:szCs w:val="16"/>
              </w:rPr>
              <w:t>Nombre de réunions du Conseil National de l'Environnement et du Développement Durable</w:t>
            </w:r>
            <w:r w:rsidR="00224788">
              <w:rPr>
                <w:rFonts w:asciiTheme="minorHAnsi" w:eastAsia="Avenir" w:hAnsiTheme="minorHAnsi" w:cstheme="minorHAnsi"/>
                <w:sz w:val="16"/>
                <w:szCs w:val="16"/>
              </w:rPr>
              <w:t xml:space="preserve"> et de la Cellule Technique de suivi de la mise en œuvre de la CDN organisées</w:t>
            </w:r>
          </w:p>
        </w:tc>
        <w:tc>
          <w:tcPr>
            <w:tcW w:w="974" w:type="dxa"/>
            <w:shd w:val="clear" w:color="auto" w:fill="auto"/>
          </w:tcPr>
          <w:p w14:paraId="3B8CDB1A" w14:textId="60F4CC4F" w:rsidR="005D140D" w:rsidRPr="004641B3" w:rsidRDefault="005D140D" w:rsidP="005D140D">
            <w:pPr>
              <w:spacing w:after="0"/>
              <w:jc w:val="both"/>
              <w:rPr>
                <w:rFonts w:asciiTheme="minorHAnsi" w:hAnsiTheme="minorHAnsi" w:cstheme="minorHAnsi"/>
                <w:sz w:val="16"/>
                <w:szCs w:val="16"/>
                <w:lang w:eastAsia="fr-CA"/>
              </w:rPr>
            </w:pPr>
            <w:r w:rsidRPr="004641B3">
              <w:rPr>
                <w:rFonts w:asciiTheme="minorHAnsi" w:hAnsiTheme="minorHAnsi" w:cstheme="minorHAnsi"/>
                <w:sz w:val="16"/>
                <w:szCs w:val="16"/>
                <w:lang w:eastAsia="fr-CA"/>
              </w:rPr>
              <w:t>-</w:t>
            </w:r>
          </w:p>
        </w:tc>
        <w:tc>
          <w:tcPr>
            <w:tcW w:w="1673" w:type="dxa"/>
            <w:shd w:val="clear" w:color="auto" w:fill="auto"/>
          </w:tcPr>
          <w:p w14:paraId="25BE382F" w14:textId="2BE5F8F8" w:rsidR="005D140D" w:rsidRPr="004641B3" w:rsidRDefault="005D140D" w:rsidP="005D140D">
            <w:pPr>
              <w:spacing w:after="0"/>
              <w:jc w:val="both"/>
              <w:rPr>
                <w:rFonts w:asciiTheme="minorHAnsi" w:hAnsiTheme="minorHAnsi" w:cstheme="minorHAnsi"/>
                <w:sz w:val="16"/>
                <w:szCs w:val="16"/>
                <w:lang w:eastAsia="fr-CA"/>
              </w:rPr>
            </w:pPr>
            <w:r w:rsidRPr="004641B3">
              <w:rPr>
                <w:rFonts w:asciiTheme="minorHAnsi" w:hAnsiTheme="minorHAnsi" w:cstheme="minorHAnsi"/>
                <w:sz w:val="16"/>
                <w:szCs w:val="16"/>
                <w:lang w:eastAsia="fr-CA"/>
              </w:rPr>
              <w:t>2</w:t>
            </w:r>
          </w:p>
        </w:tc>
        <w:tc>
          <w:tcPr>
            <w:tcW w:w="1673" w:type="dxa"/>
          </w:tcPr>
          <w:p w14:paraId="0D7E1E59" w14:textId="47495FCF" w:rsidR="005D140D" w:rsidRPr="004641B3" w:rsidRDefault="005D140D" w:rsidP="005D140D">
            <w:pPr>
              <w:spacing w:after="0"/>
              <w:jc w:val="both"/>
              <w:rPr>
                <w:rFonts w:asciiTheme="minorHAnsi" w:hAnsiTheme="minorHAnsi" w:cstheme="minorHAnsi"/>
                <w:sz w:val="16"/>
                <w:szCs w:val="16"/>
                <w:lang w:eastAsia="fr-CA"/>
              </w:rPr>
            </w:pPr>
            <w:r w:rsidRPr="004641B3">
              <w:rPr>
                <w:rFonts w:asciiTheme="minorHAnsi" w:hAnsiTheme="minorHAnsi" w:cstheme="minorHAnsi"/>
                <w:sz w:val="16"/>
                <w:szCs w:val="16"/>
                <w:lang w:eastAsia="fr-CA"/>
              </w:rPr>
              <w:t>4</w:t>
            </w:r>
          </w:p>
        </w:tc>
        <w:tc>
          <w:tcPr>
            <w:tcW w:w="992" w:type="dxa"/>
          </w:tcPr>
          <w:p w14:paraId="3A5EE372" w14:textId="0F179D3C" w:rsidR="005D140D" w:rsidRPr="004641B3" w:rsidRDefault="005D140D" w:rsidP="005D140D">
            <w:pPr>
              <w:spacing w:after="0"/>
              <w:jc w:val="both"/>
              <w:rPr>
                <w:rFonts w:asciiTheme="minorHAnsi" w:hAnsiTheme="minorHAnsi" w:cstheme="minorHAnsi"/>
                <w:sz w:val="16"/>
                <w:szCs w:val="16"/>
                <w:lang w:eastAsia="fr-CA"/>
              </w:rPr>
            </w:pPr>
            <w:r w:rsidRPr="004641B3">
              <w:rPr>
                <w:rFonts w:asciiTheme="minorHAnsi" w:hAnsiTheme="minorHAnsi" w:cstheme="minorHAnsi"/>
                <w:sz w:val="16"/>
                <w:szCs w:val="16"/>
                <w:lang w:eastAsia="fr-CA"/>
              </w:rPr>
              <w:t>Rapports d’activités</w:t>
            </w:r>
          </w:p>
        </w:tc>
        <w:tc>
          <w:tcPr>
            <w:tcW w:w="1111" w:type="dxa"/>
          </w:tcPr>
          <w:p w14:paraId="65485F35" w14:textId="79D9215C" w:rsidR="005D140D" w:rsidRPr="004641B3" w:rsidRDefault="005D140D" w:rsidP="005D140D">
            <w:pPr>
              <w:spacing w:after="0"/>
              <w:jc w:val="both"/>
              <w:rPr>
                <w:rFonts w:asciiTheme="minorHAnsi" w:hAnsiTheme="minorHAnsi" w:cstheme="minorHAnsi"/>
                <w:sz w:val="16"/>
                <w:szCs w:val="16"/>
                <w:lang w:eastAsia="fr-CA"/>
              </w:rPr>
            </w:pPr>
            <w:r w:rsidRPr="004641B3">
              <w:rPr>
                <w:rFonts w:asciiTheme="minorHAnsi" w:hAnsiTheme="minorHAnsi" w:cstheme="minorHAnsi"/>
                <w:sz w:val="16"/>
                <w:szCs w:val="16"/>
                <w:lang w:eastAsia="fr-CA"/>
              </w:rPr>
              <w:t>Fin Projet</w:t>
            </w:r>
          </w:p>
        </w:tc>
        <w:tc>
          <w:tcPr>
            <w:tcW w:w="899" w:type="dxa"/>
          </w:tcPr>
          <w:p w14:paraId="24796972" w14:textId="625CE228" w:rsidR="005D140D" w:rsidRPr="004641B3" w:rsidRDefault="005D140D" w:rsidP="005D140D">
            <w:pPr>
              <w:spacing w:after="0"/>
              <w:jc w:val="both"/>
              <w:rPr>
                <w:rFonts w:asciiTheme="minorHAnsi" w:hAnsiTheme="minorHAnsi" w:cstheme="minorHAnsi"/>
                <w:sz w:val="16"/>
                <w:szCs w:val="16"/>
                <w:lang w:eastAsia="fr-CA"/>
              </w:rPr>
            </w:pPr>
            <w:r w:rsidRPr="004641B3">
              <w:rPr>
                <w:rFonts w:asciiTheme="minorHAnsi" w:hAnsiTheme="minorHAnsi" w:cstheme="minorHAnsi"/>
                <w:sz w:val="16"/>
                <w:szCs w:val="16"/>
                <w:lang w:eastAsia="fr-CA"/>
              </w:rPr>
              <w:t>N</w:t>
            </w:r>
          </w:p>
        </w:tc>
        <w:tc>
          <w:tcPr>
            <w:tcW w:w="2456" w:type="dxa"/>
          </w:tcPr>
          <w:p w14:paraId="0F03BD0A" w14:textId="77777777" w:rsidR="009E1AB0" w:rsidRPr="004641B3" w:rsidRDefault="009E1AB0" w:rsidP="009E1AB0">
            <w:pPr>
              <w:spacing w:after="0"/>
              <w:jc w:val="center"/>
              <w:rPr>
                <w:rFonts w:ascii="Avenir Next LT Pro" w:hAnsi="Avenir Next LT Pro" w:cstheme="minorHAnsi"/>
                <w:sz w:val="16"/>
                <w:szCs w:val="16"/>
                <w:lang w:eastAsia="fr-CA"/>
              </w:rPr>
            </w:pPr>
            <w:r w:rsidRPr="004641B3">
              <w:rPr>
                <w:rFonts w:ascii="Avenir Next LT Pro" w:hAnsi="Avenir Next LT Pro" w:cstheme="minorHAnsi"/>
                <w:b/>
                <w:bCs/>
                <w:sz w:val="16"/>
                <w:szCs w:val="16"/>
                <w:lang w:eastAsia="fr-CA"/>
              </w:rPr>
              <w:t>Hypothèse </w:t>
            </w:r>
            <w:r w:rsidRPr="004641B3">
              <w:rPr>
                <w:rFonts w:ascii="Avenir Next LT Pro" w:hAnsi="Avenir Next LT Pro" w:cstheme="minorHAnsi"/>
                <w:sz w:val="16"/>
                <w:szCs w:val="16"/>
                <w:lang w:eastAsia="fr-CA"/>
              </w:rPr>
              <w:t>: Des dispositions institutionnels et règlementaires nécessaires sont en place</w:t>
            </w:r>
          </w:p>
          <w:p w14:paraId="2FA94137" w14:textId="45E90765" w:rsidR="005D140D" w:rsidRPr="004641B3" w:rsidRDefault="009E1AB0" w:rsidP="005D140D">
            <w:pPr>
              <w:spacing w:after="0"/>
              <w:rPr>
                <w:rFonts w:asciiTheme="minorHAnsi" w:eastAsia="Times New Roman" w:hAnsiTheme="minorHAnsi" w:cstheme="minorHAnsi"/>
                <w:color w:val="000000"/>
                <w:sz w:val="16"/>
                <w:szCs w:val="16"/>
                <w:lang w:eastAsia="fr-FR"/>
              </w:rPr>
            </w:pPr>
            <w:r w:rsidRPr="004641B3">
              <w:rPr>
                <w:rFonts w:asciiTheme="minorHAnsi" w:eastAsia="Times New Roman" w:hAnsiTheme="minorHAnsi" w:cstheme="minorHAnsi"/>
                <w:b/>
                <w:bCs/>
                <w:color w:val="000000"/>
                <w:sz w:val="16"/>
                <w:szCs w:val="16"/>
                <w:lang w:eastAsia="fr-FR"/>
              </w:rPr>
              <w:t>Risques</w:t>
            </w:r>
            <w:r w:rsidRPr="009E1AB0">
              <w:rPr>
                <w:rFonts w:asciiTheme="minorHAnsi" w:eastAsia="Times New Roman" w:hAnsiTheme="minorHAnsi" w:cstheme="minorHAnsi"/>
                <w:color w:val="000000"/>
                <w:sz w:val="16"/>
                <w:szCs w:val="16"/>
                <w:lang w:eastAsia="fr-FR"/>
              </w:rPr>
              <w:t xml:space="preserve"> : </w:t>
            </w:r>
            <w:r w:rsidR="005D140D" w:rsidRPr="004641B3">
              <w:rPr>
                <w:rFonts w:asciiTheme="minorHAnsi" w:eastAsia="Times New Roman" w:hAnsiTheme="minorHAnsi" w:cstheme="minorHAnsi"/>
                <w:color w:val="000000"/>
                <w:sz w:val="16"/>
                <w:szCs w:val="16"/>
                <w:lang w:eastAsia="fr-FR"/>
              </w:rPr>
              <w:t>Instabilité politique et institutionnelle.</w:t>
            </w:r>
          </w:p>
          <w:p w14:paraId="60CEF12F" w14:textId="77777777" w:rsidR="005D140D" w:rsidRPr="004641B3" w:rsidRDefault="005D140D" w:rsidP="005D140D">
            <w:pPr>
              <w:spacing w:after="0"/>
              <w:jc w:val="both"/>
              <w:rPr>
                <w:rFonts w:asciiTheme="minorHAnsi" w:hAnsiTheme="minorHAnsi" w:cstheme="minorHAnsi"/>
                <w:sz w:val="16"/>
                <w:szCs w:val="16"/>
                <w:lang w:eastAsia="fr-CA"/>
              </w:rPr>
            </w:pPr>
          </w:p>
        </w:tc>
        <w:tc>
          <w:tcPr>
            <w:tcW w:w="1213" w:type="dxa"/>
          </w:tcPr>
          <w:p w14:paraId="7E078FCE" w14:textId="736B6A98" w:rsidR="005D140D" w:rsidRPr="00C345C4" w:rsidRDefault="005D140D" w:rsidP="007F45AB">
            <w:pPr>
              <w:spacing w:after="0"/>
              <w:rPr>
                <w:rFonts w:ascii="Avenir Next LT Pro" w:hAnsi="Avenir Next LT Pro" w:cstheme="minorHAnsi"/>
                <w:sz w:val="20"/>
                <w:szCs w:val="20"/>
                <w:lang w:eastAsia="fr-CA"/>
              </w:rPr>
            </w:pPr>
            <w:r w:rsidRPr="00594690">
              <w:rPr>
                <w:rFonts w:ascii="Avenir Next LT Pro" w:hAnsi="Avenir Next LT Pro" w:cstheme="minorHAnsi"/>
                <w:sz w:val="16"/>
                <w:szCs w:val="16"/>
                <w:lang w:eastAsia="fr-CA"/>
              </w:rPr>
              <w:t>Jalons politiques 2023’ (l) Des ressources non-domestiques innovantes</w:t>
            </w:r>
            <w:r w:rsidRPr="00594690">
              <w:rPr>
                <w:rFonts w:ascii="Arial Nova Cond" w:hAnsi="Arial Nova Cond"/>
                <w:i/>
                <w:iCs/>
                <w:w w:val="110"/>
                <w:sz w:val="16"/>
                <w:szCs w:val="16"/>
                <w:lang w:val="fr-CD"/>
              </w:rPr>
              <w:t xml:space="preserve"> </w:t>
            </w:r>
            <w:r w:rsidRPr="00594690">
              <w:rPr>
                <w:rFonts w:ascii="Avenir Next LT Pro" w:hAnsi="Avenir Next LT Pro" w:cstheme="minorHAnsi"/>
                <w:sz w:val="16"/>
                <w:szCs w:val="16"/>
                <w:lang w:eastAsia="fr-CA"/>
              </w:rPr>
              <w:t>sont</w:t>
            </w:r>
            <w:r w:rsidRPr="00594690">
              <w:rPr>
                <w:rFonts w:ascii="Arial Nova Cond" w:hAnsi="Arial Nova Cond"/>
                <w:i/>
                <w:iCs/>
                <w:w w:val="110"/>
                <w:sz w:val="16"/>
                <w:szCs w:val="16"/>
                <w:lang w:val="fr-CD"/>
              </w:rPr>
              <w:t xml:space="preserve"> </w:t>
            </w:r>
            <w:r w:rsidRPr="00594690">
              <w:rPr>
                <w:rFonts w:ascii="Avenir Next LT Pro" w:hAnsi="Avenir Next LT Pro" w:cstheme="minorHAnsi"/>
                <w:sz w:val="16"/>
                <w:szCs w:val="16"/>
                <w:lang w:eastAsia="fr-CA"/>
              </w:rPr>
              <w:t xml:space="preserve">mobilisées à la mise en œuvre des priorités REDD+, sous forme de contributions directes, co-financement </w:t>
            </w:r>
            <w:r w:rsidRPr="00594690">
              <w:rPr>
                <w:rFonts w:ascii="Avenir Next LT Pro" w:hAnsi="Avenir Next LT Pro" w:cstheme="minorHAnsi"/>
                <w:sz w:val="16"/>
                <w:szCs w:val="16"/>
                <w:lang w:eastAsia="fr-CA"/>
              </w:rPr>
              <w:lastRenderedPageBreak/>
              <w:t>et alignement</w:t>
            </w:r>
          </w:p>
        </w:tc>
        <w:tc>
          <w:tcPr>
            <w:tcW w:w="1484" w:type="dxa"/>
          </w:tcPr>
          <w:p w14:paraId="0324DC15" w14:textId="4A5DF90C" w:rsidR="005D140D" w:rsidRPr="00C345C4" w:rsidRDefault="005D140D" w:rsidP="007F45AB">
            <w:pPr>
              <w:spacing w:after="0"/>
              <w:rPr>
                <w:rFonts w:ascii="Avenir Next LT Pro" w:hAnsi="Avenir Next LT Pro" w:cstheme="minorHAnsi"/>
                <w:sz w:val="20"/>
                <w:szCs w:val="20"/>
                <w:lang w:eastAsia="fr-CA"/>
              </w:rPr>
            </w:pPr>
            <w:r w:rsidRPr="00594690">
              <w:rPr>
                <w:rFonts w:ascii="Avenir Next LT Pro" w:hAnsi="Avenir Next LT Pro" w:cstheme="minorHAnsi"/>
                <w:sz w:val="16"/>
                <w:szCs w:val="16"/>
                <w:lang w:eastAsia="fr-CA"/>
              </w:rPr>
              <w:lastRenderedPageBreak/>
              <w:t>La bonne  gouvernance assurée permettant une mise en œuvre effective, transversale et intégrée, transparente, équitable et durable de partenariat</w:t>
            </w:r>
          </w:p>
        </w:tc>
        <w:tc>
          <w:tcPr>
            <w:tcW w:w="797" w:type="dxa"/>
          </w:tcPr>
          <w:p w14:paraId="381BCA0D" w14:textId="77777777" w:rsidR="005D140D" w:rsidRPr="00C345C4" w:rsidRDefault="005D140D" w:rsidP="005D140D">
            <w:pPr>
              <w:spacing w:after="0"/>
              <w:jc w:val="both"/>
              <w:rPr>
                <w:rFonts w:ascii="Avenir Next LT Pro" w:hAnsi="Avenir Next LT Pro" w:cstheme="minorHAnsi"/>
                <w:sz w:val="20"/>
                <w:szCs w:val="20"/>
                <w:lang w:eastAsia="fr-CA"/>
              </w:rPr>
            </w:pPr>
          </w:p>
        </w:tc>
      </w:tr>
      <w:tr w:rsidR="00096644" w:rsidRPr="00C345C4" w14:paraId="3BC6B097" w14:textId="77777777" w:rsidTr="007F45AB">
        <w:trPr>
          <w:gridAfter w:val="1"/>
          <w:wAfter w:w="28" w:type="dxa"/>
          <w:trHeight w:val="323"/>
        </w:trPr>
        <w:tc>
          <w:tcPr>
            <w:tcW w:w="11332" w:type="dxa"/>
            <w:gridSpan w:val="8"/>
            <w:shd w:val="clear" w:color="auto" w:fill="E8F3D3" w:themeFill="accent2" w:themeFillTint="33"/>
          </w:tcPr>
          <w:p w14:paraId="0E5430D6" w14:textId="7B3EA2D6" w:rsidR="005D140D" w:rsidRPr="00C345C4" w:rsidRDefault="005D140D" w:rsidP="005D140D">
            <w:pPr>
              <w:spacing w:after="0"/>
              <w:jc w:val="both"/>
              <w:rPr>
                <w:rFonts w:ascii="Avenir Next LT Pro" w:hAnsi="Avenir Next LT Pro" w:cstheme="minorHAnsi"/>
                <w:b/>
                <w:sz w:val="20"/>
                <w:szCs w:val="20"/>
                <w:lang w:eastAsia="fr-CA"/>
              </w:rPr>
            </w:pPr>
            <w:r w:rsidRPr="00C345C4">
              <w:rPr>
                <w:rFonts w:ascii="Avenir Next LT Pro" w:hAnsi="Avenir Next LT Pro" w:cstheme="minorHAnsi"/>
                <w:b/>
                <w:sz w:val="20"/>
                <w:szCs w:val="20"/>
                <w:lang w:eastAsia="fr-CA"/>
              </w:rPr>
              <w:t>Produit 1</w:t>
            </w:r>
            <w:r>
              <w:rPr>
                <w:rFonts w:ascii="Avenir Next LT Pro" w:hAnsi="Avenir Next LT Pro" w:cstheme="minorHAnsi"/>
                <w:b/>
                <w:sz w:val="20"/>
                <w:szCs w:val="20"/>
                <w:lang w:eastAsia="fr-CA"/>
              </w:rPr>
              <w:t xml:space="preserve"> </w:t>
            </w:r>
            <w:r w:rsidRPr="00C345C4">
              <w:rPr>
                <w:rFonts w:ascii="Avenir Next LT Pro" w:hAnsi="Avenir Next LT Pro" w:cstheme="minorHAnsi"/>
                <w:b/>
                <w:sz w:val="20"/>
                <w:szCs w:val="20"/>
                <w:lang w:eastAsia="fr-CA"/>
              </w:rPr>
              <w:t xml:space="preserve">: </w:t>
            </w:r>
            <w:r w:rsidRPr="00DE14B9">
              <w:rPr>
                <w:rFonts w:ascii="Avenir Next LT Pro" w:hAnsi="Avenir Next LT Pro" w:cstheme="minorHAnsi"/>
                <w:b/>
                <w:sz w:val="20"/>
                <w:szCs w:val="20"/>
                <w:lang w:eastAsia="fr-CA"/>
              </w:rPr>
              <w:t>Le cadre de gouvernance pour la mise en œuvre de la CDN est établi</w:t>
            </w:r>
          </w:p>
        </w:tc>
        <w:tc>
          <w:tcPr>
            <w:tcW w:w="1213" w:type="dxa"/>
            <w:shd w:val="clear" w:color="auto" w:fill="E8F3D3" w:themeFill="accent2" w:themeFillTint="33"/>
          </w:tcPr>
          <w:p w14:paraId="4EE22781" w14:textId="77777777" w:rsidR="005D140D" w:rsidRPr="00C345C4" w:rsidRDefault="005D140D" w:rsidP="005D140D">
            <w:pPr>
              <w:spacing w:after="0"/>
              <w:jc w:val="both"/>
              <w:rPr>
                <w:rFonts w:ascii="Avenir Next LT Pro" w:hAnsi="Avenir Next LT Pro" w:cstheme="minorHAnsi"/>
                <w:b/>
                <w:sz w:val="20"/>
                <w:szCs w:val="20"/>
                <w:lang w:eastAsia="fr-CA"/>
              </w:rPr>
            </w:pPr>
          </w:p>
        </w:tc>
        <w:tc>
          <w:tcPr>
            <w:tcW w:w="1484" w:type="dxa"/>
            <w:shd w:val="clear" w:color="auto" w:fill="E8F3D3" w:themeFill="accent2" w:themeFillTint="33"/>
          </w:tcPr>
          <w:p w14:paraId="55126EAE" w14:textId="77777777" w:rsidR="005D140D" w:rsidRPr="00C345C4" w:rsidRDefault="005D140D" w:rsidP="005D140D">
            <w:pPr>
              <w:spacing w:after="0"/>
              <w:jc w:val="both"/>
              <w:rPr>
                <w:rFonts w:ascii="Avenir Next LT Pro" w:hAnsi="Avenir Next LT Pro" w:cstheme="minorHAnsi"/>
                <w:b/>
                <w:sz w:val="20"/>
                <w:szCs w:val="20"/>
                <w:lang w:eastAsia="fr-CA"/>
              </w:rPr>
            </w:pPr>
          </w:p>
        </w:tc>
        <w:tc>
          <w:tcPr>
            <w:tcW w:w="797" w:type="dxa"/>
            <w:shd w:val="clear" w:color="auto" w:fill="E8F3D3" w:themeFill="accent2" w:themeFillTint="33"/>
          </w:tcPr>
          <w:p w14:paraId="3F2CFBDA" w14:textId="77777777" w:rsidR="005D140D" w:rsidRPr="00C345C4" w:rsidRDefault="005D140D" w:rsidP="005D140D">
            <w:pPr>
              <w:spacing w:after="0"/>
              <w:jc w:val="both"/>
              <w:rPr>
                <w:rFonts w:ascii="Avenir Next LT Pro" w:hAnsi="Avenir Next LT Pro" w:cstheme="minorHAnsi"/>
                <w:b/>
                <w:sz w:val="20"/>
                <w:szCs w:val="20"/>
                <w:lang w:eastAsia="fr-CA"/>
              </w:rPr>
            </w:pPr>
          </w:p>
        </w:tc>
      </w:tr>
      <w:tr w:rsidR="005D140D" w:rsidRPr="00C345C4" w14:paraId="0F91B1F9" w14:textId="77777777" w:rsidTr="007F45AB">
        <w:trPr>
          <w:gridAfter w:val="1"/>
          <w:wAfter w:w="28" w:type="dxa"/>
          <w:trHeight w:val="143"/>
        </w:trPr>
        <w:tc>
          <w:tcPr>
            <w:tcW w:w="1554" w:type="dxa"/>
            <w:shd w:val="clear" w:color="auto" w:fill="auto"/>
          </w:tcPr>
          <w:p w14:paraId="507154E4" w14:textId="17C5C974" w:rsidR="005D140D" w:rsidRPr="00C345C4" w:rsidRDefault="005D140D" w:rsidP="005D140D">
            <w:pPr>
              <w:spacing w:after="0"/>
              <w:rPr>
                <w:rFonts w:ascii="Avenir Next LT Pro" w:hAnsi="Avenir Next LT Pro" w:cstheme="minorHAnsi"/>
                <w:i/>
                <w:sz w:val="20"/>
                <w:szCs w:val="20"/>
                <w:lang w:eastAsia="fr-CA"/>
              </w:rPr>
            </w:pPr>
            <w:r w:rsidRPr="00BC737C">
              <w:rPr>
                <w:rFonts w:ascii="Avenir Next LT Pro" w:hAnsi="Avenir Next LT Pro" w:cstheme="minorHAnsi"/>
                <w:i/>
                <w:sz w:val="20"/>
                <w:szCs w:val="20"/>
                <w:lang w:eastAsia="fr-CA"/>
              </w:rPr>
              <w:t>Texte de création</w:t>
            </w:r>
            <w:r>
              <w:rPr>
                <w:rFonts w:ascii="Avenir Next LT Pro" w:hAnsi="Avenir Next LT Pro" w:cstheme="minorHAnsi"/>
                <w:i/>
                <w:sz w:val="20"/>
                <w:szCs w:val="20"/>
                <w:lang w:eastAsia="fr-CA"/>
              </w:rPr>
              <w:t xml:space="preserve">, organisation et fonctionnement </w:t>
            </w:r>
            <w:r w:rsidRPr="00BC737C">
              <w:rPr>
                <w:rFonts w:ascii="Avenir Next LT Pro" w:hAnsi="Avenir Next LT Pro" w:cstheme="minorHAnsi"/>
                <w:i/>
                <w:sz w:val="20"/>
                <w:szCs w:val="20"/>
                <w:lang w:eastAsia="fr-CA"/>
              </w:rPr>
              <w:t>de la CNEDD</w:t>
            </w:r>
          </w:p>
        </w:tc>
        <w:tc>
          <w:tcPr>
            <w:tcW w:w="974" w:type="dxa"/>
            <w:shd w:val="clear" w:color="auto" w:fill="auto"/>
          </w:tcPr>
          <w:p w14:paraId="6EA36BF1" w14:textId="77777777" w:rsidR="005D140D" w:rsidRPr="00F11DF1" w:rsidRDefault="005D140D" w:rsidP="005D140D">
            <w:pPr>
              <w:spacing w:after="0"/>
              <w:jc w:val="center"/>
              <w:rPr>
                <w:rFonts w:ascii="Avenir Next LT Pro" w:hAnsi="Avenir Next LT Pro" w:cstheme="minorHAnsi"/>
                <w:sz w:val="20"/>
                <w:szCs w:val="20"/>
                <w:lang w:eastAsia="fr-CA"/>
              </w:rPr>
            </w:pPr>
            <w:r w:rsidRPr="00F11DF1">
              <w:rPr>
                <w:rFonts w:ascii="Avenir Next LT Pro" w:hAnsi="Avenir Next LT Pro" w:cstheme="minorHAnsi"/>
                <w:sz w:val="20"/>
                <w:szCs w:val="20"/>
                <w:lang w:eastAsia="fr-CA"/>
              </w:rPr>
              <w:t>2024</w:t>
            </w:r>
          </w:p>
          <w:p w14:paraId="0E70EB13" w14:textId="77777777" w:rsidR="005D140D" w:rsidRPr="00F11DF1" w:rsidRDefault="005D140D" w:rsidP="005D140D">
            <w:pPr>
              <w:spacing w:after="0"/>
              <w:jc w:val="center"/>
              <w:rPr>
                <w:rFonts w:ascii="Avenir Next LT Pro" w:hAnsi="Avenir Next LT Pro" w:cstheme="minorHAnsi"/>
                <w:sz w:val="20"/>
                <w:szCs w:val="20"/>
                <w:lang w:eastAsia="fr-CA"/>
              </w:rPr>
            </w:pPr>
          </w:p>
          <w:p w14:paraId="26D285F9" w14:textId="47E30097" w:rsidR="005D140D" w:rsidRPr="00C345C4" w:rsidRDefault="005D140D" w:rsidP="005D140D">
            <w:pPr>
              <w:spacing w:after="0"/>
              <w:jc w:val="center"/>
              <w:rPr>
                <w:rFonts w:ascii="Avenir Next LT Pro" w:hAnsi="Avenir Next LT Pro" w:cstheme="minorHAnsi"/>
                <w:sz w:val="20"/>
                <w:szCs w:val="20"/>
                <w:lang w:eastAsia="fr-CA"/>
              </w:rPr>
            </w:pPr>
          </w:p>
        </w:tc>
        <w:tc>
          <w:tcPr>
            <w:tcW w:w="1673" w:type="dxa"/>
            <w:shd w:val="clear" w:color="auto" w:fill="auto"/>
          </w:tcPr>
          <w:p w14:paraId="756A5E72" w14:textId="52B4FC9D"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Draft du texte de création validé</w:t>
            </w:r>
          </w:p>
        </w:tc>
        <w:tc>
          <w:tcPr>
            <w:tcW w:w="1673" w:type="dxa"/>
          </w:tcPr>
          <w:p w14:paraId="2F3E0B7F" w14:textId="02B12B12"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Texte de promulgué</w:t>
            </w:r>
          </w:p>
        </w:tc>
        <w:tc>
          <w:tcPr>
            <w:tcW w:w="992" w:type="dxa"/>
          </w:tcPr>
          <w:p w14:paraId="0CB63613" w14:textId="591F4DC9" w:rsidR="005D140D" w:rsidRPr="00C345C4" w:rsidRDefault="005D140D" w:rsidP="005D140D">
            <w:pPr>
              <w:spacing w:after="0"/>
              <w:jc w:val="center"/>
              <w:rPr>
                <w:rFonts w:ascii="Avenir Next LT Pro" w:hAnsi="Avenir Next LT Pro" w:cstheme="minorHAnsi"/>
                <w:sz w:val="20"/>
                <w:szCs w:val="20"/>
                <w:lang w:eastAsia="fr-CA"/>
              </w:rPr>
            </w:pPr>
            <w:r w:rsidRPr="00D67FF6">
              <w:rPr>
                <w:rFonts w:ascii="Avenir Next LT Pro" w:hAnsi="Avenir Next LT Pro" w:cstheme="minorHAnsi"/>
                <w:sz w:val="20"/>
                <w:szCs w:val="20"/>
                <w:lang w:eastAsia="fr-CA"/>
              </w:rPr>
              <w:t>Journal Officiel</w:t>
            </w:r>
          </w:p>
        </w:tc>
        <w:tc>
          <w:tcPr>
            <w:tcW w:w="1111" w:type="dxa"/>
          </w:tcPr>
          <w:p w14:paraId="2CD2321E" w14:textId="1F99BF1F"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454537B7" w14:textId="72783781"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31FFCACA" w14:textId="70CF667A" w:rsidR="005D140D"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Hypothèse </w:t>
            </w:r>
            <w:r>
              <w:rPr>
                <w:rFonts w:ascii="Avenir Next LT Pro" w:hAnsi="Avenir Next LT Pro" w:cstheme="minorHAnsi"/>
                <w:sz w:val="20"/>
                <w:szCs w:val="20"/>
                <w:lang w:eastAsia="fr-CA"/>
              </w:rPr>
              <w:t>: Des dispositions institutionnels et règlementaires nécessaires sont en place</w:t>
            </w:r>
          </w:p>
          <w:p w14:paraId="0B7745E5" w14:textId="5CFF19DE" w:rsidR="005D140D" w:rsidRPr="00780989"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Risque</w:t>
            </w:r>
            <w:r w:rsidRPr="00780989">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 xml:space="preserve">L’instabilité compromet </w:t>
            </w:r>
            <w:r w:rsidRPr="00C27296">
              <w:rPr>
                <w:rFonts w:ascii="Avenir Next LT Pro" w:hAnsi="Avenir Next LT Pro" w:cstheme="minorHAnsi"/>
                <w:sz w:val="20"/>
                <w:szCs w:val="20"/>
                <w:lang w:eastAsia="fr-CA"/>
              </w:rPr>
              <w:t xml:space="preserve">à </w:t>
            </w:r>
            <w:r>
              <w:rPr>
                <w:rFonts w:ascii="Avenir Next LT Pro" w:hAnsi="Avenir Next LT Pro" w:cstheme="minorHAnsi"/>
                <w:sz w:val="20"/>
                <w:szCs w:val="20"/>
                <w:lang w:eastAsia="fr-CA"/>
              </w:rPr>
              <w:t>la création et opérationnalisation du CNEDD</w:t>
            </w:r>
          </w:p>
        </w:tc>
        <w:tc>
          <w:tcPr>
            <w:tcW w:w="1213" w:type="dxa"/>
          </w:tcPr>
          <w:p w14:paraId="79C11092" w14:textId="595643F4" w:rsidR="005D140D" w:rsidRPr="00C345C4" w:rsidRDefault="005D140D" w:rsidP="007F45AB">
            <w:pPr>
              <w:spacing w:after="0"/>
              <w:rPr>
                <w:rFonts w:ascii="Avenir Next LT Pro" w:hAnsi="Avenir Next LT Pro" w:cstheme="minorHAnsi"/>
                <w:sz w:val="20"/>
                <w:szCs w:val="20"/>
                <w:lang w:eastAsia="fr-CA"/>
              </w:rPr>
            </w:pPr>
            <w:r w:rsidRPr="00523B30">
              <w:rPr>
                <w:rFonts w:ascii="Avenir Next LT Pro" w:hAnsi="Avenir Next LT Pro" w:cstheme="minorHAnsi"/>
                <w:sz w:val="20"/>
                <w:szCs w:val="20"/>
                <w:lang w:eastAsia="fr-CA"/>
              </w:rPr>
              <w:t>Gouvernance et mobilisation des ressources</w:t>
            </w:r>
          </w:p>
        </w:tc>
        <w:tc>
          <w:tcPr>
            <w:tcW w:w="1484" w:type="dxa"/>
          </w:tcPr>
          <w:p w14:paraId="7EA59B95" w14:textId="478D3DA9" w:rsidR="005D140D" w:rsidRPr="00C345C4" w:rsidRDefault="005D140D" w:rsidP="007F45AB">
            <w:pPr>
              <w:spacing w:after="0"/>
              <w:rPr>
                <w:rFonts w:ascii="Avenir Next LT Pro" w:hAnsi="Avenir Next LT Pro" w:cstheme="minorHAnsi"/>
                <w:sz w:val="20"/>
                <w:szCs w:val="20"/>
                <w:lang w:eastAsia="fr-CA"/>
              </w:rPr>
            </w:pPr>
            <w:r w:rsidRPr="00801B1A">
              <w:rPr>
                <w:rFonts w:ascii="Avenir Next LT Pro" w:hAnsi="Avenir Next LT Pro" w:cstheme="minorHAnsi"/>
                <w:sz w:val="20"/>
                <w:szCs w:val="20"/>
                <w:lang w:eastAsia="fr-CA"/>
              </w:rPr>
              <w:t>Mobilisation des ressources non-domestiques innovantes</w:t>
            </w:r>
          </w:p>
        </w:tc>
        <w:tc>
          <w:tcPr>
            <w:tcW w:w="797" w:type="dxa"/>
          </w:tcPr>
          <w:p w14:paraId="324EAEB9" w14:textId="15A4185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6DEA5F11" w14:textId="77777777" w:rsidTr="007F45AB">
        <w:trPr>
          <w:gridAfter w:val="1"/>
          <w:wAfter w:w="28" w:type="dxa"/>
          <w:trHeight w:val="2964"/>
        </w:trPr>
        <w:tc>
          <w:tcPr>
            <w:tcW w:w="1554" w:type="dxa"/>
            <w:shd w:val="clear" w:color="auto" w:fill="auto"/>
          </w:tcPr>
          <w:p w14:paraId="63654ADD" w14:textId="6CD47366" w:rsidR="005D140D" w:rsidRPr="00C345C4" w:rsidRDefault="005D140D" w:rsidP="005D140D">
            <w:pPr>
              <w:spacing w:after="0"/>
              <w:rPr>
                <w:rFonts w:ascii="Avenir Next LT Pro" w:hAnsi="Avenir Next LT Pro" w:cstheme="minorHAnsi"/>
                <w:i/>
                <w:sz w:val="20"/>
                <w:szCs w:val="20"/>
                <w:lang w:eastAsia="fr-CA"/>
              </w:rPr>
            </w:pPr>
            <w:r w:rsidRPr="00C4658A">
              <w:rPr>
                <w:rFonts w:ascii="Avenir Next LT Pro" w:hAnsi="Avenir Next LT Pro" w:cstheme="minorHAnsi"/>
                <w:i/>
                <w:sz w:val="20"/>
                <w:szCs w:val="20"/>
                <w:lang w:eastAsia="fr-CA"/>
              </w:rPr>
              <w:t>Nombre de réunion</w:t>
            </w:r>
            <w:r>
              <w:rPr>
                <w:rFonts w:ascii="Avenir Next LT Pro" w:hAnsi="Avenir Next LT Pro" w:cstheme="minorHAnsi"/>
                <w:i/>
                <w:sz w:val="20"/>
                <w:szCs w:val="20"/>
                <w:lang w:eastAsia="fr-CA"/>
              </w:rPr>
              <w:t>s</w:t>
            </w:r>
            <w:r w:rsidRPr="00C4658A">
              <w:rPr>
                <w:rFonts w:ascii="Avenir Next LT Pro" w:hAnsi="Avenir Next LT Pro" w:cstheme="minorHAnsi"/>
                <w:i/>
                <w:sz w:val="20"/>
                <w:szCs w:val="20"/>
                <w:lang w:eastAsia="fr-CA"/>
              </w:rPr>
              <w:t xml:space="preserve"> du CNEDD</w:t>
            </w:r>
            <w:r w:rsidR="00224788">
              <w:rPr>
                <w:rFonts w:ascii="Avenir Next LT Pro" w:hAnsi="Avenir Next LT Pro" w:cstheme="minorHAnsi"/>
                <w:i/>
                <w:sz w:val="20"/>
                <w:szCs w:val="20"/>
                <w:lang w:eastAsia="fr-CA"/>
              </w:rPr>
              <w:t xml:space="preserve"> organisées et préparées de manière adéquate</w:t>
            </w:r>
          </w:p>
        </w:tc>
        <w:tc>
          <w:tcPr>
            <w:tcW w:w="974" w:type="dxa"/>
            <w:shd w:val="clear" w:color="auto" w:fill="auto"/>
          </w:tcPr>
          <w:p w14:paraId="444241D2" w14:textId="77777777" w:rsidR="005D140D" w:rsidRPr="00484B22" w:rsidRDefault="005D140D" w:rsidP="005D140D">
            <w:pPr>
              <w:spacing w:after="0"/>
              <w:contextualSpacing/>
              <w:rPr>
                <w:rFonts w:ascii="Avenir Next LT Pro" w:hAnsi="Avenir Next LT Pro" w:cstheme="minorHAnsi"/>
                <w:sz w:val="20"/>
                <w:szCs w:val="20"/>
                <w:lang w:eastAsia="fr-CA"/>
              </w:rPr>
            </w:pPr>
            <w:r w:rsidRPr="00484B22">
              <w:rPr>
                <w:rFonts w:ascii="Avenir Next LT Pro" w:hAnsi="Avenir Next LT Pro" w:cstheme="minorHAnsi"/>
                <w:sz w:val="20"/>
                <w:szCs w:val="20"/>
                <w:lang w:eastAsia="fr-CA"/>
              </w:rPr>
              <w:t>2024</w:t>
            </w:r>
          </w:p>
          <w:p w14:paraId="3CE3E8C2" w14:textId="77777777" w:rsidR="005D140D" w:rsidRPr="00484B22" w:rsidRDefault="005D140D" w:rsidP="005D140D">
            <w:pPr>
              <w:spacing w:after="0"/>
              <w:contextualSpacing/>
              <w:rPr>
                <w:rFonts w:ascii="Avenir Next LT Pro" w:hAnsi="Avenir Next LT Pro" w:cstheme="minorHAnsi"/>
                <w:sz w:val="20"/>
                <w:szCs w:val="20"/>
                <w:lang w:eastAsia="fr-CA"/>
              </w:rPr>
            </w:pPr>
          </w:p>
          <w:p w14:paraId="3FF5DCF9" w14:textId="6A9A7DB0" w:rsidR="005D140D" w:rsidRPr="00C345C4" w:rsidRDefault="005D140D" w:rsidP="005D140D">
            <w:pPr>
              <w:spacing w:after="0"/>
              <w:jc w:val="both"/>
              <w:rPr>
                <w:rFonts w:ascii="Avenir Next LT Pro" w:hAnsi="Avenir Next LT Pro" w:cstheme="minorHAnsi"/>
                <w:sz w:val="20"/>
                <w:szCs w:val="20"/>
                <w:lang w:eastAsia="fr-CA"/>
              </w:rPr>
            </w:pPr>
          </w:p>
        </w:tc>
        <w:tc>
          <w:tcPr>
            <w:tcW w:w="1673" w:type="dxa"/>
            <w:shd w:val="clear" w:color="auto" w:fill="auto"/>
          </w:tcPr>
          <w:p w14:paraId="4D21A322" w14:textId="17AF3931" w:rsidR="005D140D" w:rsidRDefault="005D140D" w:rsidP="005D140D">
            <w:pPr>
              <w:spacing w:after="0"/>
              <w:jc w:val="center"/>
              <w:rPr>
                <w:rFonts w:ascii="Avenir Next LT Pro" w:hAnsi="Avenir Next LT Pro" w:cstheme="minorHAnsi"/>
                <w:sz w:val="20"/>
                <w:szCs w:val="20"/>
                <w:lang w:eastAsia="fr-CA"/>
              </w:rPr>
            </w:pPr>
          </w:p>
          <w:p w14:paraId="562B0A62" w14:textId="09454236" w:rsidR="00224788" w:rsidRPr="00C345C4" w:rsidRDefault="00224788"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1673" w:type="dxa"/>
          </w:tcPr>
          <w:p w14:paraId="6860BD20" w14:textId="253A0513"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Le CNEDD est opérationnel</w:t>
            </w:r>
          </w:p>
        </w:tc>
        <w:tc>
          <w:tcPr>
            <w:tcW w:w="992" w:type="dxa"/>
          </w:tcPr>
          <w:p w14:paraId="4C3A27D8" w14:textId="0959B66C" w:rsidR="005D140D" w:rsidRPr="00C345C4" w:rsidRDefault="005D140D" w:rsidP="005D140D">
            <w:pPr>
              <w:spacing w:after="0"/>
              <w:jc w:val="both"/>
              <w:rPr>
                <w:rFonts w:ascii="Avenir Next LT Pro" w:hAnsi="Avenir Next LT Pro" w:cstheme="minorHAnsi"/>
                <w:sz w:val="20"/>
                <w:szCs w:val="20"/>
                <w:lang w:eastAsia="fr-CA"/>
              </w:rPr>
            </w:pPr>
            <w:r w:rsidRPr="00A06384">
              <w:rPr>
                <w:rFonts w:ascii="Avenir Next LT Pro" w:hAnsi="Avenir Next LT Pro" w:cstheme="minorHAnsi"/>
                <w:sz w:val="20"/>
                <w:szCs w:val="20"/>
                <w:lang w:eastAsia="fr-CA"/>
              </w:rPr>
              <w:t>Rapports d’activités</w:t>
            </w:r>
          </w:p>
        </w:tc>
        <w:tc>
          <w:tcPr>
            <w:tcW w:w="1111" w:type="dxa"/>
          </w:tcPr>
          <w:p w14:paraId="1BFC5744" w14:textId="49A18494"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4</w:t>
            </w:r>
          </w:p>
        </w:tc>
        <w:tc>
          <w:tcPr>
            <w:tcW w:w="899" w:type="dxa"/>
          </w:tcPr>
          <w:p w14:paraId="6E1765EE" w14:textId="4AC2362A"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77BEB1F5" w14:textId="668DDBD5" w:rsidR="005D140D"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Hypothèse </w:t>
            </w:r>
            <w:r>
              <w:rPr>
                <w:rFonts w:ascii="Avenir Next LT Pro" w:hAnsi="Avenir Next LT Pro" w:cstheme="minorHAnsi"/>
                <w:sz w:val="20"/>
                <w:szCs w:val="20"/>
                <w:lang w:eastAsia="fr-CA"/>
              </w:rPr>
              <w:t xml:space="preserve">: Le CNEDD dispose des capacités nécessaires pour son fonctionnement effectif  </w:t>
            </w:r>
          </w:p>
          <w:p w14:paraId="12AE3AD9" w14:textId="4025D991" w:rsidR="005D140D" w:rsidRPr="00C345C4"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Risque</w:t>
            </w:r>
            <w:r w:rsidRPr="00780989">
              <w:rPr>
                <w:rFonts w:ascii="Avenir Next LT Pro" w:hAnsi="Avenir Next LT Pro" w:cstheme="minorHAnsi"/>
                <w:sz w:val="20"/>
                <w:szCs w:val="20"/>
                <w:lang w:eastAsia="fr-CA"/>
              </w:rPr>
              <w:t> :</w:t>
            </w:r>
            <w:r>
              <w:rPr>
                <w:rFonts w:ascii="Avenir Next LT Pro" w:hAnsi="Avenir Next LT Pro" w:cstheme="minorHAnsi"/>
                <w:sz w:val="20"/>
                <w:szCs w:val="20"/>
                <w:lang w:eastAsia="fr-CA"/>
              </w:rPr>
              <w:t xml:space="preserve"> </w:t>
            </w:r>
            <w:r w:rsidRPr="00857231">
              <w:rPr>
                <w:rFonts w:ascii="Avenir Next LT Pro" w:hAnsi="Avenir Next LT Pro" w:cstheme="minorHAnsi"/>
                <w:sz w:val="20"/>
                <w:szCs w:val="20"/>
                <w:lang w:eastAsia="fr-CA"/>
              </w:rPr>
              <w:t>Faible participation des ministères</w:t>
            </w:r>
            <w:r>
              <w:rPr>
                <w:rFonts w:ascii="Avenir Next LT Pro" w:hAnsi="Avenir Next LT Pro" w:cstheme="minorHAnsi"/>
                <w:sz w:val="20"/>
                <w:szCs w:val="20"/>
                <w:lang w:eastAsia="fr-CA"/>
              </w:rPr>
              <w:t xml:space="preserve"> sectoriels </w:t>
            </w:r>
            <w:r w:rsidRPr="00857231">
              <w:rPr>
                <w:rFonts w:ascii="Avenir Next LT Pro" w:hAnsi="Avenir Next LT Pro" w:cstheme="minorHAnsi"/>
                <w:sz w:val="20"/>
                <w:szCs w:val="20"/>
                <w:lang w:eastAsia="fr-CA"/>
              </w:rPr>
              <w:t>clés</w:t>
            </w:r>
          </w:p>
        </w:tc>
        <w:tc>
          <w:tcPr>
            <w:tcW w:w="1213" w:type="dxa"/>
          </w:tcPr>
          <w:p w14:paraId="41145326" w14:textId="28FC9317" w:rsidR="005D140D" w:rsidRPr="00C345C4" w:rsidRDefault="005D140D" w:rsidP="007F45AB">
            <w:pPr>
              <w:spacing w:after="0"/>
              <w:rPr>
                <w:rFonts w:ascii="Avenir Next LT Pro" w:hAnsi="Avenir Next LT Pro" w:cstheme="minorHAnsi"/>
                <w:sz w:val="20"/>
                <w:szCs w:val="20"/>
                <w:lang w:eastAsia="fr-CA"/>
              </w:rPr>
            </w:pPr>
            <w:r w:rsidRPr="00406AD7">
              <w:rPr>
                <w:rFonts w:ascii="Avenir Next LT Pro" w:hAnsi="Avenir Next LT Pro" w:cstheme="minorHAnsi"/>
                <w:sz w:val="20"/>
                <w:szCs w:val="20"/>
                <w:lang w:eastAsia="fr-CA"/>
              </w:rPr>
              <w:t>Gouvernance et mobilisation des ressources</w:t>
            </w:r>
          </w:p>
        </w:tc>
        <w:tc>
          <w:tcPr>
            <w:tcW w:w="1484" w:type="dxa"/>
          </w:tcPr>
          <w:p w14:paraId="43C6BB1C" w14:textId="36794A44" w:rsidR="005D140D" w:rsidRPr="00C345C4" w:rsidRDefault="005D140D" w:rsidP="007F45AB">
            <w:pPr>
              <w:spacing w:after="0"/>
              <w:rPr>
                <w:rFonts w:ascii="Avenir Next LT Pro" w:hAnsi="Avenir Next LT Pro" w:cstheme="minorHAnsi"/>
                <w:sz w:val="20"/>
                <w:szCs w:val="20"/>
                <w:lang w:eastAsia="fr-CA"/>
              </w:rPr>
            </w:pPr>
            <w:r w:rsidRPr="00414355">
              <w:rPr>
                <w:rFonts w:ascii="Avenir Next LT Pro" w:hAnsi="Avenir Next LT Pro" w:cstheme="minorHAnsi"/>
                <w:sz w:val="20"/>
                <w:szCs w:val="20"/>
                <w:lang w:eastAsia="fr-CA"/>
              </w:rPr>
              <w:t>Mobilisation des ressources non-domestiques innovantes</w:t>
            </w:r>
          </w:p>
        </w:tc>
        <w:tc>
          <w:tcPr>
            <w:tcW w:w="797" w:type="dxa"/>
          </w:tcPr>
          <w:p w14:paraId="3A050700" w14:textId="53468604" w:rsidR="005D140D" w:rsidRPr="00C345C4" w:rsidRDefault="005D140D" w:rsidP="005D140D">
            <w:pPr>
              <w:spacing w:after="0"/>
              <w:jc w:val="both"/>
              <w:rPr>
                <w:rFonts w:ascii="Avenir Next LT Pro" w:hAnsi="Avenir Next LT Pro" w:cstheme="minorHAnsi"/>
                <w:sz w:val="20"/>
                <w:szCs w:val="20"/>
                <w:lang w:eastAsia="fr-CA"/>
              </w:rPr>
            </w:pPr>
          </w:p>
        </w:tc>
      </w:tr>
      <w:tr w:rsidR="005D140D" w:rsidRPr="00C345C4" w14:paraId="19E684A4" w14:textId="77777777" w:rsidTr="007F45AB">
        <w:trPr>
          <w:gridAfter w:val="1"/>
          <w:wAfter w:w="28" w:type="dxa"/>
          <w:trHeight w:val="230"/>
        </w:trPr>
        <w:tc>
          <w:tcPr>
            <w:tcW w:w="1554" w:type="dxa"/>
            <w:shd w:val="clear" w:color="auto" w:fill="auto"/>
          </w:tcPr>
          <w:p w14:paraId="61D9EA53" w14:textId="265753F6" w:rsidR="005D140D" w:rsidRPr="00C345C4" w:rsidRDefault="005D140D" w:rsidP="005D140D">
            <w:pPr>
              <w:spacing w:after="0"/>
              <w:rPr>
                <w:rFonts w:ascii="Avenir Next LT Pro" w:hAnsi="Avenir Next LT Pro" w:cstheme="minorHAnsi"/>
                <w:i/>
                <w:sz w:val="20"/>
                <w:szCs w:val="20"/>
                <w:lang w:eastAsia="fr-CA"/>
              </w:rPr>
            </w:pPr>
            <w:r w:rsidRPr="00CA4E40">
              <w:rPr>
                <w:rFonts w:ascii="Avenir Next LT Pro" w:hAnsi="Avenir Next LT Pro" w:cstheme="minorHAnsi"/>
                <w:i/>
                <w:sz w:val="20"/>
                <w:szCs w:val="20"/>
                <w:lang w:eastAsia="fr-CA"/>
              </w:rPr>
              <w:t>Textes de création</w:t>
            </w:r>
            <w:r>
              <w:rPr>
                <w:rFonts w:ascii="Avenir Next LT Pro" w:hAnsi="Avenir Next LT Pro" w:cstheme="minorHAnsi"/>
                <w:i/>
                <w:sz w:val="20"/>
                <w:szCs w:val="20"/>
                <w:lang w:eastAsia="fr-CA"/>
              </w:rPr>
              <w:t xml:space="preserve">, organisation et fonctionnement </w:t>
            </w:r>
            <w:r w:rsidRPr="00CA4E40">
              <w:rPr>
                <w:rFonts w:ascii="Avenir Next LT Pro" w:hAnsi="Avenir Next LT Pro" w:cstheme="minorHAnsi"/>
                <w:i/>
                <w:sz w:val="20"/>
                <w:szCs w:val="20"/>
                <w:lang w:eastAsia="fr-CA"/>
              </w:rPr>
              <w:t xml:space="preserve">de la Cellule Technique de la CDN </w:t>
            </w:r>
          </w:p>
        </w:tc>
        <w:tc>
          <w:tcPr>
            <w:tcW w:w="974" w:type="dxa"/>
            <w:shd w:val="clear" w:color="auto" w:fill="auto"/>
          </w:tcPr>
          <w:p w14:paraId="75F21549" w14:textId="77777777" w:rsidR="005D140D" w:rsidRPr="00484B22" w:rsidRDefault="005D140D" w:rsidP="005D140D">
            <w:pPr>
              <w:spacing w:after="0"/>
              <w:contextualSpacing/>
              <w:rPr>
                <w:rFonts w:ascii="Avenir Next LT Pro" w:hAnsi="Avenir Next LT Pro" w:cstheme="minorHAnsi"/>
                <w:sz w:val="20"/>
                <w:szCs w:val="20"/>
                <w:lang w:eastAsia="fr-CA"/>
              </w:rPr>
            </w:pPr>
            <w:r w:rsidRPr="00484B22">
              <w:rPr>
                <w:rFonts w:ascii="Avenir Next LT Pro" w:hAnsi="Avenir Next LT Pro" w:cstheme="minorHAnsi"/>
                <w:sz w:val="20"/>
                <w:szCs w:val="20"/>
                <w:lang w:eastAsia="fr-CA"/>
              </w:rPr>
              <w:t>2024</w:t>
            </w:r>
          </w:p>
          <w:p w14:paraId="63277F96" w14:textId="77777777" w:rsidR="005D140D" w:rsidRPr="00484B22" w:rsidRDefault="005D140D" w:rsidP="005D140D">
            <w:pPr>
              <w:spacing w:after="0"/>
              <w:contextualSpacing/>
              <w:rPr>
                <w:rFonts w:ascii="Avenir Next LT Pro" w:hAnsi="Avenir Next LT Pro" w:cstheme="minorHAnsi"/>
                <w:sz w:val="20"/>
                <w:szCs w:val="20"/>
                <w:lang w:eastAsia="fr-CA"/>
              </w:rPr>
            </w:pPr>
          </w:p>
          <w:p w14:paraId="7FFF5C2C" w14:textId="59EC30EE" w:rsidR="005D140D" w:rsidRPr="00C345C4" w:rsidRDefault="005D140D" w:rsidP="005D140D">
            <w:pPr>
              <w:spacing w:after="0"/>
              <w:jc w:val="both"/>
              <w:rPr>
                <w:rFonts w:ascii="Avenir Next LT Pro" w:hAnsi="Avenir Next LT Pro" w:cstheme="minorHAnsi"/>
                <w:sz w:val="20"/>
                <w:szCs w:val="20"/>
                <w:lang w:eastAsia="fr-CA"/>
              </w:rPr>
            </w:pPr>
          </w:p>
        </w:tc>
        <w:tc>
          <w:tcPr>
            <w:tcW w:w="1673" w:type="dxa"/>
            <w:shd w:val="clear" w:color="auto" w:fill="auto"/>
          </w:tcPr>
          <w:p w14:paraId="02800504" w14:textId="7EE222EB"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Draft du texte de création validé</w:t>
            </w:r>
          </w:p>
        </w:tc>
        <w:tc>
          <w:tcPr>
            <w:tcW w:w="1673" w:type="dxa"/>
          </w:tcPr>
          <w:p w14:paraId="044D15D7" w14:textId="01946E93"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Texte de création promulgué</w:t>
            </w:r>
          </w:p>
        </w:tc>
        <w:tc>
          <w:tcPr>
            <w:tcW w:w="992" w:type="dxa"/>
          </w:tcPr>
          <w:p w14:paraId="1C4B931B" w14:textId="0E13B91D" w:rsidR="005D140D" w:rsidRPr="00484B22" w:rsidRDefault="005D140D" w:rsidP="005D140D">
            <w:pPr>
              <w:spacing w:after="0"/>
              <w:jc w:val="center"/>
              <w:rPr>
                <w:rFonts w:ascii="Avenir Next LT Pro" w:hAnsi="Avenir Next LT Pro" w:cstheme="minorHAnsi"/>
                <w:sz w:val="20"/>
                <w:szCs w:val="20"/>
                <w:lang w:eastAsia="fr-CA"/>
              </w:rPr>
            </w:pPr>
            <w:r w:rsidRPr="00484B22">
              <w:rPr>
                <w:rFonts w:ascii="Avenir Next LT Pro" w:hAnsi="Avenir Next LT Pro" w:cstheme="minorHAnsi"/>
                <w:sz w:val="20"/>
                <w:szCs w:val="20"/>
                <w:lang w:val="fr-CD"/>
              </w:rPr>
              <w:t>Archives, MEDD</w:t>
            </w:r>
          </w:p>
        </w:tc>
        <w:tc>
          <w:tcPr>
            <w:tcW w:w="1111" w:type="dxa"/>
          </w:tcPr>
          <w:p w14:paraId="1A572D8C" w14:textId="3C7BE2D0"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1D7B07AD" w14:textId="24146899"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3D19AFD4" w14:textId="77777777" w:rsidR="005D140D"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Hypothèse </w:t>
            </w:r>
            <w:r>
              <w:rPr>
                <w:rFonts w:ascii="Avenir Next LT Pro" w:hAnsi="Avenir Next LT Pro" w:cstheme="minorHAnsi"/>
                <w:sz w:val="20"/>
                <w:szCs w:val="20"/>
                <w:lang w:eastAsia="fr-CA"/>
              </w:rPr>
              <w:t>: Des dispositions institutionnels et règlementaires nécessaires sont en place</w:t>
            </w:r>
          </w:p>
          <w:p w14:paraId="13E22F56" w14:textId="3B9C874F" w:rsidR="005D140D" w:rsidRPr="00C345C4"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Risque</w:t>
            </w:r>
            <w:r w:rsidRPr="00780989">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 xml:space="preserve">L’instabilité compromet </w:t>
            </w:r>
            <w:r w:rsidRPr="00C27296">
              <w:rPr>
                <w:rFonts w:ascii="Avenir Next LT Pro" w:hAnsi="Avenir Next LT Pro" w:cstheme="minorHAnsi"/>
                <w:sz w:val="20"/>
                <w:szCs w:val="20"/>
                <w:lang w:eastAsia="fr-CA"/>
              </w:rPr>
              <w:t xml:space="preserve">à </w:t>
            </w:r>
            <w:r>
              <w:rPr>
                <w:rFonts w:ascii="Avenir Next LT Pro" w:hAnsi="Avenir Next LT Pro" w:cstheme="minorHAnsi"/>
                <w:sz w:val="20"/>
                <w:szCs w:val="20"/>
                <w:lang w:eastAsia="fr-CA"/>
              </w:rPr>
              <w:t>la création et opérationnalisation du CT-CDN</w:t>
            </w:r>
          </w:p>
        </w:tc>
        <w:tc>
          <w:tcPr>
            <w:tcW w:w="1213" w:type="dxa"/>
          </w:tcPr>
          <w:p w14:paraId="673EA9E7" w14:textId="26221684" w:rsidR="005D140D" w:rsidRPr="00C345C4" w:rsidRDefault="005D140D" w:rsidP="007F45AB">
            <w:pPr>
              <w:spacing w:after="0"/>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Gouvernance et mobilisation des ressources</w:t>
            </w:r>
          </w:p>
        </w:tc>
        <w:tc>
          <w:tcPr>
            <w:tcW w:w="1484" w:type="dxa"/>
          </w:tcPr>
          <w:p w14:paraId="6A08F931" w14:textId="599203DE" w:rsidR="005D140D" w:rsidRPr="00C345C4" w:rsidRDefault="005D140D" w:rsidP="007F45AB">
            <w:pPr>
              <w:spacing w:after="0"/>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Mobilisation des ressources non-domestiques innovantes</w:t>
            </w:r>
          </w:p>
        </w:tc>
        <w:tc>
          <w:tcPr>
            <w:tcW w:w="797" w:type="dxa"/>
          </w:tcPr>
          <w:p w14:paraId="754CAF1B" w14:textId="77777777" w:rsidR="005D140D" w:rsidRPr="00C345C4" w:rsidRDefault="005D140D" w:rsidP="005D140D">
            <w:pPr>
              <w:spacing w:after="0"/>
              <w:jc w:val="both"/>
              <w:rPr>
                <w:rFonts w:ascii="Avenir Next LT Pro" w:hAnsi="Avenir Next LT Pro" w:cstheme="minorHAnsi"/>
                <w:sz w:val="20"/>
                <w:szCs w:val="20"/>
                <w:lang w:eastAsia="fr-CA"/>
              </w:rPr>
            </w:pPr>
          </w:p>
        </w:tc>
      </w:tr>
      <w:tr w:rsidR="005D140D" w:rsidRPr="00C345C4" w14:paraId="4B077E31" w14:textId="77777777" w:rsidTr="007F45AB">
        <w:trPr>
          <w:gridAfter w:val="1"/>
          <w:wAfter w:w="28" w:type="dxa"/>
          <w:trHeight w:val="230"/>
        </w:trPr>
        <w:tc>
          <w:tcPr>
            <w:tcW w:w="1554" w:type="dxa"/>
            <w:shd w:val="clear" w:color="auto" w:fill="auto"/>
          </w:tcPr>
          <w:p w14:paraId="034030CC" w14:textId="41663D94" w:rsidR="005D140D" w:rsidRPr="00C345C4" w:rsidRDefault="005D140D" w:rsidP="005D140D">
            <w:pPr>
              <w:spacing w:after="0"/>
              <w:rPr>
                <w:rFonts w:ascii="Avenir Next LT Pro" w:hAnsi="Avenir Next LT Pro" w:cstheme="minorHAnsi"/>
                <w:i/>
                <w:sz w:val="20"/>
                <w:szCs w:val="20"/>
                <w:lang w:eastAsia="fr-CA"/>
              </w:rPr>
            </w:pPr>
            <w:r w:rsidRPr="00DD29DD">
              <w:rPr>
                <w:rFonts w:ascii="Avenir Next LT Pro" w:hAnsi="Avenir Next LT Pro" w:cstheme="minorHAnsi"/>
                <w:i/>
                <w:sz w:val="20"/>
                <w:szCs w:val="20"/>
                <w:lang w:eastAsia="fr-CA"/>
              </w:rPr>
              <w:lastRenderedPageBreak/>
              <w:t>Nombre de réunions de la Cellule Technique de la CDN</w:t>
            </w:r>
          </w:p>
        </w:tc>
        <w:tc>
          <w:tcPr>
            <w:tcW w:w="974" w:type="dxa"/>
            <w:shd w:val="clear" w:color="auto" w:fill="auto"/>
          </w:tcPr>
          <w:p w14:paraId="38CA5DE6" w14:textId="77777777" w:rsidR="005D140D" w:rsidRPr="00DC17A6" w:rsidRDefault="005D140D" w:rsidP="005D140D">
            <w:pPr>
              <w:spacing w:after="0"/>
              <w:jc w:val="center"/>
              <w:rPr>
                <w:rFonts w:ascii="Avenir Next LT Pro" w:hAnsi="Avenir Next LT Pro" w:cstheme="minorHAnsi"/>
                <w:sz w:val="20"/>
                <w:szCs w:val="20"/>
                <w:lang w:eastAsia="fr-CA"/>
              </w:rPr>
            </w:pPr>
            <w:r w:rsidRPr="00DC17A6">
              <w:rPr>
                <w:rFonts w:ascii="Avenir Next LT Pro" w:hAnsi="Avenir Next LT Pro" w:cstheme="minorHAnsi"/>
                <w:sz w:val="20"/>
                <w:szCs w:val="20"/>
                <w:lang w:eastAsia="fr-CA"/>
              </w:rPr>
              <w:t>2024</w:t>
            </w:r>
          </w:p>
          <w:p w14:paraId="46810A22" w14:textId="77777777" w:rsidR="005D140D" w:rsidRPr="00DC17A6" w:rsidRDefault="005D140D" w:rsidP="005D140D">
            <w:pPr>
              <w:spacing w:after="0"/>
              <w:jc w:val="center"/>
              <w:rPr>
                <w:rFonts w:ascii="Avenir Next LT Pro" w:hAnsi="Avenir Next LT Pro" w:cstheme="minorHAnsi"/>
                <w:sz w:val="20"/>
                <w:szCs w:val="20"/>
                <w:lang w:eastAsia="fr-CA"/>
              </w:rPr>
            </w:pPr>
          </w:p>
          <w:p w14:paraId="509CC086" w14:textId="5F6EA26D" w:rsidR="005D140D" w:rsidRPr="00C345C4" w:rsidRDefault="005D140D" w:rsidP="005D140D">
            <w:pPr>
              <w:spacing w:after="0"/>
              <w:jc w:val="center"/>
              <w:rPr>
                <w:rFonts w:ascii="Avenir Next LT Pro" w:hAnsi="Avenir Next LT Pro" w:cstheme="minorHAnsi"/>
                <w:sz w:val="20"/>
                <w:szCs w:val="20"/>
                <w:lang w:eastAsia="fr-CA"/>
              </w:rPr>
            </w:pPr>
            <w:r w:rsidRPr="00DC17A6">
              <w:rPr>
                <w:rFonts w:ascii="Avenir Next LT Pro" w:hAnsi="Avenir Next LT Pro" w:cstheme="minorHAnsi"/>
                <w:sz w:val="20"/>
                <w:szCs w:val="20"/>
                <w:lang w:eastAsia="fr-CA"/>
              </w:rPr>
              <w:t>Archives, MEDD</w:t>
            </w:r>
          </w:p>
        </w:tc>
        <w:tc>
          <w:tcPr>
            <w:tcW w:w="1673" w:type="dxa"/>
            <w:shd w:val="clear" w:color="auto" w:fill="auto"/>
          </w:tcPr>
          <w:p w14:paraId="2892BA49" w14:textId="50F0127B" w:rsidR="005D140D" w:rsidRPr="00C345C4" w:rsidRDefault="005D140D" w:rsidP="005D140D">
            <w:pPr>
              <w:spacing w:after="0"/>
              <w:jc w:val="center"/>
              <w:rPr>
                <w:rFonts w:ascii="Avenir Next LT Pro" w:hAnsi="Avenir Next LT Pro" w:cstheme="minorHAnsi"/>
                <w:sz w:val="20"/>
                <w:szCs w:val="20"/>
                <w:lang w:eastAsia="fr-CA"/>
              </w:rPr>
            </w:pPr>
            <w:r w:rsidRPr="00DC17A6">
              <w:rPr>
                <w:rFonts w:ascii="Avenir Next LT Pro" w:hAnsi="Avenir Next LT Pro" w:cstheme="minorHAnsi"/>
                <w:sz w:val="20"/>
                <w:szCs w:val="20"/>
                <w:lang w:eastAsia="fr-CA"/>
              </w:rPr>
              <w:t xml:space="preserve">La logistique nécessaire au fonctionnement du </w:t>
            </w:r>
            <w:r>
              <w:rPr>
                <w:rFonts w:ascii="Avenir Next LT Pro" w:hAnsi="Avenir Next LT Pro" w:cstheme="minorHAnsi"/>
                <w:sz w:val="20"/>
                <w:szCs w:val="20"/>
                <w:lang w:eastAsia="fr-CA"/>
              </w:rPr>
              <w:t>CT-CDN</w:t>
            </w:r>
            <w:r w:rsidRPr="00DC17A6">
              <w:rPr>
                <w:rFonts w:ascii="Avenir Next LT Pro" w:hAnsi="Avenir Next LT Pro" w:cstheme="minorHAnsi"/>
                <w:sz w:val="20"/>
                <w:szCs w:val="20"/>
                <w:lang w:eastAsia="fr-CA"/>
              </w:rPr>
              <w:t xml:space="preserve"> est disponible</w:t>
            </w:r>
            <w:r w:rsidR="00C61841">
              <w:rPr>
                <w:rFonts w:ascii="Avenir Next LT Pro" w:hAnsi="Avenir Next LT Pro" w:cstheme="minorHAnsi"/>
                <w:sz w:val="20"/>
                <w:szCs w:val="20"/>
                <w:lang w:eastAsia="fr-CA"/>
              </w:rPr>
              <w:t xml:space="preserve"> (Au moins 3 réunions)</w:t>
            </w:r>
          </w:p>
        </w:tc>
        <w:tc>
          <w:tcPr>
            <w:tcW w:w="1673" w:type="dxa"/>
          </w:tcPr>
          <w:p w14:paraId="200158B0" w14:textId="6D317EC2" w:rsidR="005D140D" w:rsidRPr="00C345C4" w:rsidRDefault="005D140D" w:rsidP="005D140D">
            <w:pPr>
              <w:spacing w:after="0"/>
              <w:jc w:val="center"/>
              <w:rPr>
                <w:rFonts w:ascii="Avenir Next LT Pro" w:hAnsi="Avenir Next LT Pro" w:cstheme="minorHAnsi"/>
                <w:sz w:val="20"/>
                <w:szCs w:val="20"/>
                <w:lang w:eastAsia="fr-CA"/>
              </w:rPr>
            </w:pPr>
            <w:r w:rsidRPr="00502C72">
              <w:rPr>
                <w:rFonts w:ascii="Avenir Next LT Pro" w:hAnsi="Avenir Next LT Pro" w:cstheme="minorHAnsi"/>
                <w:sz w:val="20"/>
                <w:szCs w:val="20"/>
                <w:lang w:eastAsia="fr-CA"/>
              </w:rPr>
              <w:t>L</w:t>
            </w:r>
            <w:r w:rsidR="00B224BF">
              <w:rPr>
                <w:rFonts w:ascii="Avenir Next LT Pro" w:hAnsi="Avenir Next LT Pro" w:cstheme="minorHAnsi"/>
                <w:sz w:val="20"/>
                <w:szCs w:val="20"/>
                <w:lang w:eastAsia="fr-CA"/>
              </w:rPr>
              <w:t xml:space="preserve">a </w:t>
            </w:r>
            <w:r w:rsidRPr="00502C72">
              <w:rPr>
                <w:rFonts w:ascii="Avenir Next LT Pro" w:hAnsi="Avenir Next LT Pro" w:cstheme="minorHAnsi"/>
                <w:sz w:val="20"/>
                <w:szCs w:val="20"/>
                <w:lang w:eastAsia="fr-CA"/>
              </w:rPr>
              <w:t>C</w:t>
            </w:r>
            <w:r>
              <w:rPr>
                <w:rFonts w:ascii="Avenir Next LT Pro" w:hAnsi="Avenir Next LT Pro" w:cstheme="minorHAnsi"/>
                <w:sz w:val="20"/>
                <w:szCs w:val="20"/>
                <w:lang w:eastAsia="fr-CA"/>
              </w:rPr>
              <w:t>T-CDN</w:t>
            </w:r>
            <w:r w:rsidRPr="00502C72">
              <w:rPr>
                <w:rFonts w:ascii="Avenir Next LT Pro" w:hAnsi="Avenir Next LT Pro" w:cstheme="minorHAnsi"/>
                <w:sz w:val="20"/>
                <w:szCs w:val="20"/>
                <w:lang w:eastAsia="fr-CA"/>
              </w:rPr>
              <w:t xml:space="preserve"> est opérationnel</w:t>
            </w:r>
            <w:r w:rsidR="00B224BF">
              <w:rPr>
                <w:rFonts w:ascii="Avenir Next LT Pro" w:hAnsi="Avenir Next LT Pro" w:cstheme="minorHAnsi"/>
                <w:sz w:val="20"/>
                <w:szCs w:val="20"/>
                <w:lang w:eastAsia="fr-CA"/>
              </w:rPr>
              <w:t>le</w:t>
            </w:r>
            <w:r w:rsidR="0046172D">
              <w:rPr>
                <w:rFonts w:ascii="Avenir Next LT Pro" w:hAnsi="Avenir Next LT Pro" w:cstheme="minorHAnsi"/>
                <w:sz w:val="20"/>
                <w:szCs w:val="20"/>
                <w:lang w:eastAsia="fr-CA"/>
              </w:rPr>
              <w:t xml:space="preserve"> </w:t>
            </w:r>
            <w:r w:rsidR="00C61841">
              <w:rPr>
                <w:rFonts w:ascii="Avenir Next LT Pro" w:hAnsi="Avenir Next LT Pro" w:cstheme="minorHAnsi"/>
                <w:sz w:val="20"/>
                <w:szCs w:val="20"/>
                <w:lang w:eastAsia="fr-CA"/>
              </w:rPr>
              <w:t>(Au moins 5)</w:t>
            </w:r>
          </w:p>
        </w:tc>
        <w:tc>
          <w:tcPr>
            <w:tcW w:w="992" w:type="dxa"/>
          </w:tcPr>
          <w:p w14:paraId="6EB42D6E" w14:textId="2031CE01" w:rsidR="005D140D" w:rsidRPr="00C345C4" w:rsidRDefault="005D140D" w:rsidP="005D140D">
            <w:pPr>
              <w:spacing w:after="0"/>
              <w:jc w:val="center"/>
              <w:rPr>
                <w:rFonts w:ascii="Avenir Next LT Pro" w:hAnsi="Avenir Next LT Pro" w:cstheme="minorHAnsi"/>
                <w:sz w:val="20"/>
                <w:szCs w:val="20"/>
                <w:lang w:eastAsia="fr-CA"/>
              </w:rPr>
            </w:pPr>
            <w:r w:rsidRPr="00A06384">
              <w:rPr>
                <w:rFonts w:ascii="Avenir Next LT Pro" w:hAnsi="Avenir Next LT Pro" w:cstheme="minorHAnsi"/>
                <w:sz w:val="20"/>
                <w:szCs w:val="20"/>
                <w:lang w:eastAsia="fr-CA"/>
              </w:rPr>
              <w:t>Rapports d’activités</w:t>
            </w:r>
          </w:p>
        </w:tc>
        <w:tc>
          <w:tcPr>
            <w:tcW w:w="1111" w:type="dxa"/>
          </w:tcPr>
          <w:p w14:paraId="113FB878" w14:textId="4E577CA1"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4</w:t>
            </w:r>
          </w:p>
        </w:tc>
        <w:tc>
          <w:tcPr>
            <w:tcW w:w="899" w:type="dxa"/>
          </w:tcPr>
          <w:p w14:paraId="54948F76" w14:textId="2B598420"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44C21D21" w14:textId="4CC6178C" w:rsidR="005D140D"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Hypothèse </w:t>
            </w:r>
            <w:r>
              <w:rPr>
                <w:rFonts w:ascii="Avenir Next LT Pro" w:hAnsi="Avenir Next LT Pro" w:cstheme="minorHAnsi"/>
                <w:sz w:val="20"/>
                <w:szCs w:val="20"/>
                <w:lang w:eastAsia="fr-CA"/>
              </w:rPr>
              <w:t xml:space="preserve">: Le CT-CDN dispose des capacités nécessaires pour son fonctionnement effectif  </w:t>
            </w:r>
          </w:p>
          <w:p w14:paraId="625080BA" w14:textId="65E44384" w:rsidR="005D140D" w:rsidRPr="00C345C4"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Risque</w:t>
            </w:r>
            <w:r w:rsidRPr="00780989">
              <w:rPr>
                <w:rFonts w:ascii="Avenir Next LT Pro" w:hAnsi="Avenir Next LT Pro" w:cstheme="minorHAnsi"/>
                <w:sz w:val="20"/>
                <w:szCs w:val="20"/>
                <w:lang w:eastAsia="fr-CA"/>
              </w:rPr>
              <w:t> :</w:t>
            </w:r>
            <w:r>
              <w:rPr>
                <w:rFonts w:ascii="Avenir Next LT Pro" w:hAnsi="Avenir Next LT Pro" w:cstheme="minorHAnsi"/>
                <w:sz w:val="20"/>
                <w:szCs w:val="20"/>
                <w:lang w:eastAsia="fr-CA"/>
              </w:rPr>
              <w:t xml:space="preserve"> </w:t>
            </w:r>
            <w:r w:rsidRPr="00857231">
              <w:rPr>
                <w:rFonts w:ascii="Avenir Next LT Pro" w:hAnsi="Avenir Next LT Pro" w:cstheme="minorHAnsi"/>
                <w:sz w:val="20"/>
                <w:szCs w:val="20"/>
                <w:lang w:eastAsia="fr-CA"/>
              </w:rPr>
              <w:t>Faible participation des ministères</w:t>
            </w:r>
            <w:r>
              <w:rPr>
                <w:rFonts w:ascii="Avenir Next LT Pro" w:hAnsi="Avenir Next LT Pro" w:cstheme="minorHAnsi"/>
                <w:sz w:val="20"/>
                <w:szCs w:val="20"/>
                <w:lang w:eastAsia="fr-CA"/>
              </w:rPr>
              <w:t xml:space="preserve"> sectoriels </w:t>
            </w:r>
            <w:r w:rsidRPr="00857231">
              <w:rPr>
                <w:rFonts w:ascii="Avenir Next LT Pro" w:hAnsi="Avenir Next LT Pro" w:cstheme="minorHAnsi"/>
                <w:sz w:val="20"/>
                <w:szCs w:val="20"/>
                <w:lang w:eastAsia="fr-CA"/>
              </w:rPr>
              <w:t>clés</w:t>
            </w:r>
          </w:p>
        </w:tc>
        <w:tc>
          <w:tcPr>
            <w:tcW w:w="1213" w:type="dxa"/>
          </w:tcPr>
          <w:p w14:paraId="456737C3" w14:textId="514BA4DC" w:rsidR="005D140D" w:rsidRPr="00C345C4" w:rsidRDefault="005D140D" w:rsidP="005D140D">
            <w:pPr>
              <w:spacing w:after="0"/>
              <w:jc w:val="center"/>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Gouvernance et mobilisation des ressources</w:t>
            </w:r>
          </w:p>
        </w:tc>
        <w:tc>
          <w:tcPr>
            <w:tcW w:w="1484" w:type="dxa"/>
          </w:tcPr>
          <w:p w14:paraId="23D305AA" w14:textId="7E964C63" w:rsidR="005D140D" w:rsidRPr="00C345C4" w:rsidRDefault="005D140D" w:rsidP="005D140D">
            <w:pPr>
              <w:spacing w:after="0"/>
              <w:jc w:val="center"/>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Mobilisation des ressources non-domestiques innovantes</w:t>
            </w:r>
          </w:p>
        </w:tc>
        <w:tc>
          <w:tcPr>
            <w:tcW w:w="797" w:type="dxa"/>
          </w:tcPr>
          <w:p w14:paraId="718D0BB8" w14:textId="77777777" w:rsidR="005D140D" w:rsidRPr="00C345C4" w:rsidRDefault="005D140D" w:rsidP="005D140D">
            <w:pPr>
              <w:spacing w:after="0"/>
              <w:jc w:val="both"/>
              <w:rPr>
                <w:rFonts w:ascii="Avenir Next LT Pro" w:hAnsi="Avenir Next LT Pro" w:cstheme="minorHAnsi"/>
                <w:sz w:val="20"/>
                <w:szCs w:val="20"/>
                <w:lang w:eastAsia="fr-CA"/>
              </w:rPr>
            </w:pPr>
          </w:p>
        </w:tc>
      </w:tr>
      <w:tr w:rsidR="005D140D" w:rsidRPr="00C345C4" w14:paraId="6BB53663" w14:textId="77777777" w:rsidTr="007F45AB">
        <w:trPr>
          <w:gridAfter w:val="1"/>
          <w:wAfter w:w="28" w:type="dxa"/>
          <w:trHeight w:val="230"/>
        </w:trPr>
        <w:tc>
          <w:tcPr>
            <w:tcW w:w="1554" w:type="dxa"/>
            <w:shd w:val="clear" w:color="auto" w:fill="auto"/>
          </w:tcPr>
          <w:p w14:paraId="0485FB53" w14:textId="462CAA68" w:rsidR="005D140D" w:rsidRPr="00C345C4" w:rsidRDefault="005D140D" w:rsidP="005D140D">
            <w:pPr>
              <w:spacing w:after="0"/>
              <w:rPr>
                <w:rFonts w:ascii="Avenir Next LT Pro" w:hAnsi="Avenir Next LT Pro" w:cstheme="minorHAnsi"/>
                <w:i/>
                <w:sz w:val="20"/>
                <w:szCs w:val="20"/>
                <w:lang w:eastAsia="fr-CA"/>
              </w:rPr>
            </w:pPr>
            <w:r w:rsidRPr="000203EB">
              <w:rPr>
                <w:rFonts w:ascii="Avenir Next LT Pro" w:hAnsi="Avenir Next LT Pro" w:cstheme="minorHAnsi"/>
                <w:i/>
                <w:sz w:val="20"/>
                <w:szCs w:val="20"/>
                <w:lang w:eastAsia="fr-CA"/>
              </w:rPr>
              <w:t>Existence d’un Système de MRV de la CDN opérationnel</w:t>
            </w:r>
          </w:p>
        </w:tc>
        <w:tc>
          <w:tcPr>
            <w:tcW w:w="974" w:type="dxa"/>
            <w:shd w:val="clear" w:color="auto" w:fill="auto"/>
          </w:tcPr>
          <w:p w14:paraId="2BC241FF" w14:textId="77777777" w:rsidR="005D140D" w:rsidRPr="00484B22" w:rsidRDefault="005D140D" w:rsidP="005D140D">
            <w:pPr>
              <w:spacing w:after="0"/>
              <w:contextualSpacing/>
              <w:jc w:val="center"/>
              <w:rPr>
                <w:rFonts w:ascii="Avenir Next LT Pro" w:hAnsi="Avenir Next LT Pro" w:cstheme="minorHAnsi"/>
                <w:sz w:val="20"/>
                <w:szCs w:val="20"/>
                <w:lang w:eastAsia="fr-CA"/>
              </w:rPr>
            </w:pPr>
            <w:r w:rsidRPr="00484B22">
              <w:rPr>
                <w:rFonts w:ascii="Avenir Next LT Pro" w:hAnsi="Avenir Next LT Pro" w:cstheme="minorHAnsi"/>
                <w:sz w:val="20"/>
                <w:szCs w:val="20"/>
                <w:lang w:eastAsia="fr-CA"/>
              </w:rPr>
              <w:t>2024</w:t>
            </w:r>
          </w:p>
          <w:p w14:paraId="566AB03F" w14:textId="77777777" w:rsidR="005D140D" w:rsidRPr="00484B22" w:rsidRDefault="005D140D" w:rsidP="005D140D">
            <w:pPr>
              <w:spacing w:after="0"/>
              <w:contextualSpacing/>
              <w:jc w:val="center"/>
              <w:rPr>
                <w:rFonts w:ascii="Avenir Next LT Pro" w:hAnsi="Avenir Next LT Pro" w:cstheme="minorHAnsi"/>
                <w:sz w:val="20"/>
                <w:szCs w:val="20"/>
                <w:lang w:eastAsia="fr-CA"/>
              </w:rPr>
            </w:pPr>
          </w:p>
          <w:p w14:paraId="55F84E35" w14:textId="77777777" w:rsidR="005D140D" w:rsidRPr="00484B22" w:rsidRDefault="005D140D" w:rsidP="005D140D">
            <w:pPr>
              <w:spacing w:after="0"/>
              <w:contextualSpacing/>
              <w:jc w:val="center"/>
              <w:rPr>
                <w:rFonts w:ascii="Avenir Next LT Pro" w:hAnsi="Avenir Next LT Pro" w:cstheme="minorHAnsi"/>
                <w:sz w:val="20"/>
                <w:szCs w:val="20"/>
                <w:lang w:eastAsia="fr-CA"/>
              </w:rPr>
            </w:pPr>
          </w:p>
          <w:p w14:paraId="23074E0F" w14:textId="551E0648" w:rsidR="005D140D" w:rsidRPr="00484B22" w:rsidRDefault="005D140D" w:rsidP="005D140D">
            <w:pPr>
              <w:spacing w:after="0"/>
              <w:jc w:val="center"/>
              <w:rPr>
                <w:rFonts w:ascii="Avenir Next LT Pro" w:hAnsi="Avenir Next LT Pro" w:cstheme="minorHAnsi"/>
                <w:sz w:val="20"/>
                <w:szCs w:val="20"/>
                <w:lang w:eastAsia="fr-CA"/>
              </w:rPr>
            </w:pPr>
          </w:p>
        </w:tc>
        <w:tc>
          <w:tcPr>
            <w:tcW w:w="1673" w:type="dxa"/>
            <w:shd w:val="clear" w:color="auto" w:fill="auto"/>
          </w:tcPr>
          <w:p w14:paraId="6A4A640C" w14:textId="0F4E7B1B" w:rsidR="005D140D" w:rsidRPr="00484B22" w:rsidRDefault="005D140D" w:rsidP="005D140D">
            <w:pPr>
              <w:spacing w:after="0"/>
              <w:jc w:val="center"/>
              <w:rPr>
                <w:rFonts w:ascii="Avenir Next LT Pro" w:hAnsi="Avenir Next LT Pro" w:cstheme="minorHAnsi"/>
                <w:sz w:val="20"/>
                <w:szCs w:val="20"/>
                <w:lang w:eastAsia="fr-CA"/>
              </w:rPr>
            </w:pPr>
            <w:r w:rsidRPr="00484B22">
              <w:rPr>
                <w:rFonts w:ascii="Avenir Next LT Pro" w:hAnsi="Avenir Next LT Pro" w:cstheme="minorHAnsi"/>
                <w:sz w:val="20"/>
                <w:szCs w:val="20"/>
              </w:rPr>
              <w:t xml:space="preserve">Système MRV est configuré </w:t>
            </w:r>
          </w:p>
        </w:tc>
        <w:tc>
          <w:tcPr>
            <w:tcW w:w="1673" w:type="dxa"/>
          </w:tcPr>
          <w:p w14:paraId="45533DD4" w14:textId="2FC3BE6B" w:rsidR="005D140D" w:rsidRPr="00484B22" w:rsidRDefault="005D140D" w:rsidP="005D140D">
            <w:pPr>
              <w:spacing w:after="0"/>
              <w:contextualSpacing/>
              <w:jc w:val="center"/>
              <w:rPr>
                <w:rFonts w:ascii="Avenir Next LT Pro" w:hAnsi="Avenir Next LT Pro" w:cstheme="minorHAnsi"/>
                <w:sz w:val="20"/>
                <w:szCs w:val="20"/>
              </w:rPr>
            </w:pPr>
            <w:r w:rsidRPr="00484B22">
              <w:rPr>
                <w:rFonts w:ascii="Avenir Next LT Pro" w:hAnsi="Avenir Next LT Pro" w:cstheme="minorHAnsi"/>
                <w:sz w:val="20"/>
                <w:szCs w:val="20"/>
              </w:rPr>
              <w:t>Système MRV de la CDN fonctionnel</w:t>
            </w:r>
          </w:p>
          <w:p w14:paraId="42ED0EF4" w14:textId="77777777" w:rsidR="005D140D" w:rsidRPr="00C345C4" w:rsidRDefault="005D140D" w:rsidP="005D140D">
            <w:pPr>
              <w:spacing w:after="0"/>
              <w:jc w:val="center"/>
              <w:rPr>
                <w:rFonts w:ascii="Avenir Next LT Pro" w:hAnsi="Avenir Next LT Pro" w:cstheme="minorHAnsi"/>
                <w:sz w:val="20"/>
                <w:szCs w:val="20"/>
                <w:lang w:eastAsia="fr-CA"/>
              </w:rPr>
            </w:pPr>
          </w:p>
        </w:tc>
        <w:tc>
          <w:tcPr>
            <w:tcW w:w="992" w:type="dxa"/>
          </w:tcPr>
          <w:p w14:paraId="1B638461" w14:textId="019B272A" w:rsidR="005D140D" w:rsidRPr="00484B22" w:rsidRDefault="005D140D" w:rsidP="005D140D">
            <w:pPr>
              <w:spacing w:after="0"/>
              <w:jc w:val="center"/>
              <w:rPr>
                <w:rFonts w:ascii="Avenir Next LT Pro" w:hAnsi="Avenir Next LT Pro" w:cstheme="minorHAnsi"/>
                <w:sz w:val="20"/>
                <w:szCs w:val="20"/>
                <w:lang w:eastAsia="fr-CA"/>
              </w:rPr>
            </w:pPr>
            <w:r w:rsidRPr="00484B22">
              <w:rPr>
                <w:rFonts w:ascii="Avenir Next LT Pro" w:hAnsi="Avenir Next LT Pro" w:cstheme="minorHAnsi"/>
                <w:sz w:val="20"/>
                <w:szCs w:val="20"/>
                <w:lang w:val="fr-CD"/>
              </w:rPr>
              <w:t>Plateforme MRV en ligne</w:t>
            </w:r>
          </w:p>
        </w:tc>
        <w:tc>
          <w:tcPr>
            <w:tcW w:w="1111" w:type="dxa"/>
          </w:tcPr>
          <w:p w14:paraId="53DA39A1" w14:textId="3364C4EB"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75E1BEC2" w14:textId="4B20AD33"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1AD159F3" w14:textId="4E057580" w:rsidR="005D140D"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Hypothèse </w:t>
            </w:r>
            <w:r>
              <w:rPr>
                <w:rFonts w:ascii="Avenir Next LT Pro" w:hAnsi="Avenir Next LT Pro" w:cstheme="minorHAnsi"/>
                <w:sz w:val="20"/>
                <w:szCs w:val="20"/>
                <w:lang w:eastAsia="fr-CA"/>
              </w:rPr>
              <w:t xml:space="preserve">: Le MEDD dispose des infrastructure adéquate pour le bon fonctionnement du système  </w:t>
            </w:r>
          </w:p>
          <w:p w14:paraId="7060208B" w14:textId="5FC8F373" w:rsidR="005D140D" w:rsidRPr="00C345C4"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Risque</w:t>
            </w:r>
            <w:r w:rsidRPr="00780989">
              <w:rPr>
                <w:rFonts w:ascii="Avenir Next LT Pro" w:hAnsi="Avenir Next LT Pro" w:cstheme="minorHAnsi"/>
                <w:sz w:val="20"/>
                <w:szCs w:val="20"/>
                <w:lang w:eastAsia="fr-CA"/>
              </w:rPr>
              <w:t> :</w:t>
            </w:r>
            <w:r>
              <w:rPr>
                <w:rFonts w:ascii="Avenir Next LT Pro" w:hAnsi="Avenir Next LT Pro" w:cstheme="minorHAnsi"/>
                <w:sz w:val="20"/>
                <w:szCs w:val="20"/>
                <w:lang w:eastAsia="fr-CA"/>
              </w:rPr>
              <w:t xml:space="preserve"> Données et informations non disponibles</w:t>
            </w:r>
          </w:p>
        </w:tc>
        <w:tc>
          <w:tcPr>
            <w:tcW w:w="1213" w:type="dxa"/>
          </w:tcPr>
          <w:p w14:paraId="32CD6F4E" w14:textId="47648953" w:rsidR="005D140D" w:rsidRPr="00C345C4" w:rsidRDefault="005D140D" w:rsidP="005D140D">
            <w:pPr>
              <w:spacing w:after="0"/>
              <w:jc w:val="center"/>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Gouvernance et mobilisation des ressources</w:t>
            </w:r>
          </w:p>
        </w:tc>
        <w:tc>
          <w:tcPr>
            <w:tcW w:w="1484" w:type="dxa"/>
          </w:tcPr>
          <w:p w14:paraId="0E33D217" w14:textId="609A8752" w:rsidR="005D140D" w:rsidRPr="00C345C4" w:rsidRDefault="005D140D" w:rsidP="005D140D">
            <w:pPr>
              <w:spacing w:after="0"/>
              <w:jc w:val="center"/>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Mobilisation des ressources non-domestiques innovantes</w:t>
            </w:r>
          </w:p>
        </w:tc>
        <w:tc>
          <w:tcPr>
            <w:tcW w:w="797" w:type="dxa"/>
          </w:tcPr>
          <w:p w14:paraId="750F6C28" w14:textId="77777777" w:rsidR="005D140D" w:rsidRPr="00C345C4" w:rsidRDefault="005D140D" w:rsidP="005D140D">
            <w:pPr>
              <w:spacing w:after="0"/>
              <w:jc w:val="both"/>
              <w:rPr>
                <w:rFonts w:ascii="Avenir Next LT Pro" w:hAnsi="Avenir Next LT Pro" w:cstheme="minorHAnsi"/>
                <w:sz w:val="20"/>
                <w:szCs w:val="20"/>
                <w:lang w:eastAsia="fr-CA"/>
              </w:rPr>
            </w:pPr>
          </w:p>
        </w:tc>
      </w:tr>
      <w:tr w:rsidR="005D140D" w:rsidRPr="00C345C4" w14:paraId="0B8787B1" w14:textId="77777777" w:rsidTr="007F45AB">
        <w:trPr>
          <w:gridAfter w:val="1"/>
          <w:wAfter w:w="28" w:type="dxa"/>
          <w:trHeight w:val="230"/>
        </w:trPr>
        <w:tc>
          <w:tcPr>
            <w:tcW w:w="1554" w:type="dxa"/>
            <w:shd w:val="clear" w:color="auto" w:fill="auto"/>
          </w:tcPr>
          <w:p w14:paraId="1D82D330" w14:textId="4018021D" w:rsidR="005D140D" w:rsidRPr="00C345C4" w:rsidRDefault="005D140D" w:rsidP="005D140D">
            <w:pPr>
              <w:spacing w:after="0"/>
              <w:rPr>
                <w:rFonts w:ascii="Avenir Next LT Pro" w:hAnsi="Avenir Next LT Pro" w:cstheme="minorHAnsi"/>
                <w:i/>
                <w:sz w:val="20"/>
                <w:szCs w:val="20"/>
                <w:lang w:eastAsia="fr-CA"/>
              </w:rPr>
            </w:pPr>
            <w:r w:rsidRPr="00D00630">
              <w:rPr>
                <w:rFonts w:ascii="Avenir Next LT Pro" w:hAnsi="Avenir Next LT Pro" w:cstheme="minorHAnsi"/>
                <w:i/>
                <w:sz w:val="20"/>
                <w:szCs w:val="20"/>
                <w:lang w:eastAsia="fr-CA"/>
              </w:rPr>
              <w:t>Nombre de rapports annuels produits (désagrégés par secteur)</w:t>
            </w:r>
          </w:p>
        </w:tc>
        <w:tc>
          <w:tcPr>
            <w:tcW w:w="974" w:type="dxa"/>
            <w:shd w:val="clear" w:color="auto" w:fill="auto"/>
          </w:tcPr>
          <w:p w14:paraId="5BE0ABEB" w14:textId="77777777" w:rsidR="005D140D" w:rsidRPr="00484B22" w:rsidRDefault="005D140D" w:rsidP="005D140D">
            <w:pPr>
              <w:spacing w:after="0"/>
              <w:contextualSpacing/>
              <w:jc w:val="center"/>
              <w:rPr>
                <w:rFonts w:ascii="Avenir Next LT Pro" w:hAnsi="Avenir Next LT Pro" w:cstheme="minorHAnsi"/>
                <w:sz w:val="20"/>
                <w:szCs w:val="20"/>
                <w:lang w:eastAsia="fr-CA"/>
              </w:rPr>
            </w:pPr>
            <w:r w:rsidRPr="00484B22">
              <w:rPr>
                <w:rFonts w:ascii="Avenir Next LT Pro" w:hAnsi="Avenir Next LT Pro" w:cstheme="minorHAnsi"/>
                <w:sz w:val="20"/>
                <w:szCs w:val="20"/>
                <w:lang w:eastAsia="fr-CA"/>
              </w:rPr>
              <w:t>2024</w:t>
            </w:r>
          </w:p>
          <w:p w14:paraId="55302CD6" w14:textId="77777777" w:rsidR="005D140D" w:rsidRPr="00484B22" w:rsidRDefault="005D140D" w:rsidP="005D140D">
            <w:pPr>
              <w:spacing w:after="0"/>
              <w:contextualSpacing/>
              <w:jc w:val="center"/>
              <w:rPr>
                <w:rFonts w:ascii="Avenir Next LT Pro" w:hAnsi="Avenir Next LT Pro" w:cstheme="minorHAnsi"/>
                <w:sz w:val="20"/>
                <w:szCs w:val="20"/>
                <w:lang w:eastAsia="fr-CA"/>
              </w:rPr>
            </w:pPr>
          </w:p>
          <w:p w14:paraId="3EECA41E" w14:textId="7BE3E09A" w:rsidR="005D140D" w:rsidRPr="00484B22" w:rsidRDefault="005D140D" w:rsidP="005D140D">
            <w:pPr>
              <w:spacing w:after="0"/>
              <w:jc w:val="center"/>
              <w:rPr>
                <w:rFonts w:ascii="Avenir Next LT Pro" w:hAnsi="Avenir Next LT Pro" w:cstheme="minorHAnsi"/>
                <w:sz w:val="20"/>
                <w:szCs w:val="20"/>
                <w:lang w:eastAsia="fr-CA"/>
              </w:rPr>
            </w:pPr>
          </w:p>
        </w:tc>
        <w:tc>
          <w:tcPr>
            <w:tcW w:w="1673" w:type="dxa"/>
            <w:shd w:val="clear" w:color="auto" w:fill="auto"/>
          </w:tcPr>
          <w:p w14:paraId="1760D7E9" w14:textId="676DF4B2"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Draft rapports sectoriels disponibles</w:t>
            </w:r>
            <w:r w:rsidR="00C61841">
              <w:rPr>
                <w:rFonts w:ascii="Avenir Next LT Pro" w:hAnsi="Avenir Next LT Pro" w:cstheme="minorHAnsi"/>
                <w:sz w:val="20"/>
                <w:szCs w:val="20"/>
                <w:lang w:eastAsia="fr-CA"/>
              </w:rPr>
              <w:t xml:space="preserve"> (au moins 2 drafts de rapports)</w:t>
            </w:r>
          </w:p>
        </w:tc>
        <w:tc>
          <w:tcPr>
            <w:tcW w:w="1673" w:type="dxa"/>
          </w:tcPr>
          <w:p w14:paraId="2AD360B1" w14:textId="77777777" w:rsidR="005D140D" w:rsidRPr="00484B22" w:rsidRDefault="005D140D" w:rsidP="005D140D">
            <w:pPr>
              <w:spacing w:after="0"/>
              <w:contextualSpacing/>
              <w:rPr>
                <w:rFonts w:ascii="Avenir Next LT Pro" w:hAnsi="Avenir Next LT Pro" w:cstheme="minorHAnsi"/>
                <w:sz w:val="20"/>
                <w:szCs w:val="20"/>
              </w:rPr>
            </w:pPr>
            <w:r w:rsidRPr="00484B22">
              <w:rPr>
                <w:rFonts w:ascii="Avenir Next LT Pro" w:hAnsi="Avenir Next LT Pro" w:cstheme="minorHAnsi"/>
                <w:sz w:val="20"/>
                <w:szCs w:val="20"/>
              </w:rPr>
              <w:t>Rapports sectoriels</w:t>
            </w:r>
          </w:p>
          <w:p w14:paraId="7947C448" w14:textId="2F387EDA" w:rsidR="005D140D" w:rsidRPr="00484B22" w:rsidRDefault="00C61841" w:rsidP="005D140D">
            <w:pPr>
              <w:spacing w:after="0"/>
              <w:jc w:val="center"/>
              <w:rPr>
                <w:rFonts w:ascii="Avenir Next LT Pro" w:hAnsi="Avenir Next LT Pro" w:cstheme="minorHAnsi"/>
                <w:sz w:val="20"/>
                <w:szCs w:val="20"/>
                <w:lang w:eastAsia="fr-CA"/>
              </w:rPr>
            </w:pPr>
            <w:r w:rsidRPr="00484B22">
              <w:rPr>
                <w:rFonts w:ascii="Avenir Next LT Pro" w:hAnsi="Avenir Next LT Pro" w:cstheme="minorHAnsi"/>
                <w:sz w:val="20"/>
                <w:szCs w:val="20"/>
              </w:rPr>
              <w:t>D</w:t>
            </w:r>
            <w:r w:rsidR="005D140D" w:rsidRPr="00484B22">
              <w:rPr>
                <w:rFonts w:ascii="Avenir Next LT Pro" w:hAnsi="Avenir Next LT Pro" w:cstheme="minorHAnsi"/>
                <w:sz w:val="20"/>
                <w:szCs w:val="20"/>
              </w:rPr>
              <w:t>isponibles</w:t>
            </w:r>
            <w:r>
              <w:rPr>
                <w:rFonts w:ascii="Avenir Next LT Pro" w:hAnsi="Avenir Next LT Pro" w:cstheme="minorHAnsi"/>
                <w:sz w:val="20"/>
                <w:szCs w:val="20"/>
              </w:rPr>
              <w:t xml:space="preserve"> (au moins 4 rapports)</w:t>
            </w:r>
          </w:p>
        </w:tc>
        <w:tc>
          <w:tcPr>
            <w:tcW w:w="992" w:type="dxa"/>
          </w:tcPr>
          <w:p w14:paraId="5141F8AA" w14:textId="1D58401A" w:rsidR="005D140D" w:rsidRPr="00484B22" w:rsidRDefault="005D140D" w:rsidP="005D140D">
            <w:pPr>
              <w:spacing w:after="0"/>
              <w:jc w:val="center"/>
              <w:rPr>
                <w:rFonts w:ascii="Avenir Next LT Pro" w:hAnsi="Avenir Next LT Pro" w:cstheme="minorHAnsi"/>
                <w:sz w:val="20"/>
                <w:szCs w:val="20"/>
                <w:lang w:eastAsia="fr-CA"/>
              </w:rPr>
            </w:pPr>
            <w:r w:rsidRPr="00484B22">
              <w:rPr>
                <w:rFonts w:ascii="Avenir Next LT Pro" w:hAnsi="Avenir Next LT Pro" w:cstheme="minorHAnsi"/>
                <w:sz w:val="20"/>
                <w:szCs w:val="20"/>
                <w:lang w:val="fr-CD"/>
              </w:rPr>
              <w:t>Rapport d’activités MEDD</w:t>
            </w:r>
          </w:p>
        </w:tc>
        <w:tc>
          <w:tcPr>
            <w:tcW w:w="1111" w:type="dxa"/>
          </w:tcPr>
          <w:p w14:paraId="6AED6AFF" w14:textId="06F8ECD7"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312E9F4A" w14:textId="02C3BC71"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60F6DC07" w14:textId="77777777" w:rsidR="005D140D"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Hypothèse </w:t>
            </w:r>
            <w:r>
              <w:rPr>
                <w:rFonts w:ascii="Avenir Next LT Pro" w:hAnsi="Avenir Next LT Pro" w:cstheme="minorHAnsi"/>
                <w:sz w:val="20"/>
                <w:szCs w:val="20"/>
                <w:lang w:eastAsia="fr-CA"/>
              </w:rPr>
              <w:t xml:space="preserve">: Le MEDD dispose des infrastructure adéquate pour le bon fonctionnement du système  </w:t>
            </w:r>
          </w:p>
          <w:p w14:paraId="64A1AE06" w14:textId="7963ECC1" w:rsidR="005D140D" w:rsidRPr="00C345C4"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Risque</w:t>
            </w:r>
            <w:r w:rsidRPr="00780989">
              <w:rPr>
                <w:rFonts w:ascii="Avenir Next LT Pro" w:hAnsi="Avenir Next LT Pro" w:cstheme="minorHAnsi"/>
                <w:sz w:val="20"/>
                <w:szCs w:val="20"/>
                <w:lang w:eastAsia="fr-CA"/>
              </w:rPr>
              <w:t> :</w:t>
            </w:r>
            <w:r>
              <w:rPr>
                <w:rFonts w:ascii="Avenir Next LT Pro" w:hAnsi="Avenir Next LT Pro" w:cstheme="minorHAnsi"/>
                <w:sz w:val="20"/>
                <w:szCs w:val="20"/>
                <w:lang w:eastAsia="fr-CA"/>
              </w:rPr>
              <w:t xml:space="preserve"> Données et informations non disponibles</w:t>
            </w:r>
          </w:p>
        </w:tc>
        <w:tc>
          <w:tcPr>
            <w:tcW w:w="1213" w:type="dxa"/>
          </w:tcPr>
          <w:p w14:paraId="299E1BB6" w14:textId="72F6F412" w:rsidR="005D140D" w:rsidRPr="00C345C4" w:rsidRDefault="005D140D" w:rsidP="005D140D">
            <w:pPr>
              <w:spacing w:after="0"/>
              <w:jc w:val="center"/>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Gouvernance et mobilisation des ressources</w:t>
            </w:r>
          </w:p>
        </w:tc>
        <w:tc>
          <w:tcPr>
            <w:tcW w:w="1484" w:type="dxa"/>
          </w:tcPr>
          <w:p w14:paraId="3199CE70" w14:textId="6262E863" w:rsidR="005D140D" w:rsidRPr="00C345C4" w:rsidRDefault="005D140D" w:rsidP="005D140D">
            <w:pPr>
              <w:spacing w:after="0"/>
              <w:jc w:val="center"/>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Mobilisation des ressources non-domestiques innovantes</w:t>
            </w:r>
          </w:p>
        </w:tc>
        <w:tc>
          <w:tcPr>
            <w:tcW w:w="797" w:type="dxa"/>
          </w:tcPr>
          <w:p w14:paraId="749176CD" w14:textId="77777777" w:rsidR="005D140D" w:rsidRPr="00C345C4" w:rsidRDefault="005D140D" w:rsidP="005D140D">
            <w:pPr>
              <w:spacing w:after="0"/>
              <w:jc w:val="both"/>
              <w:rPr>
                <w:rFonts w:ascii="Avenir Next LT Pro" w:hAnsi="Avenir Next LT Pro" w:cstheme="minorHAnsi"/>
                <w:sz w:val="20"/>
                <w:szCs w:val="20"/>
                <w:lang w:eastAsia="fr-CA"/>
              </w:rPr>
            </w:pPr>
          </w:p>
        </w:tc>
      </w:tr>
      <w:tr w:rsidR="005D140D" w:rsidRPr="00C345C4" w14:paraId="4E11DC58" w14:textId="77777777" w:rsidTr="004641B3">
        <w:trPr>
          <w:trHeight w:val="323"/>
        </w:trPr>
        <w:tc>
          <w:tcPr>
            <w:tcW w:w="14854" w:type="dxa"/>
            <w:gridSpan w:val="12"/>
            <w:shd w:val="clear" w:color="auto" w:fill="E8F3D3" w:themeFill="accent2" w:themeFillTint="33"/>
            <w:vAlign w:val="center"/>
          </w:tcPr>
          <w:p w14:paraId="5CE165F9" w14:textId="57F534B9" w:rsidR="005D140D" w:rsidRPr="00C345C4" w:rsidRDefault="005D140D" w:rsidP="005D140D">
            <w:pPr>
              <w:spacing w:after="0"/>
              <w:jc w:val="both"/>
              <w:rPr>
                <w:rFonts w:ascii="Avenir Next LT Pro" w:hAnsi="Avenir Next LT Pro" w:cstheme="minorHAnsi"/>
                <w:b/>
                <w:sz w:val="20"/>
                <w:szCs w:val="20"/>
                <w:lang w:eastAsia="fr-CA"/>
              </w:rPr>
            </w:pPr>
            <w:r w:rsidRPr="00C345C4">
              <w:rPr>
                <w:rFonts w:ascii="Avenir Next LT Pro" w:hAnsi="Avenir Next LT Pro" w:cstheme="minorHAnsi"/>
                <w:b/>
                <w:sz w:val="20"/>
                <w:szCs w:val="20"/>
                <w:lang w:eastAsia="fr-CA"/>
              </w:rPr>
              <w:t>Produit 2</w:t>
            </w:r>
            <w:r>
              <w:rPr>
                <w:rFonts w:ascii="Avenir Next LT Pro" w:hAnsi="Avenir Next LT Pro" w:cstheme="minorHAnsi"/>
                <w:b/>
                <w:sz w:val="20"/>
                <w:szCs w:val="20"/>
                <w:lang w:eastAsia="fr-CA"/>
              </w:rPr>
              <w:t xml:space="preserve"> : </w:t>
            </w:r>
            <w:r w:rsidRPr="00EC6B70">
              <w:rPr>
                <w:rFonts w:ascii="Avenir Next LT Pro" w:hAnsi="Avenir Next LT Pro" w:cstheme="minorHAnsi"/>
                <w:b/>
                <w:sz w:val="20"/>
                <w:szCs w:val="20"/>
                <w:lang w:eastAsia="fr-CA"/>
              </w:rPr>
              <w:t xml:space="preserve">Le cadre de gouvernance pour le déploiement des marchés du carbone est renforcé   </w:t>
            </w:r>
          </w:p>
        </w:tc>
      </w:tr>
      <w:tr w:rsidR="005D140D" w:rsidRPr="00C345C4" w14:paraId="7937BF8D" w14:textId="77777777" w:rsidTr="007F45AB">
        <w:trPr>
          <w:gridAfter w:val="1"/>
          <w:wAfter w:w="28" w:type="dxa"/>
          <w:trHeight w:val="230"/>
        </w:trPr>
        <w:tc>
          <w:tcPr>
            <w:tcW w:w="1554" w:type="dxa"/>
            <w:shd w:val="clear" w:color="auto" w:fill="auto"/>
          </w:tcPr>
          <w:p w14:paraId="1E3F0279" w14:textId="531631AC" w:rsidR="005D140D" w:rsidRPr="00C345C4" w:rsidRDefault="005D140D" w:rsidP="005D140D">
            <w:pPr>
              <w:spacing w:after="0"/>
              <w:rPr>
                <w:rFonts w:ascii="Avenir Next LT Pro" w:hAnsi="Avenir Next LT Pro" w:cstheme="minorHAnsi"/>
                <w:i/>
                <w:sz w:val="20"/>
                <w:szCs w:val="20"/>
                <w:lang w:eastAsia="fr-CA"/>
              </w:rPr>
            </w:pPr>
            <w:r w:rsidRPr="00B070B1">
              <w:rPr>
                <w:rFonts w:ascii="Avenir Next LT Pro" w:hAnsi="Avenir Next LT Pro" w:cstheme="minorHAnsi"/>
                <w:i/>
                <w:sz w:val="20"/>
                <w:szCs w:val="20"/>
                <w:lang w:eastAsia="fr-CA"/>
              </w:rPr>
              <w:t>Existence de la stratégie nationale sur les marchés du carbone</w:t>
            </w:r>
          </w:p>
        </w:tc>
        <w:tc>
          <w:tcPr>
            <w:tcW w:w="974" w:type="dxa"/>
            <w:shd w:val="clear" w:color="auto" w:fill="auto"/>
          </w:tcPr>
          <w:p w14:paraId="4B8C2689" w14:textId="77777777" w:rsidR="005D140D" w:rsidRPr="00D30616" w:rsidRDefault="005D140D" w:rsidP="005D140D">
            <w:pPr>
              <w:spacing w:after="0"/>
              <w:jc w:val="center"/>
              <w:rPr>
                <w:rFonts w:ascii="Avenir Next LT Pro" w:hAnsi="Avenir Next LT Pro" w:cstheme="minorHAnsi"/>
                <w:sz w:val="20"/>
                <w:szCs w:val="20"/>
                <w:lang w:val="it-IT" w:eastAsia="fr-CA"/>
              </w:rPr>
            </w:pPr>
            <w:r w:rsidRPr="00D30616">
              <w:rPr>
                <w:rFonts w:ascii="Avenir Next LT Pro" w:hAnsi="Avenir Next LT Pro" w:cstheme="minorHAnsi"/>
                <w:sz w:val="20"/>
                <w:szCs w:val="20"/>
                <w:lang w:val="it-IT" w:eastAsia="fr-CA"/>
              </w:rPr>
              <w:t>2024</w:t>
            </w:r>
          </w:p>
          <w:p w14:paraId="5AAF2485" w14:textId="77777777" w:rsidR="005D140D" w:rsidRPr="00D30616" w:rsidRDefault="005D140D" w:rsidP="005D140D">
            <w:pPr>
              <w:spacing w:after="0"/>
              <w:jc w:val="center"/>
              <w:rPr>
                <w:rFonts w:ascii="Avenir Next LT Pro" w:hAnsi="Avenir Next LT Pro" w:cstheme="minorHAnsi"/>
                <w:sz w:val="20"/>
                <w:szCs w:val="20"/>
                <w:lang w:val="it-IT" w:eastAsia="fr-CA"/>
              </w:rPr>
            </w:pPr>
          </w:p>
          <w:p w14:paraId="724EA203" w14:textId="0C18D87D" w:rsidR="005D140D" w:rsidRPr="00E877FB" w:rsidRDefault="005D140D" w:rsidP="005D140D">
            <w:pPr>
              <w:spacing w:after="0"/>
              <w:jc w:val="center"/>
              <w:rPr>
                <w:rFonts w:ascii="Avenir Next LT Pro" w:hAnsi="Avenir Next LT Pro" w:cstheme="minorHAnsi"/>
                <w:sz w:val="20"/>
                <w:szCs w:val="20"/>
                <w:lang w:val="it-IT" w:eastAsia="fr-CA"/>
              </w:rPr>
            </w:pPr>
            <w:r w:rsidRPr="00D30616">
              <w:rPr>
                <w:rFonts w:ascii="Avenir Next LT Pro" w:hAnsi="Avenir Next LT Pro" w:cstheme="minorHAnsi"/>
                <w:sz w:val="20"/>
                <w:szCs w:val="20"/>
                <w:lang w:val="it-IT" w:eastAsia="fr-CA"/>
              </w:rPr>
              <w:t xml:space="preserve">Archives MEDD, ARMCA, PNUD, </w:t>
            </w:r>
            <w:r w:rsidRPr="00D30616">
              <w:rPr>
                <w:rFonts w:ascii="Avenir Next LT Pro" w:hAnsi="Avenir Next LT Pro" w:cstheme="minorHAnsi"/>
                <w:sz w:val="20"/>
                <w:szCs w:val="20"/>
                <w:lang w:val="it-IT" w:eastAsia="fr-CA"/>
              </w:rPr>
              <w:lastRenderedPageBreak/>
              <w:t>FONAREDD</w:t>
            </w:r>
          </w:p>
        </w:tc>
        <w:tc>
          <w:tcPr>
            <w:tcW w:w="1673" w:type="dxa"/>
            <w:shd w:val="clear" w:color="auto" w:fill="auto"/>
          </w:tcPr>
          <w:p w14:paraId="66B688F4" w14:textId="39D404D2" w:rsidR="005D140D" w:rsidRPr="005220A7" w:rsidRDefault="005D140D" w:rsidP="005D140D">
            <w:pPr>
              <w:spacing w:after="0"/>
              <w:jc w:val="center"/>
              <w:rPr>
                <w:rFonts w:ascii="Avenir Next LT Pro" w:hAnsi="Avenir Next LT Pro" w:cstheme="minorHAnsi"/>
                <w:sz w:val="20"/>
                <w:szCs w:val="20"/>
                <w:lang w:eastAsia="fr-CA"/>
              </w:rPr>
            </w:pPr>
            <w:r w:rsidRPr="005220A7">
              <w:rPr>
                <w:rFonts w:ascii="Avenir Next LT Pro" w:hAnsi="Avenir Next LT Pro" w:cstheme="minorHAnsi"/>
                <w:sz w:val="20"/>
                <w:szCs w:val="20"/>
                <w:lang w:eastAsia="fr-CA"/>
              </w:rPr>
              <w:lastRenderedPageBreak/>
              <w:t>L</w:t>
            </w:r>
            <w:r>
              <w:rPr>
                <w:rFonts w:ascii="Avenir Next LT Pro" w:hAnsi="Avenir Next LT Pro" w:cstheme="minorHAnsi"/>
                <w:sz w:val="20"/>
                <w:szCs w:val="20"/>
                <w:lang w:eastAsia="fr-CA"/>
              </w:rPr>
              <w:t>e draft de l</w:t>
            </w:r>
            <w:r w:rsidRPr="005220A7">
              <w:rPr>
                <w:rFonts w:ascii="Avenir Next LT Pro" w:hAnsi="Avenir Next LT Pro" w:cstheme="minorHAnsi"/>
                <w:sz w:val="20"/>
                <w:szCs w:val="20"/>
                <w:lang w:eastAsia="fr-CA"/>
              </w:rPr>
              <w:t xml:space="preserve">a stratégie nationale sur les marchés du carbone est </w:t>
            </w:r>
            <w:r>
              <w:rPr>
                <w:rFonts w:ascii="Avenir Next LT Pro" w:hAnsi="Avenir Next LT Pro" w:cstheme="minorHAnsi"/>
                <w:sz w:val="20"/>
                <w:szCs w:val="20"/>
                <w:lang w:eastAsia="fr-CA"/>
              </w:rPr>
              <w:t>disponible</w:t>
            </w:r>
            <w:r w:rsidRPr="005220A7">
              <w:rPr>
                <w:rFonts w:ascii="Avenir Next LT Pro" w:hAnsi="Avenir Next LT Pro" w:cstheme="minorHAnsi"/>
                <w:sz w:val="20"/>
                <w:szCs w:val="20"/>
                <w:lang w:eastAsia="fr-CA"/>
              </w:rPr>
              <w:t xml:space="preserve"> </w:t>
            </w:r>
          </w:p>
          <w:p w14:paraId="4DAA46EC" w14:textId="77777777" w:rsidR="005D140D" w:rsidRPr="00C345C4" w:rsidRDefault="005D140D" w:rsidP="005D140D">
            <w:pPr>
              <w:spacing w:after="0"/>
              <w:jc w:val="center"/>
              <w:rPr>
                <w:rFonts w:ascii="Avenir Next LT Pro" w:hAnsi="Avenir Next LT Pro" w:cstheme="minorHAnsi"/>
                <w:sz w:val="20"/>
                <w:szCs w:val="20"/>
                <w:lang w:eastAsia="fr-CA"/>
              </w:rPr>
            </w:pPr>
          </w:p>
        </w:tc>
        <w:tc>
          <w:tcPr>
            <w:tcW w:w="1673" w:type="dxa"/>
          </w:tcPr>
          <w:p w14:paraId="0B29B73A" w14:textId="4BAFF427" w:rsidR="005D140D" w:rsidRPr="00F37F40" w:rsidRDefault="005D140D" w:rsidP="005D140D">
            <w:pPr>
              <w:spacing w:after="0"/>
              <w:jc w:val="center"/>
              <w:rPr>
                <w:rFonts w:ascii="Avenir Next LT Pro" w:hAnsi="Avenir Next LT Pro" w:cstheme="minorHAnsi"/>
                <w:sz w:val="20"/>
                <w:szCs w:val="20"/>
                <w:lang w:eastAsia="fr-CA"/>
              </w:rPr>
            </w:pPr>
            <w:r w:rsidRPr="00F37F40">
              <w:rPr>
                <w:rFonts w:ascii="Avenir Next LT Pro" w:hAnsi="Avenir Next LT Pro" w:cstheme="minorHAnsi"/>
                <w:sz w:val="20"/>
                <w:szCs w:val="20"/>
                <w:lang w:eastAsia="fr-CA"/>
              </w:rPr>
              <w:t xml:space="preserve">La stratégie nationale sur les marchés du carbone est </w:t>
            </w:r>
            <w:r>
              <w:rPr>
                <w:rFonts w:ascii="Avenir Next LT Pro" w:hAnsi="Avenir Next LT Pro" w:cstheme="minorHAnsi"/>
                <w:sz w:val="20"/>
                <w:szCs w:val="20"/>
                <w:lang w:eastAsia="fr-CA"/>
              </w:rPr>
              <w:t>validée</w:t>
            </w:r>
            <w:r w:rsidRPr="00F37F40">
              <w:rPr>
                <w:rFonts w:ascii="Avenir Next LT Pro" w:hAnsi="Avenir Next LT Pro" w:cstheme="minorHAnsi"/>
                <w:sz w:val="20"/>
                <w:szCs w:val="20"/>
                <w:lang w:eastAsia="fr-CA"/>
              </w:rPr>
              <w:t xml:space="preserve"> </w:t>
            </w:r>
          </w:p>
          <w:p w14:paraId="7FDE7610" w14:textId="77777777" w:rsidR="005D140D" w:rsidRPr="00C345C4" w:rsidRDefault="005D140D" w:rsidP="005D140D">
            <w:pPr>
              <w:spacing w:after="0"/>
              <w:jc w:val="center"/>
              <w:rPr>
                <w:rFonts w:ascii="Avenir Next LT Pro" w:hAnsi="Avenir Next LT Pro" w:cstheme="minorHAnsi"/>
                <w:sz w:val="20"/>
                <w:szCs w:val="20"/>
                <w:lang w:eastAsia="fr-CA"/>
              </w:rPr>
            </w:pPr>
          </w:p>
        </w:tc>
        <w:tc>
          <w:tcPr>
            <w:tcW w:w="992" w:type="dxa"/>
          </w:tcPr>
          <w:p w14:paraId="186FB310" w14:textId="17C9DA6E" w:rsidR="005D140D" w:rsidRPr="00C345C4" w:rsidRDefault="005D140D" w:rsidP="005D140D">
            <w:pPr>
              <w:spacing w:after="0"/>
              <w:jc w:val="center"/>
              <w:rPr>
                <w:rFonts w:ascii="Avenir Next LT Pro" w:hAnsi="Avenir Next LT Pro" w:cstheme="minorHAnsi"/>
                <w:sz w:val="20"/>
                <w:szCs w:val="20"/>
                <w:lang w:eastAsia="fr-CA"/>
              </w:rPr>
            </w:pPr>
            <w:r w:rsidRPr="00915D0B">
              <w:rPr>
                <w:rFonts w:ascii="Avenir Next LT Pro" w:hAnsi="Avenir Next LT Pro" w:cstheme="minorHAnsi"/>
                <w:sz w:val="20"/>
                <w:szCs w:val="20"/>
                <w:lang w:eastAsia="fr-CA"/>
              </w:rPr>
              <w:t>Rapports d’activités</w:t>
            </w:r>
            <w:r>
              <w:rPr>
                <w:rFonts w:ascii="Avenir Next LT Pro" w:hAnsi="Avenir Next LT Pro" w:cstheme="minorHAnsi"/>
                <w:sz w:val="20"/>
                <w:szCs w:val="20"/>
                <w:lang w:eastAsia="fr-CA"/>
              </w:rPr>
              <w:t> ; Archives</w:t>
            </w:r>
          </w:p>
        </w:tc>
        <w:tc>
          <w:tcPr>
            <w:tcW w:w="1111" w:type="dxa"/>
          </w:tcPr>
          <w:p w14:paraId="7E94E6CC" w14:textId="140A013D"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103532CC" w14:textId="33588C82"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72B14184" w14:textId="2982F0EB" w:rsidR="005D140D"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Hypothèse </w:t>
            </w:r>
            <w:r>
              <w:rPr>
                <w:rFonts w:ascii="Avenir Next LT Pro" w:hAnsi="Avenir Next LT Pro" w:cstheme="minorHAnsi"/>
                <w:sz w:val="20"/>
                <w:szCs w:val="20"/>
                <w:lang w:eastAsia="fr-CA"/>
              </w:rPr>
              <w:t>: L’élaboration de la stratégie est inclusive et participative</w:t>
            </w:r>
          </w:p>
          <w:p w14:paraId="63EA889C" w14:textId="47390413" w:rsidR="005D140D" w:rsidRPr="00C345C4" w:rsidRDefault="005D140D" w:rsidP="005D140D">
            <w:pPr>
              <w:spacing w:after="0"/>
              <w:jc w:val="center"/>
              <w:rPr>
                <w:rFonts w:ascii="Avenir Next LT Pro" w:hAnsi="Avenir Next LT Pro" w:cstheme="minorHAnsi"/>
                <w:sz w:val="20"/>
                <w:szCs w:val="20"/>
                <w:lang w:eastAsia="fr-CA"/>
              </w:rPr>
            </w:pPr>
            <w:r w:rsidRPr="00BC4D3F">
              <w:rPr>
                <w:rFonts w:ascii="Avenir Next LT Pro" w:hAnsi="Avenir Next LT Pro" w:cstheme="minorHAnsi"/>
                <w:b/>
                <w:bCs/>
                <w:sz w:val="20"/>
                <w:szCs w:val="20"/>
                <w:lang w:eastAsia="fr-CA"/>
              </w:rPr>
              <w:t>Risque</w:t>
            </w:r>
            <w:r w:rsidRPr="00780989">
              <w:rPr>
                <w:rFonts w:ascii="Avenir Next LT Pro" w:hAnsi="Avenir Next LT Pro" w:cstheme="minorHAnsi"/>
                <w:sz w:val="20"/>
                <w:szCs w:val="20"/>
                <w:lang w:eastAsia="fr-CA"/>
              </w:rPr>
              <w:t> :</w:t>
            </w:r>
            <w:r>
              <w:rPr>
                <w:rFonts w:ascii="Avenir Next LT Pro" w:hAnsi="Avenir Next LT Pro" w:cstheme="minorHAnsi"/>
                <w:sz w:val="20"/>
                <w:szCs w:val="20"/>
                <w:lang w:eastAsia="fr-CA"/>
              </w:rPr>
              <w:t xml:space="preserve"> </w:t>
            </w:r>
            <w:r w:rsidRPr="00E364A2">
              <w:rPr>
                <w:rFonts w:ascii="Avenir Next LT Pro" w:hAnsi="Avenir Next LT Pro" w:cstheme="minorHAnsi"/>
                <w:sz w:val="20"/>
                <w:szCs w:val="20"/>
                <w:lang w:eastAsia="fr-CA"/>
              </w:rPr>
              <w:t>Financement limité pour la mise en œuvre de la stratégie</w:t>
            </w:r>
          </w:p>
        </w:tc>
        <w:tc>
          <w:tcPr>
            <w:tcW w:w="1213" w:type="dxa"/>
          </w:tcPr>
          <w:p w14:paraId="3787B3F8" w14:textId="414204B3" w:rsidR="005D140D" w:rsidRPr="00C345C4" w:rsidRDefault="005D140D" w:rsidP="005D140D">
            <w:pPr>
              <w:spacing w:after="0"/>
              <w:jc w:val="center"/>
              <w:rPr>
                <w:rFonts w:ascii="Avenir Next LT Pro" w:hAnsi="Avenir Next LT Pro" w:cstheme="minorHAnsi"/>
                <w:sz w:val="20"/>
                <w:szCs w:val="20"/>
                <w:lang w:eastAsia="fr-CA"/>
              </w:rPr>
            </w:pPr>
            <w:r w:rsidRPr="006313E9">
              <w:rPr>
                <w:rFonts w:ascii="Avenir Next LT Pro" w:hAnsi="Avenir Next LT Pro" w:cstheme="minorHAnsi"/>
                <w:sz w:val="20"/>
                <w:szCs w:val="20"/>
                <w:lang w:eastAsia="fr-CA"/>
              </w:rPr>
              <w:t>Gouvernance et mobilisation des ressources</w:t>
            </w:r>
          </w:p>
        </w:tc>
        <w:tc>
          <w:tcPr>
            <w:tcW w:w="1484" w:type="dxa"/>
          </w:tcPr>
          <w:p w14:paraId="6C100F20" w14:textId="595BCDE6" w:rsidR="005D140D" w:rsidRPr="00C345C4" w:rsidRDefault="005D140D" w:rsidP="005D140D">
            <w:pPr>
              <w:spacing w:after="0"/>
              <w:jc w:val="center"/>
              <w:rPr>
                <w:rFonts w:ascii="Avenir Next LT Pro" w:hAnsi="Avenir Next LT Pro" w:cstheme="minorHAnsi"/>
                <w:sz w:val="20"/>
                <w:szCs w:val="20"/>
                <w:lang w:eastAsia="fr-CA"/>
              </w:rPr>
            </w:pPr>
            <w:r w:rsidRPr="00FA027B">
              <w:rPr>
                <w:rFonts w:ascii="Avenir Next LT Pro" w:hAnsi="Avenir Next LT Pro" w:cstheme="minorHAnsi"/>
                <w:sz w:val="20"/>
                <w:szCs w:val="20"/>
                <w:lang w:eastAsia="fr-CA"/>
              </w:rPr>
              <w:t>Mobilisation des ressources non-domestiques innovantes</w:t>
            </w:r>
          </w:p>
        </w:tc>
        <w:tc>
          <w:tcPr>
            <w:tcW w:w="797" w:type="dxa"/>
          </w:tcPr>
          <w:p w14:paraId="3F213D41"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121FBE71" w14:textId="77777777" w:rsidTr="007F45AB">
        <w:trPr>
          <w:gridAfter w:val="1"/>
          <w:wAfter w:w="28" w:type="dxa"/>
          <w:trHeight w:val="230"/>
        </w:trPr>
        <w:tc>
          <w:tcPr>
            <w:tcW w:w="1554" w:type="dxa"/>
            <w:shd w:val="clear" w:color="auto" w:fill="auto"/>
          </w:tcPr>
          <w:p w14:paraId="6ABC755D" w14:textId="13602F10" w:rsidR="005D140D" w:rsidRPr="00C345C4" w:rsidRDefault="005D140D" w:rsidP="005D140D">
            <w:pPr>
              <w:spacing w:after="0"/>
              <w:rPr>
                <w:rFonts w:ascii="Avenir Next LT Pro" w:hAnsi="Avenir Next LT Pro" w:cstheme="minorHAnsi"/>
                <w:i/>
                <w:sz w:val="20"/>
                <w:szCs w:val="20"/>
                <w:lang w:eastAsia="fr-CA"/>
              </w:rPr>
            </w:pPr>
            <w:r w:rsidRPr="001A1AF4">
              <w:rPr>
                <w:rFonts w:ascii="Avenir Next LT Pro" w:hAnsi="Avenir Next LT Pro" w:cstheme="minorHAnsi"/>
                <w:i/>
                <w:sz w:val="20"/>
                <w:szCs w:val="20"/>
                <w:lang w:eastAsia="fr-CA"/>
              </w:rPr>
              <w:t>Existence d’un plan opérationnel de l’ARMCA</w:t>
            </w:r>
          </w:p>
        </w:tc>
        <w:tc>
          <w:tcPr>
            <w:tcW w:w="974" w:type="dxa"/>
            <w:shd w:val="clear" w:color="auto" w:fill="auto"/>
          </w:tcPr>
          <w:p w14:paraId="58432145"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22602969"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5AEF556A" w14:textId="5E2176B6"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ARMCA, PNUD, FONAREDD</w:t>
            </w:r>
          </w:p>
        </w:tc>
        <w:tc>
          <w:tcPr>
            <w:tcW w:w="1673" w:type="dxa"/>
            <w:shd w:val="clear" w:color="auto" w:fill="auto"/>
          </w:tcPr>
          <w:p w14:paraId="2AAC9B2D" w14:textId="436569A4" w:rsidR="005D140D" w:rsidRPr="00C345C4" w:rsidRDefault="005D140D" w:rsidP="005D140D">
            <w:pPr>
              <w:spacing w:after="0"/>
              <w:jc w:val="center"/>
              <w:rPr>
                <w:rFonts w:ascii="Avenir Next LT Pro" w:hAnsi="Avenir Next LT Pro" w:cstheme="minorHAnsi"/>
                <w:sz w:val="20"/>
                <w:szCs w:val="20"/>
                <w:lang w:eastAsia="fr-CA"/>
              </w:rPr>
            </w:pPr>
            <w:r w:rsidRPr="00883991">
              <w:rPr>
                <w:rFonts w:ascii="Avenir Next LT Pro" w:hAnsi="Avenir Next LT Pro" w:cstheme="minorHAnsi"/>
                <w:sz w:val="20"/>
                <w:szCs w:val="20"/>
                <w:lang w:eastAsia="fr-CA"/>
              </w:rPr>
              <w:t xml:space="preserve">Le </w:t>
            </w:r>
            <w:r>
              <w:rPr>
                <w:rFonts w:ascii="Avenir Next LT Pro" w:hAnsi="Avenir Next LT Pro" w:cstheme="minorHAnsi"/>
                <w:sz w:val="20"/>
                <w:szCs w:val="20"/>
                <w:lang w:eastAsia="fr-CA"/>
              </w:rPr>
              <w:t xml:space="preserve">draft du </w:t>
            </w:r>
            <w:r w:rsidRPr="00883991">
              <w:rPr>
                <w:rFonts w:ascii="Avenir Next LT Pro" w:hAnsi="Avenir Next LT Pro" w:cstheme="minorHAnsi"/>
                <w:sz w:val="20"/>
                <w:szCs w:val="20"/>
                <w:lang w:eastAsia="fr-CA"/>
              </w:rPr>
              <w:t xml:space="preserve">plan opérationnel de l’ARMCA est </w:t>
            </w:r>
            <w:r>
              <w:rPr>
                <w:rFonts w:ascii="Avenir Next LT Pro" w:hAnsi="Avenir Next LT Pro" w:cstheme="minorHAnsi"/>
                <w:sz w:val="20"/>
                <w:szCs w:val="20"/>
                <w:lang w:eastAsia="fr-CA"/>
              </w:rPr>
              <w:t>disponible</w:t>
            </w:r>
          </w:p>
        </w:tc>
        <w:tc>
          <w:tcPr>
            <w:tcW w:w="1673" w:type="dxa"/>
          </w:tcPr>
          <w:p w14:paraId="10D6EF66" w14:textId="212DB4C2" w:rsidR="005D140D" w:rsidRPr="00C345C4" w:rsidRDefault="005D140D" w:rsidP="005D140D">
            <w:pPr>
              <w:spacing w:after="0"/>
              <w:jc w:val="center"/>
              <w:rPr>
                <w:rFonts w:ascii="Avenir Next LT Pro" w:hAnsi="Avenir Next LT Pro" w:cstheme="minorHAnsi"/>
                <w:sz w:val="20"/>
                <w:szCs w:val="20"/>
                <w:lang w:eastAsia="fr-CA"/>
              </w:rPr>
            </w:pPr>
            <w:r w:rsidRPr="00883991">
              <w:rPr>
                <w:rFonts w:ascii="Avenir Next LT Pro" w:hAnsi="Avenir Next LT Pro" w:cstheme="minorHAnsi"/>
                <w:sz w:val="20"/>
                <w:szCs w:val="20"/>
                <w:lang w:eastAsia="fr-CA"/>
              </w:rPr>
              <w:t xml:space="preserve">Le plan opérationnel de l’ARMCA est </w:t>
            </w:r>
            <w:r>
              <w:rPr>
                <w:rFonts w:ascii="Avenir Next LT Pro" w:hAnsi="Avenir Next LT Pro" w:cstheme="minorHAnsi"/>
                <w:sz w:val="20"/>
                <w:szCs w:val="20"/>
                <w:lang w:eastAsia="fr-CA"/>
              </w:rPr>
              <w:t xml:space="preserve">validé et </w:t>
            </w:r>
            <w:r w:rsidRPr="00883991">
              <w:rPr>
                <w:rFonts w:ascii="Avenir Next LT Pro" w:hAnsi="Avenir Next LT Pro" w:cstheme="minorHAnsi"/>
                <w:sz w:val="20"/>
                <w:szCs w:val="20"/>
                <w:lang w:eastAsia="fr-CA"/>
              </w:rPr>
              <w:t xml:space="preserve">mis en œuvre </w:t>
            </w:r>
          </w:p>
        </w:tc>
        <w:tc>
          <w:tcPr>
            <w:tcW w:w="992" w:type="dxa"/>
          </w:tcPr>
          <w:p w14:paraId="3AC9D4C1" w14:textId="35F7BD79" w:rsidR="005D140D" w:rsidRPr="00C345C4" w:rsidRDefault="005D140D" w:rsidP="005D140D">
            <w:pPr>
              <w:spacing w:after="0"/>
              <w:jc w:val="center"/>
              <w:rPr>
                <w:rFonts w:ascii="Avenir Next LT Pro" w:hAnsi="Avenir Next LT Pro" w:cstheme="minorHAnsi"/>
                <w:sz w:val="20"/>
                <w:szCs w:val="20"/>
                <w:lang w:eastAsia="fr-CA"/>
              </w:rPr>
            </w:pPr>
            <w:r w:rsidRPr="009200B3">
              <w:rPr>
                <w:rFonts w:ascii="Avenir Next LT Pro" w:hAnsi="Avenir Next LT Pro" w:cstheme="minorHAnsi"/>
                <w:sz w:val="20"/>
                <w:szCs w:val="20"/>
                <w:lang w:eastAsia="fr-CA"/>
              </w:rPr>
              <w:t>Rapports d’activités</w:t>
            </w:r>
          </w:p>
        </w:tc>
        <w:tc>
          <w:tcPr>
            <w:tcW w:w="1111" w:type="dxa"/>
          </w:tcPr>
          <w:p w14:paraId="3D42B058" w14:textId="739EE89E"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6BF3CDEC" w14:textId="42D167CF"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06A79D40" w14:textId="050FF1A6" w:rsidR="005D140D" w:rsidRPr="00AC6F81" w:rsidRDefault="005D140D" w:rsidP="005D140D">
            <w:pPr>
              <w:spacing w:after="0"/>
              <w:jc w:val="center"/>
              <w:rPr>
                <w:rFonts w:ascii="Avenir Next LT Pro" w:hAnsi="Avenir Next LT Pro" w:cstheme="minorHAnsi"/>
                <w:sz w:val="20"/>
                <w:szCs w:val="20"/>
                <w:lang w:eastAsia="fr-CA"/>
              </w:rPr>
            </w:pPr>
            <w:r w:rsidRPr="00AC6F81">
              <w:rPr>
                <w:rFonts w:ascii="Avenir Next LT Pro" w:hAnsi="Avenir Next LT Pro" w:cstheme="minorHAnsi"/>
                <w:b/>
                <w:bCs/>
                <w:sz w:val="20"/>
                <w:szCs w:val="20"/>
                <w:lang w:eastAsia="fr-CA"/>
              </w:rPr>
              <w:t>Hypothèse </w:t>
            </w:r>
            <w:r w:rsidRPr="00AC6F81">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 xml:space="preserve">Le plan opérationnel est conforme aux exigences and standards du gouvernement </w:t>
            </w:r>
          </w:p>
          <w:p w14:paraId="032FC076" w14:textId="738CE79F" w:rsidR="005D140D" w:rsidRPr="00C345C4" w:rsidRDefault="005D140D" w:rsidP="005D140D">
            <w:pPr>
              <w:spacing w:after="0"/>
              <w:jc w:val="center"/>
              <w:rPr>
                <w:rFonts w:ascii="Avenir Next LT Pro" w:hAnsi="Avenir Next LT Pro" w:cstheme="minorHAnsi"/>
                <w:sz w:val="20"/>
                <w:szCs w:val="20"/>
                <w:lang w:eastAsia="fr-CA"/>
              </w:rPr>
            </w:pPr>
            <w:r w:rsidRPr="00AC6F81">
              <w:rPr>
                <w:rFonts w:ascii="Avenir Next LT Pro" w:hAnsi="Avenir Next LT Pro" w:cstheme="minorHAnsi"/>
                <w:b/>
                <w:bCs/>
                <w:sz w:val="20"/>
                <w:szCs w:val="20"/>
                <w:lang w:eastAsia="fr-CA"/>
              </w:rPr>
              <w:t>Risque</w:t>
            </w:r>
            <w:r w:rsidRPr="00AC6F81">
              <w:rPr>
                <w:rFonts w:ascii="Avenir Next LT Pro" w:hAnsi="Avenir Next LT Pro" w:cstheme="minorHAnsi"/>
                <w:sz w:val="20"/>
                <w:szCs w:val="20"/>
                <w:lang w:eastAsia="fr-CA"/>
              </w:rPr>
              <w:t xml:space="preserve"> : </w:t>
            </w:r>
            <w:r w:rsidRPr="00162D49">
              <w:rPr>
                <w:rFonts w:ascii="Avenir Next LT Pro" w:hAnsi="Avenir Next LT Pro" w:cstheme="minorHAnsi"/>
                <w:sz w:val="20"/>
                <w:szCs w:val="20"/>
                <w:lang w:eastAsia="fr-CA"/>
              </w:rPr>
              <w:t xml:space="preserve">Des contraintes </w:t>
            </w:r>
            <w:r>
              <w:rPr>
                <w:rFonts w:ascii="Avenir Next LT Pro" w:hAnsi="Avenir Next LT Pro" w:cstheme="minorHAnsi"/>
                <w:sz w:val="20"/>
                <w:szCs w:val="20"/>
                <w:lang w:eastAsia="fr-CA"/>
              </w:rPr>
              <w:t>diverses</w:t>
            </w:r>
            <w:r w:rsidRPr="00162D49">
              <w:rPr>
                <w:rFonts w:ascii="Avenir Next LT Pro" w:hAnsi="Avenir Next LT Pro" w:cstheme="minorHAnsi"/>
                <w:sz w:val="20"/>
                <w:szCs w:val="20"/>
                <w:lang w:eastAsia="fr-CA"/>
              </w:rPr>
              <w:t xml:space="preserve"> (ex. </w:t>
            </w:r>
            <w:r>
              <w:rPr>
                <w:rFonts w:ascii="Avenir Next LT Pro" w:hAnsi="Avenir Next LT Pro" w:cstheme="minorHAnsi"/>
                <w:sz w:val="20"/>
                <w:szCs w:val="20"/>
                <w:lang w:eastAsia="fr-CA"/>
              </w:rPr>
              <w:t>institutionnelles, financières, opérationnelles etc.</w:t>
            </w:r>
            <w:r w:rsidRPr="00162D49">
              <w:rPr>
                <w:rFonts w:ascii="Avenir Next LT Pro" w:hAnsi="Avenir Next LT Pro" w:cstheme="minorHAnsi"/>
                <w:sz w:val="20"/>
                <w:szCs w:val="20"/>
                <w:lang w:eastAsia="fr-CA"/>
              </w:rPr>
              <w:t xml:space="preserve">) entravent </w:t>
            </w:r>
            <w:r>
              <w:rPr>
                <w:rFonts w:ascii="Avenir Next LT Pro" w:hAnsi="Avenir Next LT Pro" w:cstheme="minorHAnsi"/>
                <w:sz w:val="20"/>
                <w:szCs w:val="20"/>
                <w:lang w:eastAsia="fr-CA"/>
              </w:rPr>
              <w:t xml:space="preserve">la mise en œuvre du plan opérationnel </w:t>
            </w:r>
            <w:r w:rsidRPr="00162D49">
              <w:rPr>
                <w:rFonts w:ascii="Avenir Next LT Pro" w:hAnsi="Avenir Next LT Pro" w:cstheme="minorHAnsi"/>
                <w:sz w:val="20"/>
                <w:szCs w:val="20"/>
                <w:lang w:eastAsia="fr-CA"/>
              </w:rPr>
              <w:t>de l’ARMCA</w:t>
            </w:r>
          </w:p>
        </w:tc>
        <w:tc>
          <w:tcPr>
            <w:tcW w:w="1213" w:type="dxa"/>
          </w:tcPr>
          <w:p w14:paraId="59F72DBB" w14:textId="29372C88" w:rsidR="005D140D" w:rsidRPr="00C345C4" w:rsidRDefault="005D140D" w:rsidP="005D140D">
            <w:pPr>
              <w:spacing w:after="0"/>
              <w:jc w:val="center"/>
              <w:rPr>
                <w:rFonts w:ascii="Avenir Next LT Pro" w:hAnsi="Avenir Next LT Pro" w:cstheme="minorHAnsi"/>
                <w:sz w:val="20"/>
                <w:szCs w:val="20"/>
                <w:lang w:eastAsia="fr-CA"/>
              </w:rPr>
            </w:pPr>
            <w:r w:rsidRPr="00AC6F81">
              <w:rPr>
                <w:rFonts w:ascii="Avenir Next LT Pro" w:hAnsi="Avenir Next LT Pro" w:cstheme="minorHAnsi"/>
                <w:sz w:val="20"/>
                <w:szCs w:val="20"/>
                <w:lang w:eastAsia="fr-CA"/>
              </w:rPr>
              <w:t>Gouvernance et mobilisation des ressources</w:t>
            </w:r>
          </w:p>
        </w:tc>
        <w:tc>
          <w:tcPr>
            <w:tcW w:w="1484" w:type="dxa"/>
          </w:tcPr>
          <w:p w14:paraId="7AA247FB" w14:textId="7D40F1BA" w:rsidR="005D140D" w:rsidRPr="00C345C4" w:rsidRDefault="005D140D" w:rsidP="005D140D">
            <w:pPr>
              <w:spacing w:after="0"/>
              <w:jc w:val="center"/>
              <w:rPr>
                <w:rFonts w:ascii="Avenir Next LT Pro" w:hAnsi="Avenir Next LT Pro" w:cstheme="minorHAnsi"/>
                <w:sz w:val="20"/>
                <w:szCs w:val="20"/>
                <w:lang w:eastAsia="fr-CA"/>
              </w:rPr>
            </w:pPr>
            <w:r w:rsidRPr="00AC6F81">
              <w:rPr>
                <w:rFonts w:ascii="Avenir Next LT Pro" w:hAnsi="Avenir Next LT Pro" w:cstheme="minorHAnsi"/>
                <w:sz w:val="20"/>
                <w:szCs w:val="20"/>
                <w:lang w:eastAsia="fr-CA"/>
              </w:rPr>
              <w:t>Mobilisation des ressources non-domestiques innovantes</w:t>
            </w:r>
          </w:p>
        </w:tc>
        <w:tc>
          <w:tcPr>
            <w:tcW w:w="797" w:type="dxa"/>
          </w:tcPr>
          <w:p w14:paraId="3EB0725A"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282147F4" w14:textId="77777777" w:rsidTr="007F45AB">
        <w:trPr>
          <w:gridAfter w:val="1"/>
          <w:wAfter w:w="28" w:type="dxa"/>
          <w:trHeight w:val="2064"/>
        </w:trPr>
        <w:tc>
          <w:tcPr>
            <w:tcW w:w="1554" w:type="dxa"/>
            <w:shd w:val="clear" w:color="auto" w:fill="auto"/>
          </w:tcPr>
          <w:p w14:paraId="6CAEC1AE" w14:textId="23BDC3A7" w:rsidR="005D140D" w:rsidRPr="00C345C4" w:rsidRDefault="005D140D" w:rsidP="005D140D">
            <w:pPr>
              <w:spacing w:after="0"/>
              <w:rPr>
                <w:rFonts w:ascii="Avenir Next LT Pro" w:hAnsi="Avenir Next LT Pro" w:cstheme="minorHAnsi"/>
                <w:i/>
                <w:sz w:val="20"/>
                <w:szCs w:val="20"/>
                <w:lang w:eastAsia="fr-CA"/>
              </w:rPr>
            </w:pPr>
            <w:r w:rsidRPr="005C486E">
              <w:rPr>
                <w:rFonts w:ascii="Avenir Next LT Pro" w:hAnsi="Avenir Next LT Pro" w:cstheme="minorHAnsi"/>
                <w:i/>
                <w:sz w:val="20"/>
                <w:szCs w:val="20"/>
                <w:lang w:eastAsia="fr-CA"/>
              </w:rPr>
              <w:t>Existence d’un plan de renforcement des capacités</w:t>
            </w:r>
          </w:p>
        </w:tc>
        <w:tc>
          <w:tcPr>
            <w:tcW w:w="974" w:type="dxa"/>
            <w:shd w:val="clear" w:color="auto" w:fill="auto"/>
          </w:tcPr>
          <w:p w14:paraId="71D5922C" w14:textId="77777777" w:rsidR="005D140D" w:rsidRPr="00AA1E8F" w:rsidRDefault="005D140D" w:rsidP="005D140D">
            <w:pPr>
              <w:spacing w:after="0"/>
              <w:jc w:val="center"/>
              <w:rPr>
                <w:rFonts w:ascii="Avenir Next LT Pro" w:hAnsi="Avenir Next LT Pro" w:cstheme="minorHAnsi"/>
                <w:sz w:val="20"/>
                <w:szCs w:val="20"/>
                <w:lang w:eastAsia="fr-CA"/>
              </w:rPr>
            </w:pPr>
            <w:r w:rsidRPr="00AA1E8F">
              <w:rPr>
                <w:rFonts w:ascii="Avenir Next LT Pro" w:hAnsi="Avenir Next LT Pro" w:cstheme="minorHAnsi"/>
                <w:sz w:val="20"/>
                <w:szCs w:val="20"/>
                <w:lang w:eastAsia="fr-CA"/>
              </w:rPr>
              <w:t>2024</w:t>
            </w:r>
          </w:p>
          <w:p w14:paraId="29559381" w14:textId="77777777" w:rsidR="005D140D" w:rsidRPr="00AA1E8F" w:rsidRDefault="005D140D" w:rsidP="005D140D">
            <w:pPr>
              <w:spacing w:after="0"/>
              <w:jc w:val="center"/>
              <w:rPr>
                <w:rFonts w:ascii="Avenir Next LT Pro" w:hAnsi="Avenir Next LT Pro" w:cstheme="minorHAnsi"/>
                <w:sz w:val="20"/>
                <w:szCs w:val="20"/>
                <w:lang w:eastAsia="fr-CA"/>
              </w:rPr>
            </w:pPr>
          </w:p>
          <w:p w14:paraId="0749263A" w14:textId="53087688" w:rsidR="005D140D" w:rsidRPr="00C345C4" w:rsidRDefault="005D140D" w:rsidP="005D140D">
            <w:pPr>
              <w:spacing w:after="0"/>
              <w:jc w:val="center"/>
              <w:rPr>
                <w:rFonts w:ascii="Avenir Next LT Pro" w:hAnsi="Avenir Next LT Pro" w:cstheme="minorHAnsi"/>
                <w:sz w:val="20"/>
                <w:szCs w:val="20"/>
                <w:lang w:eastAsia="fr-CA"/>
              </w:rPr>
            </w:pPr>
            <w:r w:rsidRPr="00AA1E8F">
              <w:rPr>
                <w:rFonts w:ascii="Avenir Next LT Pro" w:hAnsi="Avenir Next LT Pro" w:cstheme="minorHAnsi"/>
                <w:sz w:val="20"/>
                <w:szCs w:val="20"/>
                <w:lang w:eastAsia="fr-CA"/>
              </w:rPr>
              <w:t>Archives, ARMCA</w:t>
            </w:r>
          </w:p>
        </w:tc>
        <w:tc>
          <w:tcPr>
            <w:tcW w:w="1673" w:type="dxa"/>
            <w:shd w:val="clear" w:color="auto" w:fill="auto"/>
          </w:tcPr>
          <w:p w14:paraId="1C4C35D8" w14:textId="66141E86"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Le draft du plan de renforcement des capacités est disponible</w:t>
            </w:r>
          </w:p>
        </w:tc>
        <w:tc>
          <w:tcPr>
            <w:tcW w:w="1673" w:type="dxa"/>
          </w:tcPr>
          <w:p w14:paraId="32BA70D8" w14:textId="569B3433" w:rsidR="005D140D" w:rsidRPr="00DF0A0E" w:rsidRDefault="005D140D" w:rsidP="005D140D">
            <w:pPr>
              <w:spacing w:after="0"/>
              <w:jc w:val="center"/>
              <w:rPr>
                <w:rFonts w:ascii="Avenir Next LT Pro" w:hAnsi="Avenir Next LT Pro" w:cstheme="minorHAnsi"/>
                <w:sz w:val="20"/>
                <w:szCs w:val="20"/>
                <w:lang w:eastAsia="fr-CA"/>
              </w:rPr>
            </w:pPr>
            <w:r w:rsidRPr="00DF0A0E">
              <w:rPr>
                <w:rFonts w:ascii="Avenir Next LT Pro" w:hAnsi="Avenir Next LT Pro" w:cstheme="minorHAnsi"/>
                <w:sz w:val="20"/>
                <w:szCs w:val="20"/>
                <w:lang w:eastAsia="fr-CA"/>
              </w:rPr>
              <w:t xml:space="preserve">Le plan de renforcement des capacités est </w:t>
            </w:r>
            <w:r>
              <w:rPr>
                <w:rFonts w:ascii="Avenir Next LT Pro" w:hAnsi="Avenir Next LT Pro" w:cstheme="minorHAnsi"/>
                <w:sz w:val="20"/>
                <w:szCs w:val="20"/>
                <w:lang w:eastAsia="fr-CA"/>
              </w:rPr>
              <w:t xml:space="preserve">validé et </w:t>
            </w:r>
            <w:r w:rsidRPr="00DF0A0E">
              <w:rPr>
                <w:rFonts w:ascii="Avenir Next LT Pro" w:hAnsi="Avenir Next LT Pro" w:cstheme="minorHAnsi"/>
                <w:sz w:val="20"/>
                <w:szCs w:val="20"/>
                <w:lang w:eastAsia="fr-CA"/>
              </w:rPr>
              <w:t xml:space="preserve">mis en œuvre </w:t>
            </w:r>
          </w:p>
        </w:tc>
        <w:tc>
          <w:tcPr>
            <w:tcW w:w="992" w:type="dxa"/>
          </w:tcPr>
          <w:p w14:paraId="3587CBFC" w14:textId="7F9A51E3" w:rsidR="005D140D" w:rsidRPr="00C345C4" w:rsidRDefault="005D140D" w:rsidP="005D140D">
            <w:pPr>
              <w:spacing w:after="0"/>
              <w:jc w:val="center"/>
              <w:rPr>
                <w:rFonts w:ascii="Avenir Next LT Pro" w:hAnsi="Avenir Next LT Pro" w:cstheme="minorHAnsi"/>
                <w:sz w:val="20"/>
                <w:szCs w:val="20"/>
                <w:lang w:eastAsia="fr-CA"/>
              </w:rPr>
            </w:pPr>
            <w:r w:rsidRPr="002B1854">
              <w:rPr>
                <w:rFonts w:ascii="Avenir Next LT Pro" w:hAnsi="Avenir Next LT Pro" w:cstheme="minorHAnsi"/>
                <w:sz w:val="20"/>
                <w:szCs w:val="20"/>
                <w:lang w:eastAsia="fr-CA"/>
              </w:rPr>
              <w:t>Rapports d’activités</w:t>
            </w:r>
          </w:p>
        </w:tc>
        <w:tc>
          <w:tcPr>
            <w:tcW w:w="1111" w:type="dxa"/>
          </w:tcPr>
          <w:p w14:paraId="35A96142" w14:textId="45B83EED"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3E04EB3B" w14:textId="62456575"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61BE975D" w14:textId="3F6EAD50" w:rsidR="005D140D" w:rsidRPr="00AC6F81" w:rsidRDefault="005D140D" w:rsidP="005D140D">
            <w:pPr>
              <w:spacing w:after="0"/>
              <w:jc w:val="center"/>
              <w:rPr>
                <w:rFonts w:ascii="Avenir Next LT Pro" w:hAnsi="Avenir Next LT Pro" w:cstheme="minorHAnsi"/>
                <w:sz w:val="20"/>
                <w:szCs w:val="20"/>
                <w:lang w:eastAsia="fr-CA"/>
              </w:rPr>
            </w:pPr>
            <w:r w:rsidRPr="00AC6F81">
              <w:rPr>
                <w:rFonts w:ascii="Avenir Next LT Pro" w:hAnsi="Avenir Next LT Pro" w:cstheme="minorHAnsi"/>
                <w:b/>
                <w:bCs/>
                <w:sz w:val="20"/>
                <w:szCs w:val="20"/>
                <w:lang w:eastAsia="fr-CA"/>
              </w:rPr>
              <w:t>Hypothèse </w:t>
            </w:r>
            <w:r w:rsidRPr="00AC6F81">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 xml:space="preserve">Le plan de renforcement des capacités intègre les besoins des différentes parties prenantes </w:t>
            </w:r>
          </w:p>
          <w:p w14:paraId="5DC1107F" w14:textId="4B97550B" w:rsidR="005D140D" w:rsidRPr="00C345C4" w:rsidRDefault="005D140D" w:rsidP="005D140D">
            <w:pPr>
              <w:spacing w:after="0"/>
              <w:jc w:val="center"/>
              <w:rPr>
                <w:rFonts w:ascii="Avenir Next LT Pro" w:hAnsi="Avenir Next LT Pro" w:cstheme="minorHAnsi"/>
                <w:sz w:val="20"/>
                <w:szCs w:val="20"/>
                <w:lang w:eastAsia="fr-CA"/>
              </w:rPr>
            </w:pPr>
            <w:r w:rsidRPr="00AC6F81">
              <w:rPr>
                <w:rFonts w:ascii="Avenir Next LT Pro" w:hAnsi="Avenir Next LT Pro" w:cstheme="minorHAnsi"/>
                <w:b/>
                <w:bCs/>
                <w:sz w:val="20"/>
                <w:szCs w:val="20"/>
                <w:lang w:eastAsia="fr-CA"/>
              </w:rPr>
              <w:t>Risque</w:t>
            </w:r>
            <w:r w:rsidRPr="00AC6F81">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Les ressources limités entravent la mise en œuvre effective du plan de renforcement des capacités</w:t>
            </w:r>
          </w:p>
        </w:tc>
        <w:tc>
          <w:tcPr>
            <w:tcW w:w="1213" w:type="dxa"/>
          </w:tcPr>
          <w:p w14:paraId="52A2BEB6" w14:textId="01B81D1A" w:rsidR="005D140D" w:rsidRPr="00C345C4" w:rsidRDefault="005D140D" w:rsidP="005D140D">
            <w:pPr>
              <w:spacing w:after="0"/>
              <w:jc w:val="center"/>
              <w:rPr>
                <w:rFonts w:ascii="Avenir Next LT Pro" w:hAnsi="Avenir Next LT Pro" w:cstheme="minorHAnsi"/>
                <w:sz w:val="20"/>
                <w:szCs w:val="20"/>
                <w:lang w:eastAsia="fr-CA"/>
              </w:rPr>
            </w:pPr>
            <w:r w:rsidRPr="00803FC8">
              <w:rPr>
                <w:rFonts w:ascii="Avenir Next LT Pro" w:hAnsi="Avenir Next LT Pro" w:cstheme="minorHAnsi"/>
                <w:sz w:val="20"/>
                <w:szCs w:val="20"/>
                <w:lang w:eastAsia="fr-CA"/>
              </w:rPr>
              <w:t>Gouvernance et mobilisation des ressources</w:t>
            </w:r>
          </w:p>
        </w:tc>
        <w:tc>
          <w:tcPr>
            <w:tcW w:w="1484" w:type="dxa"/>
          </w:tcPr>
          <w:p w14:paraId="487B3F82" w14:textId="5F7CEB1E" w:rsidR="005D140D" w:rsidRPr="00C345C4" w:rsidRDefault="005D140D" w:rsidP="005D140D">
            <w:pPr>
              <w:spacing w:after="0"/>
              <w:jc w:val="center"/>
              <w:rPr>
                <w:rFonts w:ascii="Avenir Next LT Pro" w:hAnsi="Avenir Next LT Pro" w:cstheme="minorHAnsi"/>
                <w:sz w:val="20"/>
                <w:szCs w:val="20"/>
                <w:lang w:eastAsia="fr-CA"/>
              </w:rPr>
            </w:pPr>
            <w:r w:rsidRPr="00803FC8">
              <w:rPr>
                <w:rFonts w:ascii="Avenir Next LT Pro" w:hAnsi="Avenir Next LT Pro" w:cstheme="minorHAnsi"/>
                <w:sz w:val="20"/>
                <w:szCs w:val="20"/>
                <w:lang w:eastAsia="fr-CA"/>
              </w:rPr>
              <w:t>Mobilisation des ressources non-domestiques innovantes</w:t>
            </w:r>
          </w:p>
        </w:tc>
        <w:tc>
          <w:tcPr>
            <w:tcW w:w="797" w:type="dxa"/>
          </w:tcPr>
          <w:p w14:paraId="3B402D94"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27B063EB" w14:textId="77777777" w:rsidTr="007F45AB">
        <w:trPr>
          <w:gridAfter w:val="1"/>
          <w:wAfter w:w="28" w:type="dxa"/>
          <w:trHeight w:val="230"/>
        </w:trPr>
        <w:tc>
          <w:tcPr>
            <w:tcW w:w="1554" w:type="dxa"/>
            <w:shd w:val="clear" w:color="auto" w:fill="auto"/>
          </w:tcPr>
          <w:p w14:paraId="4DC2787E" w14:textId="0FCC28CE" w:rsidR="005D140D" w:rsidRPr="00C345C4" w:rsidRDefault="005D140D" w:rsidP="005D140D">
            <w:pPr>
              <w:spacing w:after="0"/>
              <w:rPr>
                <w:rFonts w:ascii="Avenir Next LT Pro" w:hAnsi="Avenir Next LT Pro" w:cstheme="minorHAnsi"/>
                <w:i/>
                <w:sz w:val="20"/>
                <w:szCs w:val="20"/>
                <w:lang w:eastAsia="fr-CA"/>
              </w:rPr>
            </w:pPr>
            <w:r w:rsidRPr="00E300B5">
              <w:rPr>
                <w:rFonts w:ascii="Avenir Next LT Pro" w:hAnsi="Avenir Next LT Pro" w:cstheme="minorHAnsi"/>
                <w:i/>
                <w:sz w:val="20"/>
                <w:szCs w:val="20"/>
                <w:lang w:eastAsia="fr-CA"/>
              </w:rPr>
              <w:t>Nombre de personnes formées</w:t>
            </w:r>
          </w:p>
        </w:tc>
        <w:tc>
          <w:tcPr>
            <w:tcW w:w="974" w:type="dxa"/>
            <w:shd w:val="clear" w:color="auto" w:fill="auto"/>
          </w:tcPr>
          <w:p w14:paraId="732AB30B" w14:textId="77777777" w:rsidR="005D140D" w:rsidRPr="00EC6538" w:rsidRDefault="005D140D" w:rsidP="005D140D">
            <w:pPr>
              <w:spacing w:after="0"/>
              <w:jc w:val="center"/>
              <w:rPr>
                <w:rFonts w:ascii="Avenir Next LT Pro" w:hAnsi="Avenir Next LT Pro" w:cstheme="minorHAnsi"/>
                <w:sz w:val="20"/>
                <w:szCs w:val="20"/>
                <w:lang w:eastAsia="fr-CA"/>
              </w:rPr>
            </w:pPr>
            <w:r w:rsidRPr="00EC6538">
              <w:rPr>
                <w:rFonts w:ascii="Avenir Next LT Pro" w:hAnsi="Avenir Next LT Pro" w:cstheme="minorHAnsi"/>
                <w:sz w:val="20"/>
                <w:szCs w:val="20"/>
                <w:lang w:eastAsia="fr-CA"/>
              </w:rPr>
              <w:t>2024</w:t>
            </w:r>
          </w:p>
          <w:p w14:paraId="4823B0CB" w14:textId="77777777" w:rsidR="005D140D" w:rsidRPr="00EC6538" w:rsidRDefault="005D140D" w:rsidP="005D140D">
            <w:pPr>
              <w:spacing w:after="0"/>
              <w:jc w:val="center"/>
              <w:rPr>
                <w:rFonts w:ascii="Avenir Next LT Pro" w:hAnsi="Avenir Next LT Pro" w:cstheme="minorHAnsi"/>
                <w:sz w:val="20"/>
                <w:szCs w:val="20"/>
                <w:lang w:eastAsia="fr-CA"/>
              </w:rPr>
            </w:pPr>
          </w:p>
          <w:p w14:paraId="3895508B" w14:textId="1C424912" w:rsidR="005D140D" w:rsidRPr="00C345C4" w:rsidRDefault="005D140D" w:rsidP="005D140D">
            <w:pPr>
              <w:spacing w:after="0"/>
              <w:jc w:val="center"/>
              <w:rPr>
                <w:rFonts w:ascii="Avenir Next LT Pro" w:hAnsi="Avenir Next LT Pro" w:cstheme="minorHAnsi"/>
                <w:sz w:val="20"/>
                <w:szCs w:val="20"/>
                <w:lang w:eastAsia="fr-CA"/>
              </w:rPr>
            </w:pPr>
            <w:r w:rsidRPr="00EC6538">
              <w:rPr>
                <w:rFonts w:ascii="Avenir Next LT Pro" w:hAnsi="Avenir Next LT Pro" w:cstheme="minorHAnsi"/>
                <w:sz w:val="20"/>
                <w:szCs w:val="20"/>
                <w:lang w:eastAsia="fr-CA"/>
              </w:rPr>
              <w:t>Archives, ARMCA</w:t>
            </w:r>
          </w:p>
        </w:tc>
        <w:tc>
          <w:tcPr>
            <w:tcW w:w="1673" w:type="dxa"/>
            <w:shd w:val="clear" w:color="auto" w:fill="auto"/>
          </w:tcPr>
          <w:p w14:paraId="533FA502" w14:textId="56AFD16B" w:rsidR="005D140D" w:rsidRPr="00C345C4" w:rsidRDefault="005D140D" w:rsidP="005D140D">
            <w:pPr>
              <w:spacing w:after="0"/>
              <w:jc w:val="center"/>
              <w:rPr>
                <w:rFonts w:ascii="Avenir Next LT Pro" w:hAnsi="Avenir Next LT Pro" w:cstheme="minorHAnsi"/>
                <w:sz w:val="20"/>
                <w:szCs w:val="20"/>
                <w:lang w:eastAsia="fr-CA"/>
              </w:rPr>
            </w:pPr>
            <w:r w:rsidRPr="00610111">
              <w:rPr>
                <w:rFonts w:ascii="Avenir Next LT Pro" w:hAnsi="Avenir Next LT Pro" w:cstheme="minorHAnsi"/>
                <w:sz w:val="20"/>
                <w:szCs w:val="20"/>
                <w:lang w:eastAsia="fr-CA"/>
              </w:rPr>
              <w:t xml:space="preserve">Les capacités d’au moins </w:t>
            </w:r>
            <w:r>
              <w:rPr>
                <w:rFonts w:ascii="Avenir Next LT Pro" w:hAnsi="Avenir Next LT Pro" w:cstheme="minorHAnsi"/>
                <w:sz w:val="20"/>
                <w:szCs w:val="20"/>
                <w:lang w:eastAsia="fr-CA"/>
              </w:rPr>
              <w:t>1</w:t>
            </w:r>
            <w:r w:rsidRPr="00610111">
              <w:rPr>
                <w:rFonts w:ascii="Avenir Next LT Pro" w:hAnsi="Avenir Next LT Pro" w:cstheme="minorHAnsi"/>
                <w:sz w:val="20"/>
                <w:szCs w:val="20"/>
                <w:lang w:eastAsia="fr-CA"/>
              </w:rPr>
              <w:t>00 bénéficiaires sont renforcées</w:t>
            </w:r>
          </w:p>
        </w:tc>
        <w:tc>
          <w:tcPr>
            <w:tcW w:w="1673" w:type="dxa"/>
          </w:tcPr>
          <w:p w14:paraId="4BAA26A0" w14:textId="107F56C5"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 xml:space="preserve">Les capacités d’au moins </w:t>
            </w:r>
            <w:r w:rsidRPr="005D65DE">
              <w:rPr>
                <w:rFonts w:ascii="Avenir Next LT Pro" w:hAnsi="Avenir Next LT Pro" w:cstheme="minorHAnsi"/>
                <w:sz w:val="20"/>
                <w:szCs w:val="20"/>
                <w:lang w:eastAsia="fr-CA"/>
              </w:rPr>
              <w:t xml:space="preserve">200 </w:t>
            </w:r>
            <w:r>
              <w:rPr>
                <w:rFonts w:ascii="Avenir Next LT Pro" w:hAnsi="Avenir Next LT Pro" w:cstheme="minorHAnsi"/>
                <w:sz w:val="20"/>
                <w:szCs w:val="20"/>
                <w:lang w:eastAsia="fr-CA"/>
              </w:rPr>
              <w:t xml:space="preserve">bénéficiaires </w:t>
            </w:r>
            <w:r w:rsidRPr="005D65DE">
              <w:rPr>
                <w:rFonts w:ascii="Avenir Next LT Pro" w:hAnsi="Avenir Next LT Pro" w:cstheme="minorHAnsi"/>
                <w:sz w:val="20"/>
                <w:szCs w:val="20"/>
                <w:lang w:eastAsia="fr-CA"/>
              </w:rPr>
              <w:t xml:space="preserve">sont renforcées </w:t>
            </w:r>
          </w:p>
        </w:tc>
        <w:tc>
          <w:tcPr>
            <w:tcW w:w="992" w:type="dxa"/>
          </w:tcPr>
          <w:p w14:paraId="5998AD5A" w14:textId="075B1F7B" w:rsidR="005D140D" w:rsidRPr="00C345C4" w:rsidRDefault="005D140D" w:rsidP="005D140D">
            <w:pPr>
              <w:spacing w:after="0"/>
              <w:jc w:val="center"/>
              <w:rPr>
                <w:rFonts w:ascii="Avenir Next LT Pro" w:hAnsi="Avenir Next LT Pro" w:cstheme="minorHAnsi"/>
                <w:sz w:val="20"/>
                <w:szCs w:val="20"/>
                <w:lang w:eastAsia="fr-CA"/>
              </w:rPr>
            </w:pPr>
            <w:r w:rsidRPr="00541397">
              <w:rPr>
                <w:rFonts w:ascii="Avenir Next LT Pro" w:hAnsi="Avenir Next LT Pro" w:cstheme="minorHAnsi"/>
                <w:sz w:val="20"/>
                <w:szCs w:val="20"/>
                <w:lang w:eastAsia="fr-CA"/>
              </w:rPr>
              <w:t>Rapports de formation</w:t>
            </w:r>
          </w:p>
        </w:tc>
        <w:tc>
          <w:tcPr>
            <w:tcW w:w="1111" w:type="dxa"/>
          </w:tcPr>
          <w:p w14:paraId="513F3EBE" w14:textId="4FC054A4"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0256F231" w14:textId="6F41BE81"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32509F97" w14:textId="77777777" w:rsidR="005D140D" w:rsidRPr="00541397" w:rsidRDefault="005D140D" w:rsidP="005D140D">
            <w:pPr>
              <w:spacing w:after="0"/>
              <w:jc w:val="center"/>
              <w:rPr>
                <w:rFonts w:ascii="Avenir Next LT Pro" w:hAnsi="Avenir Next LT Pro" w:cstheme="minorHAnsi"/>
                <w:sz w:val="20"/>
                <w:szCs w:val="20"/>
                <w:lang w:eastAsia="fr-CA"/>
              </w:rPr>
            </w:pPr>
            <w:r w:rsidRPr="00541397">
              <w:rPr>
                <w:rFonts w:ascii="Avenir Next LT Pro" w:hAnsi="Avenir Next LT Pro" w:cstheme="minorHAnsi"/>
                <w:b/>
                <w:bCs/>
                <w:sz w:val="20"/>
                <w:szCs w:val="20"/>
                <w:lang w:eastAsia="fr-CA"/>
              </w:rPr>
              <w:t>Hypothèse </w:t>
            </w:r>
            <w:r w:rsidRPr="00541397">
              <w:rPr>
                <w:rFonts w:ascii="Avenir Next LT Pro" w:hAnsi="Avenir Next LT Pro" w:cstheme="minorHAnsi"/>
                <w:sz w:val="20"/>
                <w:szCs w:val="20"/>
                <w:lang w:eastAsia="fr-CA"/>
              </w:rPr>
              <w:t xml:space="preserve">: Les bénéficiaires participent effectivement aux activités de renforcement des capacités </w:t>
            </w:r>
          </w:p>
          <w:p w14:paraId="5C95FC3E" w14:textId="0F2CA992" w:rsidR="005D140D" w:rsidRPr="00C345C4" w:rsidRDefault="005D140D" w:rsidP="005D140D">
            <w:pPr>
              <w:spacing w:after="0"/>
              <w:jc w:val="center"/>
              <w:rPr>
                <w:rFonts w:ascii="Avenir Next LT Pro" w:hAnsi="Avenir Next LT Pro" w:cstheme="minorHAnsi"/>
                <w:sz w:val="20"/>
                <w:szCs w:val="20"/>
                <w:lang w:eastAsia="fr-CA"/>
              </w:rPr>
            </w:pPr>
            <w:r w:rsidRPr="00541397">
              <w:rPr>
                <w:rFonts w:ascii="Avenir Next LT Pro" w:hAnsi="Avenir Next LT Pro" w:cstheme="minorHAnsi"/>
                <w:b/>
                <w:bCs/>
                <w:sz w:val="20"/>
                <w:szCs w:val="20"/>
                <w:lang w:eastAsia="fr-CA"/>
              </w:rPr>
              <w:t>Risque</w:t>
            </w:r>
            <w:r w:rsidRPr="00541397">
              <w:rPr>
                <w:rFonts w:ascii="Avenir Next LT Pro" w:hAnsi="Avenir Next LT Pro" w:cstheme="minorHAnsi"/>
                <w:sz w:val="20"/>
                <w:szCs w:val="20"/>
                <w:lang w:eastAsia="fr-CA"/>
              </w:rPr>
              <w:t xml:space="preserve"> : L’instabilité institutionnelle entrave la </w:t>
            </w:r>
            <w:r>
              <w:rPr>
                <w:rFonts w:ascii="Avenir Next LT Pro" w:hAnsi="Avenir Next LT Pro" w:cstheme="minorHAnsi"/>
                <w:sz w:val="20"/>
                <w:szCs w:val="20"/>
                <w:lang w:eastAsia="fr-CA"/>
              </w:rPr>
              <w:t xml:space="preserve">continuité dans la </w:t>
            </w:r>
            <w:r w:rsidRPr="00541397">
              <w:rPr>
                <w:rFonts w:ascii="Avenir Next LT Pro" w:hAnsi="Avenir Next LT Pro" w:cstheme="minorHAnsi"/>
                <w:sz w:val="20"/>
                <w:szCs w:val="20"/>
                <w:lang w:eastAsia="fr-CA"/>
              </w:rPr>
              <w:lastRenderedPageBreak/>
              <w:t>formation des bénéficiaires</w:t>
            </w:r>
          </w:p>
        </w:tc>
        <w:tc>
          <w:tcPr>
            <w:tcW w:w="1213" w:type="dxa"/>
          </w:tcPr>
          <w:p w14:paraId="00FACA72" w14:textId="0E227330" w:rsidR="005D140D" w:rsidRPr="00C345C4" w:rsidRDefault="005D140D" w:rsidP="005D140D">
            <w:pPr>
              <w:spacing w:after="0"/>
              <w:jc w:val="center"/>
              <w:rPr>
                <w:rFonts w:ascii="Avenir Next LT Pro" w:hAnsi="Avenir Next LT Pro" w:cstheme="minorHAnsi"/>
                <w:sz w:val="20"/>
                <w:szCs w:val="20"/>
                <w:lang w:eastAsia="fr-CA"/>
              </w:rPr>
            </w:pPr>
            <w:r w:rsidRPr="00B5104D">
              <w:rPr>
                <w:rFonts w:ascii="Avenir Next LT Pro" w:hAnsi="Avenir Next LT Pro" w:cstheme="minorHAnsi"/>
                <w:sz w:val="20"/>
                <w:szCs w:val="20"/>
                <w:lang w:eastAsia="fr-CA"/>
              </w:rPr>
              <w:lastRenderedPageBreak/>
              <w:t>Gouvernance et mobilisation des ressources</w:t>
            </w:r>
          </w:p>
        </w:tc>
        <w:tc>
          <w:tcPr>
            <w:tcW w:w="1484" w:type="dxa"/>
          </w:tcPr>
          <w:p w14:paraId="30351B75" w14:textId="4978281D" w:rsidR="005D140D" w:rsidRPr="00C345C4" w:rsidRDefault="005D140D" w:rsidP="005D140D">
            <w:pPr>
              <w:spacing w:after="0"/>
              <w:jc w:val="center"/>
              <w:rPr>
                <w:rFonts w:ascii="Avenir Next LT Pro" w:hAnsi="Avenir Next LT Pro" w:cstheme="minorHAnsi"/>
                <w:sz w:val="20"/>
                <w:szCs w:val="20"/>
                <w:lang w:eastAsia="fr-CA"/>
              </w:rPr>
            </w:pPr>
            <w:r w:rsidRPr="00B5104D">
              <w:rPr>
                <w:rFonts w:ascii="Avenir Next LT Pro" w:hAnsi="Avenir Next LT Pro" w:cstheme="minorHAnsi"/>
                <w:sz w:val="20"/>
                <w:szCs w:val="20"/>
                <w:lang w:eastAsia="fr-CA"/>
              </w:rPr>
              <w:t>Mobilisation des ressources non-domestiques innovantes</w:t>
            </w:r>
          </w:p>
        </w:tc>
        <w:tc>
          <w:tcPr>
            <w:tcW w:w="797" w:type="dxa"/>
          </w:tcPr>
          <w:p w14:paraId="006B1925"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4747C05B" w14:textId="77777777" w:rsidTr="007F45AB">
        <w:trPr>
          <w:gridAfter w:val="1"/>
          <w:wAfter w:w="28" w:type="dxa"/>
          <w:trHeight w:val="230"/>
        </w:trPr>
        <w:tc>
          <w:tcPr>
            <w:tcW w:w="1554" w:type="dxa"/>
            <w:shd w:val="clear" w:color="auto" w:fill="auto"/>
          </w:tcPr>
          <w:p w14:paraId="3AF8607E" w14:textId="702C7C16" w:rsidR="005D140D" w:rsidRPr="00C345C4" w:rsidRDefault="005D140D" w:rsidP="005D140D">
            <w:pPr>
              <w:spacing w:after="0"/>
              <w:rPr>
                <w:rFonts w:ascii="Avenir Next LT Pro" w:hAnsi="Avenir Next LT Pro" w:cstheme="minorHAnsi"/>
                <w:i/>
                <w:sz w:val="20"/>
                <w:szCs w:val="20"/>
                <w:lang w:eastAsia="fr-CA"/>
              </w:rPr>
            </w:pPr>
            <w:r>
              <w:rPr>
                <w:rFonts w:ascii="Avenir Next LT Pro" w:hAnsi="Avenir Next LT Pro" w:cstheme="minorHAnsi"/>
                <w:i/>
                <w:sz w:val="20"/>
                <w:szCs w:val="20"/>
                <w:lang w:eastAsia="fr-CA"/>
              </w:rPr>
              <w:t>Nombre</w:t>
            </w:r>
            <w:r w:rsidRPr="00627DCD">
              <w:rPr>
                <w:rFonts w:ascii="Avenir Next LT Pro" w:hAnsi="Avenir Next LT Pro" w:cstheme="minorHAnsi"/>
                <w:i/>
                <w:sz w:val="20"/>
                <w:szCs w:val="20"/>
                <w:lang w:eastAsia="fr-CA"/>
              </w:rPr>
              <w:t xml:space="preserve"> de mission de partage d’expériences</w:t>
            </w:r>
          </w:p>
        </w:tc>
        <w:tc>
          <w:tcPr>
            <w:tcW w:w="974" w:type="dxa"/>
            <w:shd w:val="clear" w:color="auto" w:fill="auto"/>
          </w:tcPr>
          <w:p w14:paraId="79D9CAAB" w14:textId="77777777" w:rsidR="005D140D" w:rsidRPr="005D0B51" w:rsidRDefault="005D140D" w:rsidP="005D140D">
            <w:pPr>
              <w:spacing w:after="0"/>
              <w:contextualSpacing/>
              <w:jc w:val="center"/>
              <w:rPr>
                <w:rFonts w:asciiTheme="minorHAnsi" w:hAnsiTheme="minorHAnsi" w:cstheme="minorHAnsi"/>
                <w:sz w:val="20"/>
                <w:szCs w:val="20"/>
                <w:lang w:val="it-IT" w:eastAsia="fr-CA"/>
              </w:rPr>
            </w:pPr>
            <w:r w:rsidRPr="005D0B51">
              <w:rPr>
                <w:rFonts w:asciiTheme="minorHAnsi" w:hAnsiTheme="minorHAnsi" w:cstheme="minorHAnsi"/>
                <w:sz w:val="20"/>
                <w:szCs w:val="20"/>
                <w:lang w:val="it-IT" w:eastAsia="fr-CA"/>
              </w:rPr>
              <w:t>2024</w:t>
            </w:r>
          </w:p>
          <w:p w14:paraId="3340F417" w14:textId="77777777" w:rsidR="005D140D" w:rsidRPr="005D0B51" w:rsidRDefault="005D140D" w:rsidP="005D140D">
            <w:pPr>
              <w:spacing w:after="0"/>
              <w:contextualSpacing/>
              <w:jc w:val="center"/>
              <w:rPr>
                <w:rFonts w:asciiTheme="minorHAnsi" w:hAnsiTheme="minorHAnsi" w:cstheme="minorHAnsi"/>
                <w:sz w:val="20"/>
                <w:szCs w:val="20"/>
                <w:lang w:val="it-IT" w:eastAsia="fr-CA"/>
              </w:rPr>
            </w:pPr>
          </w:p>
          <w:p w14:paraId="659AA4D4" w14:textId="5DE0D478" w:rsidR="005D140D" w:rsidRPr="00E877FB" w:rsidRDefault="005D140D" w:rsidP="005D140D">
            <w:pPr>
              <w:spacing w:after="0"/>
              <w:jc w:val="center"/>
              <w:rPr>
                <w:rFonts w:ascii="Avenir Next LT Pro" w:hAnsi="Avenir Next LT Pro" w:cstheme="minorHAnsi"/>
                <w:sz w:val="20"/>
                <w:szCs w:val="20"/>
                <w:lang w:val="it-IT" w:eastAsia="fr-CA"/>
              </w:rPr>
            </w:pPr>
            <w:r w:rsidRPr="005D0B51">
              <w:rPr>
                <w:rFonts w:asciiTheme="minorHAnsi" w:hAnsiTheme="minorHAnsi" w:cstheme="minorHAnsi"/>
                <w:sz w:val="20"/>
                <w:szCs w:val="20"/>
                <w:lang w:val="it-IT" w:eastAsia="fr-CA"/>
              </w:rPr>
              <w:t>Archives, MEDD, ARMCA, PNUD, FONAREDD</w:t>
            </w:r>
          </w:p>
        </w:tc>
        <w:tc>
          <w:tcPr>
            <w:tcW w:w="1673" w:type="dxa"/>
            <w:shd w:val="clear" w:color="auto" w:fill="auto"/>
          </w:tcPr>
          <w:p w14:paraId="78B237CC" w14:textId="6E2364DC" w:rsidR="005D140D" w:rsidRPr="00C345C4" w:rsidRDefault="005D140D" w:rsidP="005D140D">
            <w:pPr>
              <w:spacing w:after="0"/>
              <w:jc w:val="center"/>
              <w:rPr>
                <w:rFonts w:ascii="Avenir Next LT Pro" w:hAnsi="Avenir Next LT Pro" w:cstheme="minorHAnsi"/>
                <w:sz w:val="20"/>
                <w:szCs w:val="20"/>
                <w:lang w:eastAsia="fr-CA"/>
              </w:rPr>
            </w:pPr>
            <w:r w:rsidRPr="00882D06">
              <w:rPr>
                <w:rFonts w:ascii="Avenir Next LT Pro" w:hAnsi="Avenir Next LT Pro" w:cstheme="minorHAnsi"/>
                <w:sz w:val="20"/>
                <w:szCs w:val="20"/>
                <w:lang w:eastAsia="fr-CA"/>
              </w:rPr>
              <w:t xml:space="preserve">Au moins </w:t>
            </w:r>
            <w:r>
              <w:rPr>
                <w:rFonts w:ascii="Avenir Next LT Pro" w:hAnsi="Avenir Next LT Pro" w:cstheme="minorHAnsi"/>
                <w:sz w:val="20"/>
                <w:szCs w:val="20"/>
                <w:lang w:eastAsia="fr-CA"/>
              </w:rPr>
              <w:t>2</w:t>
            </w:r>
            <w:r w:rsidRPr="00882D06">
              <w:rPr>
                <w:rFonts w:ascii="Avenir Next LT Pro" w:hAnsi="Avenir Next LT Pro" w:cstheme="minorHAnsi"/>
                <w:sz w:val="20"/>
                <w:szCs w:val="20"/>
                <w:lang w:eastAsia="fr-CA"/>
              </w:rPr>
              <w:t xml:space="preserve"> partages d’expérience Sud-Nord-Sud sont réalisés</w:t>
            </w:r>
          </w:p>
        </w:tc>
        <w:tc>
          <w:tcPr>
            <w:tcW w:w="1673" w:type="dxa"/>
          </w:tcPr>
          <w:p w14:paraId="681384B1" w14:textId="06FA2419" w:rsidR="005D140D" w:rsidRPr="00C345C4" w:rsidRDefault="005D140D" w:rsidP="005D140D">
            <w:pPr>
              <w:spacing w:after="0"/>
              <w:jc w:val="center"/>
              <w:rPr>
                <w:rFonts w:ascii="Avenir Next LT Pro" w:hAnsi="Avenir Next LT Pro" w:cstheme="minorHAnsi"/>
                <w:sz w:val="20"/>
                <w:szCs w:val="20"/>
                <w:lang w:eastAsia="fr-CA"/>
              </w:rPr>
            </w:pPr>
            <w:r w:rsidRPr="00882D06">
              <w:rPr>
                <w:rFonts w:ascii="Avenir Next LT Pro" w:hAnsi="Avenir Next LT Pro" w:cstheme="minorHAnsi"/>
                <w:sz w:val="20"/>
                <w:szCs w:val="20"/>
                <w:lang w:eastAsia="fr-CA"/>
              </w:rPr>
              <w:t xml:space="preserve">Au moins </w:t>
            </w:r>
            <w:r>
              <w:rPr>
                <w:rFonts w:ascii="Avenir Next LT Pro" w:hAnsi="Avenir Next LT Pro" w:cstheme="minorHAnsi"/>
                <w:sz w:val="20"/>
                <w:szCs w:val="20"/>
                <w:lang w:eastAsia="fr-CA"/>
              </w:rPr>
              <w:t>5</w:t>
            </w:r>
            <w:r w:rsidRPr="00882D06">
              <w:rPr>
                <w:rFonts w:ascii="Avenir Next LT Pro" w:hAnsi="Avenir Next LT Pro" w:cstheme="minorHAnsi"/>
                <w:sz w:val="20"/>
                <w:szCs w:val="20"/>
                <w:lang w:eastAsia="fr-CA"/>
              </w:rPr>
              <w:t xml:space="preserve"> partages d’expérience Sud-Nord-Sud sont réalisés</w:t>
            </w:r>
          </w:p>
        </w:tc>
        <w:tc>
          <w:tcPr>
            <w:tcW w:w="992" w:type="dxa"/>
          </w:tcPr>
          <w:p w14:paraId="4FD6769B" w14:textId="207D97ED" w:rsidR="005D140D" w:rsidRPr="00C345C4" w:rsidRDefault="005D140D" w:rsidP="005D140D">
            <w:pPr>
              <w:spacing w:after="0"/>
              <w:jc w:val="center"/>
              <w:rPr>
                <w:rFonts w:ascii="Avenir Next LT Pro" w:hAnsi="Avenir Next LT Pro" w:cstheme="minorHAnsi"/>
                <w:sz w:val="20"/>
                <w:szCs w:val="20"/>
                <w:lang w:eastAsia="fr-CA"/>
              </w:rPr>
            </w:pPr>
            <w:r w:rsidRPr="00D74B06">
              <w:rPr>
                <w:rFonts w:ascii="Avenir Next LT Pro" w:hAnsi="Avenir Next LT Pro" w:cstheme="minorHAnsi"/>
                <w:sz w:val="20"/>
                <w:szCs w:val="20"/>
                <w:lang w:val="fr-CD" w:eastAsia="fr-CA"/>
              </w:rPr>
              <w:t>Rapport d’activités</w:t>
            </w:r>
          </w:p>
        </w:tc>
        <w:tc>
          <w:tcPr>
            <w:tcW w:w="1111" w:type="dxa"/>
          </w:tcPr>
          <w:p w14:paraId="7190FF42" w14:textId="34208AB3"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629D76D8" w14:textId="07B2AC34"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7377C909" w14:textId="186AD5E1" w:rsidR="005D140D" w:rsidRPr="00D74B06" w:rsidRDefault="005D140D" w:rsidP="005D140D">
            <w:pPr>
              <w:spacing w:after="0"/>
              <w:jc w:val="center"/>
              <w:rPr>
                <w:rFonts w:ascii="Avenir Next LT Pro" w:hAnsi="Avenir Next LT Pro" w:cstheme="minorHAnsi"/>
                <w:sz w:val="20"/>
                <w:szCs w:val="20"/>
                <w:lang w:eastAsia="fr-CA"/>
              </w:rPr>
            </w:pPr>
            <w:r w:rsidRPr="00D74B06">
              <w:rPr>
                <w:rFonts w:ascii="Avenir Next LT Pro" w:hAnsi="Avenir Next LT Pro" w:cstheme="minorHAnsi"/>
                <w:b/>
                <w:bCs/>
                <w:sz w:val="20"/>
                <w:szCs w:val="20"/>
                <w:lang w:eastAsia="fr-CA"/>
              </w:rPr>
              <w:t>Hypothèse </w:t>
            </w:r>
            <w:r w:rsidRPr="00D74B06">
              <w:rPr>
                <w:rFonts w:ascii="Avenir Next LT Pro" w:hAnsi="Avenir Next LT Pro" w:cstheme="minorHAnsi"/>
                <w:sz w:val="20"/>
                <w:szCs w:val="20"/>
                <w:lang w:eastAsia="fr-CA"/>
              </w:rPr>
              <w:t>: Les bénéficiaires participent effectivement au</w:t>
            </w:r>
            <w:r>
              <w:rPr>
                <w:rFonts w:ascii="Avenir Next LT Pro" w:hAnsi="Avenir Next LT Pro" w:cstheme="minorHAnsi"/>
                <w:sz w:val="20"/>
                <w:szCs w:val="20"/>
                <w:lang w:eastAsia="fr-CA"/>
              </w:rPr>
              <w:t xml:space="preserve"> partage d’expérience</w:t>
            </w:r>
          </w:p>
          <w:p w14:paraId="4DE51DA6" w14:textId="3CE17679" w:rsidR="005D140D" w:rsidRPr="00C345C4" w:rsidRDefault="005D140D" w:rsidP="005D140D">
            <w:pPr>
              <w:spacing w:after="0"/>
              <w:jc w:val="center"/>
              <w:rPr>
                <w:rFonts w:ascii="Avenir Next LT Pro" w:hAnsi="Avenir Next LT Pro" w:cstheme="minorHAnsi"/>
                <w:sz w:val="20"/>
                <w:szCs w:val="20"/>
                <w:lang w:eastAsia="fr-CA"/>
              </w:rPr>
            </w:pPr>
            <w:r w:rsidRPr="00D74B06">
              <w:rPr>
                <w:rFonts w:ascii="Avenir Next LT Pro" w:hAnsi="Avenir Next LT Pro" w:cstheme="minorHAnsi"/>
                <w:b/>
                <w:bCs/>
                <w:sz w:val="20"/>
                <w:szCs w:val="20"/>
                <w:lang w:eastAsia="fr-CA"/>
              </w:rPr>
              <w:t>Risque</w:t>
            </w:r>
            <w:r w:rsidRPr="00D74B06">
              <w:rPr>
                <w:rFonts w:ascii="Avenir Next LT Pro" w:hAnsi="Avenir Next LT Pro" w:cstheme="minorHAnsi"/>
                <w:sz w:val="20"/>
                <w:szCs w:val="20"/>
                <w:lang w:eastAsia="fr-CA"/>
              </w:rPr>
              <w:t xml:space="preserve"> : L’instabilité institutionnelle entrave la </w:t>
            </w:r>
            <w:r>
              <w:rPr>
                <w:rFonts w:ascii="Avenir Next LT Pro" w:hAnsi="Avenir Next LT Pro" w:cstheme="minorHAnsi"/>
                <w:sz w:val="20"/>
                <w:szCs w:val="20"/>
                <w:lang w:eastAsia="fr-CA"/>
              </w:rPr>
              <w:t>continuité dans le partage d’expérience</w:t>
            </w:r>
          </w:p>
        </w:tc>
        <w:tc>
          <w:tcPr>
            <w:tcW w:w="1213" w:type="dxa"/>
          </w:tcPr>
          <w:p w14:paraId="69AF59B2" w14:textId="04FD3751" w:rsidR="005D140D" w:rsidRPr="00C345C4" w:rsidRDefault="005D140D" w:rsidP="005D140D">
            <w:pPr>
              <w:spacing w:after="0"/>
              <w:jc w:val="center"/>
              <w:rPr>
                <w:rFonts w:ascii="Avenir Next LT Pro" w:hAnsi="Avenir Next LT Pro" w:cstheme="minorHAnsi"/>
                <w:sz w:val="20"/>
                <w:szCs w:val="20"/>
                <w:lang w:eastAsia="fr-CA"/>
              </w:rPr>
            </w:pPr>
            <w:r w:rsidRPr="00C4504B">
              <w:rPr>
                <w:rFonts w:ascii="Avenir Next LT Pro" w:hAnsi="Avenir Next LT Pro" w:cstheme="minorHAnsi"/>
                <w:sz w:val="20"/>
                <w:szCs w:val="20"/>
                <w:lang w:eastAsia="fr-CA"/>
              </w:rPr>
              <w:t>Gouvernance et mobilisation des ressources</w:t>
            </w:r>
          </w:p>
        </w:tc>
        <w:tc>
          <w:tcPr>
            <w:tcW w:w="1484" w:type="dxa"/>
          </w:tcPr>
          <w:p w14:paraId="0710ED31" w14:textId="51B93AD3" w:rsidR="005D140D" w:rsidRPr="00C345C4" w:rsidRDefault="005D140D" w:rsidP="005D140D">
            <w:pPr>
              <w:spacing w:after="0"/>
              <w:jc w:val="center"/>
              <w:rPr>
                <w:rFonts w:ascii="Avenir Next LT Pro" w:hAnsi="Avenir Next LT Pro" w:cstheme="minorHAnsi"/>
                <w:sz w:val="20"/>
                <w:szCs w:val="20"/>
                <w:lang w:eastAsia="fr-CA"/>
              </w:rPr>
            </w:pPr>
            <w:r w:rsidRPr="00C4504B">
              <w:rPr>
                <w:rFonts w:ascii="Avenir Next LT Pro" w:hAnsi="Avenir Next LT Pro" w:cstheme="minorHAnsi"/>
                <w:sz w:val="20"/>
                <w:szCs w:val="20"/>
                <w:lang w:eastAsia="fr-CA"/>
              </w:rPr>
              <w:t>Mobilisation des ressources non-domestiques innovantes</w:t>
            </w:r>
          </w:p>
        </w:tc>
        <w:tc>
          <w:tcPr>
            <w:tcW w:w="797" w:type="dxa"/>
          </w:tcPr>
          <w:p w14:paraId="2F681704"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33714102" w14:textId="77777777" w:rsidTr="007F45AB">
        <w:trPr>
          <w:gridAfter w:val="1"/>
          <w:wAfter w:w="28" w:type="dxa"/>
          <w:trHeight w:val="230"/>
        </w:trPr>
        <w:tc>
          <w:tcPr>
            <w:tcW w:w="1554" w:type="dxa"/>
            <w:shd w:val="clear" w:color="auto" w:fill="auto"/>
          </w:tcPr>
          <w:p w14:paraId="1EF83BFC" w14:textId="7CF8A22E" w:rsidR="005D140D" w:rsidRPr="00C345C4" w:rsidRDefault="005D140D" w:rsidP="005D140D">
            <w:pPr>
              <w:spacing w:after="0"/>
              <w:rPr>
                <w:rFonts w:ascii="Avenir Next LT Pro" w:hAnsi="Avenir Next LT Pro" w:cstheme="minorHAnsi"/>
                <w:i/>
                <w:sz w:val="20"/>
                <w:szCs w:val="20"/>
                <w:lang w:eastAsia="fr-CA"/>
              </w:rPr>
            </w:pPr>
            <w:r w:rsidRPr="00BA7F43">
              <w:rPr>
                <w:rFonts w:ascii="Avenir Next LT Pro" w:hAnsi="Avenir Next LT Pro" w:cstheme="minorHAnsi"/>
                <w:i/>
                <w:sz w:val="20"/>
                <w:szCs w:val="20"/>
                <w:lang w:eastAsia="fr-CA"/>
              </w:rPr>
              <w:t>Existence d’un</w:t>
            </w:r>
            <w:r>
              <w:rPr>
                <w:rFonts w:ascii="Avenir Next LT Pro" w:hAnsi="Avenir Next LT Pro" w:cstheme="minorHAnsi"/>
                <w:i/>
                <w:sz w:val="20"/>
                <w:szCs w:val="20"/>
                <w:lang w:eastAsia="fr-CA"/>
              </w:rPr>
              <w:t xml:space="preserve">e </w:t>
            </w:r>
            <w:r w:rsidR="008D0EB8">
              <w:rPr>
                <w:rFonts w:ascii="Avenir Next LT Pro" w:hAnsi="Avenir Next LT Pro" w:cstheme="minorHAnsi"/>
                <w:i/>
                <w:sz w:val="20"/>
                <w:szCs w:val="20"/>
                <w:lang w:eastAsia="fr-CA"/>
              </w:rPr>
              <w:t>réglementation nationale sur les marchés du carbone (Marché Volontaire et mécanismes de l’article 6)</w:t>
            </w:r>
          </w:p>
        </w:tc>
        <w:tc>
          <w:tcPr>
            <w:tcW w:w="974" w:type="dxa"/>
            <w:shd w:val="clear" w:color="auto" w:fill="auto"/>
          </w:tcPr>
          <w:p w14:paraId="59ADD3F9"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7CA9E3E0"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34220472" w14:textId="1C980236"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ARMCA, PNUD, FONAREDD</w:t>
            </w:r>
          </w:p>
        </w:tc>
        <w:tc>
          <w:tcPr>
            <w:tcW w:w="1673" w:type="dxa"/>
            <w:shd w:val="clear" w:color="auto" w:fill="auto"/>
          </w:tcPr>
          <w:p w14:paraId="18115159" w14:textId="467A42FA"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 xml:space="preserve">Le </w:t>
            </w:r>
            <w:r w:rsidR="008D0EB8">
              <w:rPr>
                <w:rFonts w:ascii="Avenir Next LT Pro" w:hAnsi="Avenir Next LT Pro" w:cstheme="minorHAnsi"/>
                <w:sz w:val="20"/>
                <w:szCs w:val="20"/>
                <w:lang w:eastAsia="fr-CA"/>
              </w:rPr>
              <w:t xml:space="preserve">projet de réglementation est disponible et soumis au conseil des ministres pour approbation </w:t>
            </w:r>
          </w:p>
        </w:tc>
        <w:tc>
          <w:tcPr>
            <w:tcW w:w="1673" w:type="dxa"/>
          </w:tcPr>
          <w:p w14:paraId="6B6A8531" w14:textId="4BEAFCB8" w:rsidR="005D140D" w:rsidRPr="00C345C4" w:rsidRDefault="005D140D" w:rsidP="005D140D">
            <w:pPr>
              <w:spacing w:after="0"/>
              <w:jc w:val="center"/>
              <w:rPr>
                <w:rFonts w:ascii="Avenir Next LT Pro" w:hAnsi="Avenir Next LT Pro" w:cstheme="minorHAnsi"/>
                <w:sz w:val="20"/>
                <w:szCs w:val="20"/>
                <w:lang w:eastAsia="fr-CA"/>
              </w:rPr>
            </w:pPr>
            <w:r w:rsidRPr="007566B6">
              <w:rPr>
                <w:rFonts w:ascii="Avenir Next LT Pro" w:hAnsi="Avenir Next LT Pro" w:cstheme="minorHAnsi"/>
                <w:sz w:val="20"/>
                <w:szCs w:val="20"/>
                <w:lang w:eastAsia="fr-CA"/>
              </w:rPr>
              <w:t xml:space="preserve">La </w:t>
            </w:r>
            <w:r w:rsidR="008D0EB8">
              <w:rPr>
                <w:rFonts w:ascii="Avenir Next LT Pro" w:hAnsi="Avenir Next LT Pro" w:cstheme="minorHAnsi"/>
                <w:sz w:val="20"/>
                <w:szCs w:val="20"/>
                <w:lang w:eastAsia="fr-CA"/>
              </w:rPr>
              <w:t>réglementation nationale sur les marchés du carbone est validée par le conseil des Ministres</w:t>
            </w:r>
            <w:r>
              <w:rPr>
                <w:rFonts w:ascii="Avenir Next LT Pro" w:hAnsi="Avenir Next LT Pro" w:cstheme="minorHAnsi"/>
                <w:sz w:val="20"/>
                <w:szCs w:val="20"/>
                <w:lang w:eastAsia="fr-CA"/>
              </w:rPr>
              <w:t xml:space="preserve"> </w:t>
            </w:r>
          </w:p>
        </w:tc>
        <w:tc>
          <w:tcPr>
            <w:tcW w:w="992" w:type="dxa"/>
          </w:tcPr>
          <w:p w14:paraId="70849C0A" w14:textId="0B0AE296" w:rsidR="005D140D" w:rsidRPr="00C345C4" w:rsidRDefault="005D140D" w:rsidP="005D140D">
            <w:pPr>
              <w:spacing w:after="0"/>
              <w:jc w:val="center"/>
              <w:rPr>
                <w:rFonts w:ascii="Avenir Next LT Pro" w:hAnsi="Avenir Next LT Pro" w:cstheme="minorHAnsi"/>
                <w:sz w:val="20"/>
                <w:szCs w:val="20"/>
                <w:lang w:eastAsia="fr-CA"/>
              </w:rPr>
            </w:pPr>
            <w:r w:rsidRPr="00007F26">
              <w:rPr>
                <w:rFonts w:ascii="Avenir Next LT Pro" w:hAnsi="Avenir Next LT Pro" w:cstheme="minorHAnsi"/>
                <w:sz w:val="20"/>
                <w:szCs w:val="20"/>
                <w:lang w:val="fr-CD" w:eastAsia="fr-CA"/>
              </w:rPr>
              <w:t>Rapport d’activités</w:t>
            </w:r>
          </w:p>
        </w:tc>
        <w:tc>
          <w:tcPr>
            <w:tcW w:w="1111" w:type="dxa"/>
          </w:tcPr>
          <w:p w14:paraId="2A63138F" w14:textId="10EE07D2" w:rsidR="005D140D" w:rsidRPr="00C345C4" w:rsidRDefault="008D0EB8"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1</w:t>
            </w:r>
          </w:p>
        </w:tc>
        <w:tc>
          <w:tcPr>
            <w:tcW w:w="899" w:type="dxa"/>
          </w:tcPr>
          <w:p w14:paraId="35F22C64" w14:textId="1ECEDF38"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51D22720" w14:textId="4A668F31" w:rsidR="005D140D" w:rsidRPr="00F8091E" w:rsidRDefault="005D140D" w:rsidP="005D140D">
            <w:pPr>
              <w:jc w:val="center"/>
              <w:rPr>
                <w:rFonts w:ascii="Avenir Next LT Pro" w:hAnsi="Avenir Next LT Pro" w:cstheme="minorHAnsi"/>
                <w:sz w:val="20"/>
                <w:szCs w:val="20"/>
                <w:lang w:eastAsia="fr-CA"/>
              </w:rPr>
            </w:pPr>
            <w:r w:rsidRPr="00F8091E">
              <w:rPr>
                <w:rFonts w:ascii="Avenir Next LT Pro" w:hAnsi="Avenir Next LT Pro" w:cstheme="minorHAnsi"/>
                <w:b/>
                <w:bCs/>
                <w:sz w:val="20"/>
                <w:szCs w:val="20"/>
                <w:lang w:eastAsia="fr-CA"/>
              </w:rPr>
              <w:t>Hypothèse </w:t>
            </w:r>
            <w:r w:rsidRPr="00F8091E">
              <w:rPr>
                <w:rFonts w:ascii="Avenir Next LT Pro" w:hAnsi="Avenir Next LT Pro" w:cstheme="minorHAnsi"/>
                <w:sz w:val="20"/>
                <w:szCs w:val="20"/>
                <w:lang w:eastAsia="fr-CA"/>
              </w:rPr>
              <w:t xml:space="preserve">: L’élaboration </w:t>
            </w:r>
            <w:r w:rsidR="008D0EB8">
              <w:rPr>
                <w:rFonts w:ascii="Avenir Next LT Pro" w:hAnsi="Avenir Next LT Pro" w:cstheme="minorHAnsi"/>
                <w:sz w:val="20"/>
                <w:szCs w:val="20"/>
                <w:lang w:eastAsia="fr-CA"/>
              </w:rPr>
              <w:t xml:space="preserve">du cadre réglementaire </w:t>
            </w:r>
            <w:r w:rsidRPr="00F8091E">
              <w:rPr>
                <w:rFonts w:ascii="Avenir Next LT Pro" w:hAnsi="Avenir Next LT Pro" w:cstheme="minorHAnsi"/>
                <w:sz w:val="20"/>
                <w:szCs w:val="20"/>
                <w:lang w:eastAsia="fr-CA"/>
              </w:rPr>
              <w:t xml:space="preserve"> est inclusive et participative</w:t>
            </w:r>
          </w:p>
          <w:p w14:paraId="269DD132" w14:textId="41F4AF1B" w:rsidR="005D140D" w:rsidRPr="00F8091E" w:rsidRDefault="005D140D" w:rsidP="005D140D">
            <w:pPr>
              <w:jc w:val="center"/>
              <w:rPr>
                <w:rFonts w:ascii="Avenir Next LT Pro" w:hAnsi="Avenir Next LT Pro" w:cstheme="minorHAnsi"/>
                <w:sz w:val="20"/>
                <w:szCs w:val="20"/>
                <w:lang w:eastAsia="fr-CA"/>
              </w:rPr>
            </w:pPr>
            <w:r w:rsidRPr="00F8091E">
              <w:rPr>
                <w:rFonts w:ascii="Avenir Next LT Pro" w:hAnsi="Avenir Next LT Pro" w:cstheme="minorHAnsi"/>
                <w:b/>
                <w:bCs/>
                <w:sz w:val="20"/>
                <w:szCs w:val="20"/>
                <w:lang w:eastAsia="fr-CA"/>
              </w:rPr>
              <w:t>Risque</w:t>
            </w:r>
            <w:r w:rsidRPr="00F8091E">
              <w:rPr>
                <w:rFonts w:ascii="Avenir Next LT Pro" w:hAnsi="Avenir Next LT Pro" w:cstheme="minorHAnsi"/>
                <w:sz w:val="20"/>
                <w:szCs w:val="20"/>
                <w:lang w:eastAsia="fr-CA"/>
              </w:rPr>
              <w:t xml:space="preserve"> : </w:t>
            </w:r>
            <w:r w:rsidR="008D0EB8">
              <w:rPr>
                <w:rFonts w:ascii="Avenir Next LT Pro" w:hAnsi="Avenir Next LT Pro" w:cstheme="minorHAnsi"/>
                <w:sz w:val="20"/>
                <w:szCs w:val="20"/>
                <w:lang w:eastAsia="fr-CA"/>
              </w:rPr>
              <w:t xml:space="preserve">lourdeur administrative pour la validation </w:t>
            </w:r>
          </w:p>
        </w:tc>
        <w:tc>
          <w:tcPr>
            <w:tcW w:w="1213" w:type="dxa"/>
          </w:tcPr>
          <w:p w14:paraId="0F6F2EFA" w14:textId="548025D5" w:rsidR="005D140D" w:rsidRPr="00BB77ED" w:rsidRDefault="005D140D" w:rsidP="005D140D">
            <w:pPr>
              <w:spacing w:after="0"/>
              <w:jc w:val="center"/>
              <w:rPr>
                <w:rFonts w:ascii="Avenir Next LT Pro" w:hAnsi="Avenir Next LT Pro" w:cstheme="minorHAnsi"/>
                <w:sz w:val="20"/>
                <w:szCs w:val="20"/>
                <w:lang w:eastAsia="fr-CA"/>
              </w:rPr>
            </w:pPr>
            <w:r w:rsidRPr="00BB77ED">
              <w:rPr>
                <w:rFonts w:ascii="Avenir Next LT Pro" w:hAnsi="Avenir Next LT Pro"/>
                <w:sz w:val="20"/>
                <w:szCs w:val="20"/>
              </w:rPr>
              <w:t>Gouvernance et mobilisation des ressources</w:t>
            </w:r>
          </w:p>
        </w:tc>
        <w:tc>
          <w:tcPr>
            <w:tcW w:w="1484" w:type="dxa"/>
          </w:tcPr>
          <w:p w14:paraId="3769EF0F" w14:textId="795CEC41" w:rsidR="005D140D" w:rsidRPr="00BB77ED" w:rsidRDefault="005D140D" w:rsidP="005D140D">
            <w:pPr>
              <w:spacing w:after="0"/>
              <w:jc w:val="center"/>
              <w:rPr>
                <w:rFonts w:ascii="Avenir Next LT Pro" w:hAnsi="Avenir Next LT Pro" w:cstheme="minorHAnsi"/>
                <w:sz w:val="20"/>
                <w:szCs w:val="20"/>
                <w:lang w:eastAsia="fr-CA"/>
              </w:rPr>
            </w:pPr>
            <w:r w:rsidRPr="00BB77ED">
              <w:rPr>
                <w:rFonts w:ascii="Avenir Next LT Pro" w:hAnsi="Avenir Next LT Pro"/>
                <w:sz w:val="20"/>
                <w:szCs w:val="20"/>
              </w:rPr>
              <w:t>Mobilisation des ressources non-domestiques innovantes</w:t>
            </w:r>
          </w:p>
        </w:tc>
        <w:tc>
          <w:tcPr>
            <w:tcW w:w="797" w:type="dxa"/>
          </w:tcPr>
          <w:p w14:paraId="7604DBCD"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7143410E" w14:textId="77777777" w:rsidTr="007F45AB">
        <w:trPr>
          <w:gridAfter w:val="1"/>
          <w:wAfter w:w="28" w:type="dxa"/>
          <w:trHeight w:val="230"/>
        </w:trPr>
        <w:tc>
          <w:tcPr>
            <w:tcW w:w="1554" w:type="dxa"/>
            <w:shd w:val="clear" w:color="auto" w:fill="auto"/>
          </w:tcPr>
          <w:p w14:paraId="00FADDC1" w14:textId="27F00054" w:rsidR="005D140D" w:rsidRPr="00C345C4" w:rsidRDefault="005D140D" w:rsidP="005D140D">
            <w:pPr>
              <w:spacing w:after="0"/>
              <w:rPr>
                <w:rFonts w:ascii="Avenir Next LT Pro" w:hAnsi="Avenir Next LT Pro" w:cstheme="minorHAnsi"/>
                <w:i/>
                <w:sz w:val="20"/>
                <w:szCs w:val="20"/>
                <w:lang w:eastAsia="fr-CA"/>
              </w:rPr>
            </w:pPr>
            <w:r w:rsidRPr="00505B78">
              <w:rPr>
                <w:rFonts w:ascii="Avenir Next LT Pro" w:hAnsi="Avenir Next LT Pro" w:cstheme="minorHAnsi"/>
                <w:i/>
                <w:sz w:val="20"/>
                <w:szCs w:val="20"/>
                <w:lang w:eastAsia="fr-CA"/>
              </w:rPr>
              <w:t>Infrastructures des marchés de carbone en place et fonctionnelles</w:t>
            </w:r>
          </w:p>
        </w:tc>
        <w:tc>
          <w:tcPr>
            <w:tcW w:w="974" w:type="dxa"/>
            <w:shd w:val="clear" w:color="auto" w:fill="auto"/>
          </w:tcPr>
          <w:p w14:paraId="04A3EDE3"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2A715396"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3319E2BF" w14:textId="56EC9AD6"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ARMCA, PNUD, FONAREDD</w:t>
            </w:r>
          </w:p>
        </w:tc>
        <w:tc>
          <w:tcPr>
            <w:tcW w:w="1673" w:type="dxa"/>
            <w:shd w:val="clear" w:color="auto" w:fill="auto"/>
          </w:tcPr>
          <w:p w14:paraId="031C849F" w14:textId="54C25059" w:rsidR="005D140D" w:rsidRPr="00C345C4" w:rsidRDefault="005D140D" w:rsidP="005D140D">
            <w:pPr>
              <w:spacing w:after="0"/>
              <w:jc w:val="center"/>
              <w:rPr>
                <w:rFonts w:ascii="Avenir Next LT Pro" w:hAnsi="Avenir Next LT Pro" w:cstheme="minorHAnsi"/>
                <w:sz w:val="20"/>
                <w:szCs w:val="20"/>
                <w:lang w:eastAsia="fr-CA"/>
              </w:rPr>
            </w:pPr>
            <w:r w:rsidRPr="00740E67">
              <w:rPr>
                <w:rFonts w:ascii="Avenir Next LT Pro" w:hAnsi="Avenir Next LT Pro" w:cstheme="minorHAnsi"/>
                <w:sz w:val="20"/>
                <w:szCs w:val="20"/>
                <w:lang w:eastAsia="fr-CA"/>
              </w:rPr>
              <w:t>Un registre carbone</w:t>
            </w:r>
            <w:r>
              <w:rPr>
                <w:rFonts w:ascii="Avenir Next LT Pro" w:hAnsi="Avenir Next LT Pro" w:cstheme="minorHAnsi"/>
                <w:sz w:val="20"/>
                <w:szCs w:val="20"/>
                <w:lang w:eastAsia="fr-CA"/>
              </w:rPr>
              <w:t xml:space="preserve"> et </w:t>
            </w:r>
            <w:r w:rsidRPr="00740E67">
              <w:rPr>
                <w:rFonts w:ascii="Avenir Next LT Pro" w:hAnsi="Avenir Next LT Pro" w:cstheme="minorHAnsi"/>
                <w:sz w:val="20"/>
                <w:szCs w:val="20"/>
                <w:lang w:eastAsia="fr-CA"/>
              </w:rPr>
              <w:t xml:space="preserve">un système national de partage des bénéfices, sont développés et </w:t>
            </w:r>
            <w:r>
              <w:rPr>
                <w:rFonts w:ascii="Avenir Next LT Pro" w:hAnsi="Avenir Next LT Pro" w:cstheme="minorHAnsi"/>
                <w:sz w:val="20"/>
                <w:szCs w:val="20"/>
                <w:lang w:eastAsia="fr-CA"/>
              </w:rPr>
              <w:t>opérationnels</w:t>
            </w:r>
          </w:p>
        </w:tc>
        <w:tc>
          <w:tcPr>
            <w:tcW w:w="1673" w:type="dxa"/>
          </w:tcPr>
          <w:p w14:paraId="78186E76" w14:textId="49A1620E"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Un</w:t>
            </w:r>
            <w:r w:rsidRPr="007E6720">
              <w:rPr>
                <w:rFonts w:ascii="Avenir Next LT Pro" w:hAnsi="Avenir Next LT Pro" w:cstheme="minorHAnsi"/>
                <w:sz w:val="20"/>
                <w:szCs w:val="20"/>
                <w:lang w:eastAsia="fr-CA"/>
              </w:rPr>
              <w:t xml:space="preserve"> système de comptabilisation du carbone</w:t>
            </w:r>
            <w:r>
              <w:rPr>
                <w:rFonts w:ascii="Avenir Next LT Pro" w:hAnsi="Avenir Next LT Pro" w:cstheme="minorHAnsi"/>
                <w:sz w:val="20"/>
                <w:szCs w:val="20"/>
                <w:lang w:eastAsia="fr-CA"/>
              </w:rPr>
              <w:t xml:space="preserve"> est</w:t>
            </w:r>
            <w:r w:rsidRPr="007E6720">
              <w:rPr>
                <w:rFonts w:ascii="Avenir Next LT Pro" w:hAnsi="Avenir Next LT Pro" w:cstheme="minorHAnsi"/>
                <w:sz w:val="20"/>
                <w:szCs w:val="20"/>
                <w:lang w:eastAsia="fr-CA"/>
              </w:rPr>
              <w:t xml:space="preserve"> développé et </w:t>
            </w:r>
            <w:r>
              <w:rPr>
                <w:rFonts w:ascii="Avenir Next LT Pro" w:hAnsi="Avenir Next LT Pro" w:cstheme="minorHAnsi"/>
                <w:sz w:val="20"/>
                <w:szCs w:val="20"/>
                <w:lang w:eastAsia="fr-CA"/>
              </w:rPr>
              <w:t>opérationnel</w:t>
            </w:r>
          </w:p>
        </w:tc>
        <w:tc>
          <w:tcPr>
            <w:tcW w:w="992" w:type="dxa"/>
          </w:tcPr>
          <w:p w14:paraId="5C528AE2" w14:textId="0598D379" w:rsidR="005D140D" w:rsidRPr="00C345C4" w:rsidRDefault="005D140D" w:rsidP="005D140D">
            <w:pPr>
              <w:spacing w:after="0"/>
              <w:jc w:val="center"/>
              <w:rPr>
                <w:rFonts w:ascii="Avenir Next LT Pro" w:hAnsi="Avenir Next LT Pro" w:cstheme="minorHAnsi"/>
                <w:sz w:val="20"/>
                <w:szCs w:val="20"/>
                <w:lang w:eastAsia="fr-CA"/>
              </w:rPr>
            </w:pPr>
            <w:r w:rsidRPr="002D7C61">
              <w:rPr>
                <w:rFonts w:ascii="Avenir Next LT Pro" w:hAnsi="Avenir Next LT Pro" w:cstheme="minorHAnsi"/>
                <w:sz w:val="20"/>
                <w:szCs w:val="20"/>
                <w:lang w:val="fr-CD" w:eastAsia="fr-CA"/>
              </w:rPr>
              <w:t>Systèmes, plateformes, etc.</w:t>
            </w:r>
          </w:p>
        </w:tc>
        <w:tc>
          <w:tcPr>
            <w:tcW w:w="1111" w:type="dxa"/>
          </w:tcPr>
          <w:p w14:paraId="65A6E986" w14:textId="0AA89992"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4F59A952" w14:textId="6959210E"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55E7FE6A" w14:textId="2E6A3676" w:rsidR="005D140D" w:rsidRPr="004A33F5" w:rsidRDefault="005D140D" w:rsidP="005D140D">
            <w:pPr>
              <w:spacing w:after="0"/>
              <w:jc w:val="center"/>
              <w:rPr>
                <w:rFonts w:ascii="Avenir Next LT Pro" w:hAnsi="Avenir Next LT Pro" w:cstheme="minorHAnsi"/>
                <w:sz w:val="20"/>
                <w:szCs w:val="20"/>
                <w:lang w:eastAsia="fr-CA"/>
              </w:rPr>
            </w:pPr>
            <w:r w:rsidRPr="004A33F5">
              <w:rPr>
                <w:rFonts w:ascii="Avenir Next LT Pro" w:hAnsi="Avenir Next LT Pro" w:cstheme="minorHAnsi"/>
                <w:b/>
                <w:bCs/>
                <w:sz w:val="20"/>
                <w:szCs w:val="20"/>
                <w:lang w:eastAsia="fr-CA"/>
              </w:rPr>
              <w:t>Hypothèse </w:t>
            </w:r>
            <w:r w:rsidRPr="004A33F5">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 xml:space="preserve">Un système de maintenance assure la durabilité des infrastructure </w:t>
            </w:r>
          </w:p>
          <w:p w14:paraId="3DC1A15B" w14:textId="63E8ECA6" w:rsidR="005D140D" w:rsidRPr="00C345C4" w:rsidRDefault="005D140D" w:rsidP="005D140D">
            <w:pPr>
              <w:spacing w:after="0"/>
              <w:jc w:val="center"/>
              <w:rPr>
                <w:rFonts w:ascii="Avenir Next LT Pro" w:hAnsi="Avenir Next LT Pro" w:cstheme="minorHAnsi"/>
                <w:sz w:val="20"/>
                <w:szCs w:val="20"/>
                <w:lang w:eastAsia="fr-CA"/>
              </w:rPr>
            </w:pPr>
            <w:r w:rsidRPr="004A33F5">
              <w:rPr>
                <w:rFonts w:ascii="Avenir Next LT Pro" w:hAnsi="Avenir Next LT Pro" w:cstheme="minorHAnsi"/>
                <w:b/>
                <w:bCs/>
                <w:sz w:val="20"/>
                <w:szCs w:val="20"/>
                <w:lang w:eastAsia="fr-CA"/>
              </w:rPr>
              <w:t>Risque</w:t>
            </w:r>
            <w:r w:rsidRPr="004A33F5">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Les contraintes logistiques entravent l’accès aux infrastructures</w:t>
            </w:r>
          </w:p>
        </w:tc>
        <w:tc>
          <w:tcPr>
            <w:tcW w:w="1213" w:type="dxa"/>
          </w:tcPr>
          <w:p w14:paraId="4857EF7B" w14:textId="7B232D94" w:rsidR="005D140D" w:rsidRPr="00C345C4" w:rsidRDefault="005D140D" w:rsidP="005D140D">
            <w:pPr>
              <w:spacing w:after="0"/>
              <w:jc w:val="center"/>
              <w:rPr>
                <w:rFonts w:ascii="Avenir Next LT Pro" w:hAnsi="Avenir Next LT Pro" w:cstheme="minorHAnsi"/>
                <w:sz w:val="20"/>
                <w:szCs w:val="20"/>
                <w:lang w:eastAsia="fr-CA"/>
              </w:rPr>
            </w:pPr>
            <w:r w:rsidRPr="00BB77ED">
              <w:rPr>
                <w:rFonts w:ascii="Avenir Next LT Pro" w:hAnsi="Avenir Next LT Pro"/>
                <w:sz w:val="20"/>
                <w:szCs w:val="20"/>
              </w:rPr>
              <w:t>Gouvernance et mobilisation des ressources</w:t>
            </w:r>
          </w:p>
        </w:tc>
        <w:tc>
          <w:tcPr>
            <w:tcW w:w="1484" w:type="dxa"/>
          </w:tcPr>
          <w:p w14:paraId="708B3033" w14:textId="0F9878E2" w:rsidR="005D140D" w:rsidRPr="00C345C4" w:rsidRDefault="005D140D" w:rsidP="005D140D">
            <w:pPr>
              <w:spacing w:after="0"/>
              <w:jc w:val="center"/>
              <w:rPr>
                <w:rFonts w:ascii="Avenir Next LT Pro" w:hAnsi="Avenir Next LT Pro" w:cstheme="minorHAnsi"/>
                <w:sz w:val="20"/>
                <w:szCs w:val="20"/>
                <w:lang w:eastAsia="fr-CA"/>
              </w:rPr>
            </w:pPr>
            <w:r w:rsidRPr="00BB77ED">
              <w:rPr>
                <w:rFonts w:ascii="Avenir Next LT Pro" w:hAnsi="Avenir Next LT Pro"/>
                <w:sz w:val="20"/>
                <w:szCs w:val="20"/>
              </w:rPr>
              <w:t>Mobilisation des ressources non-domestiques innovantes</w:t>
            </w:r>
          </w:p>
        </w:tc>
        <w:tc>
          <w:tcPr>
            <w:tcW w:w="797" w:type="dxa"/>
          </w:tcPr>
          <w:p w14:paraId="26C511A9"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1B6B8E38" w14:textId="77777777" w:rsidTr="007F45AB">
        <w:trPr>
          <w:gridAfter w:val="1"/>
          <w:wAfter w:w="28" w:type="dxa"/>
          <w:trHeight w:val="230"/>
        </w:trPr>
        <w:tc>
          <w:tcPr>
            <w:tcW w:w="1554" w:type="dxa"/>
            <w:shd w:val="clear" w:color="auto" w:fill="auto"/>
          </w:tcPr>
          <w:p w14:paraId="4B29537D" w14:textId="07FE1029" w:rsidR="005D140D" w:rsidRPr="00C345C4" w:rsidRDefault="005D140D" w:rsidP="005D140D">
            <w:pPr>
              <w:spacing w:after="0"/>
              <w:rPr>
                <w:rFonts w:ascii="Avenir Next LT Pro" w:hAnsi="Avenir Next LT Pro" w:cstheme="minorHAnsi"/>
                <w:i/>
                <w:sz w:val="20"/>
                <w:szCs w:val="20"/>
                <w:lang w:eastAsia="fr-CA"/>
              </w:rPr>
            </w:pPr>
            <w:r w:rsidRPr="008A7A12">
              <w:rPr>
                <w:rFonts w:ascii="Avenir Next LT Pro" w:hAnsi="Avenir Next LT Pro" w:cstheme="minorHAnsi"/>
                <w:i/>
                <w:sz w:val="20"/>
                <w:szCs w:val="20"/>
                <w:lang w:eastAsia="fr-CA"/>
              </w:rPr>
              <w:t>Nombre de programmes juridictionnels développés et/ou mis en œuvre</w:t>
            </w:r>
          </w:p>
        </w:tc>
        <w:tc>
          <w:tcPr>
            <w:tcW w:w="974" w:type="dxa"/>
            <w:shd w:val="clear" w:color="auto" w:fill="auto"/>
          </w:tcPr>
          <w:p w14:paraId="3FE9276A"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6E99DFB4"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0B74BDD4" w14:textId="2027E033"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PNUD, ARMCA</w:t>
            </w:r>
            <w:r w:rsidRPr="00E877FB">
              <w:rPr>
                <w:rFonts w:ascii="Avenir Next LT Pro" w:hAnsi="Avenir Next LT Pro" w:cstheme="minorHAnsi"/>
                <w:sz w:val="20"/>
                <w:szCs w:val="20"/>
                <w:lang w:val="it-IT" w:eastAsia="fr-CA"/>
              </w:rPr>
              <w:lastRenderedPageBreak/>
              <w:t>, FONAREDD</w:t>
            </w:r>
          </w:p>
        </w:tc>
        <w:tc>
          <w:tcPr>
            <w:tcW w:w="1673" w:type="dxa"/>
            <w:shd w:val="clear" w:color="auto" w:fill="auto"/>
          </w:tcPr>
          <w:p w14:paraId="18A31235" w14:textId="5C2D3592" w:rsidR="005D140D" w:rsidRPr="00C345C4" w:rsidRDefault="005D140D" w:rsidP="005D140D">
            <w:pPr>
              <w:spacing w:after="0"/>
              <w:jc w:val="center"/>
              <w:rPr>
                <w:rFonts w:ascii="Avenir Next LT Pro" w:hAnsi="Avenir Next LT Pro" w:cstheme="minorHAnsi"/>
                <w:sz w:val="20"/>
                <w:szCs w:val="20"/>
                <w:lang w:eastAsia="fr-CA"/>
              </w:rPr>
            </w:pPr>
            <w:r w:rsidRPr="00D30E4F">
              <w:rPr>
                <w:rFonts w:ascii="Avenir Next LT Pro" w:hAnsi="Avenir Next LT Pro" w:cstheme="minorHAnsi"/>
                <w:sz w:val="20"/>
                <w:szCs w:val="20"/>
                <w:lang w:eastAsia="fr-CA"/>
              </w:rPr>
              <w:lastRenderedPageBreak/>
              <w:t xml:space="preserve">Au moins </w:t>
            </w:r>
            <w:r w:rsidRPr="0050570E">
              <w:rPr>
                <w:rFonts w:ascii="Avenir Next LT Pro" w:hAnsi="Avenir Next LT Pro" w:cstheme="minorHAnsi"/>
                <w:b/>
                <w:bCs/>
                <w:sz w:val="20"/>
                <w:szCs w:val="20"/>
                <w:lang w:eastAsia="fr-CA"/>
              </w:rPr>
              <w:t>1</w:t>
            </w:r>
            <w:r w:rsidRPr="00D30E4F">
              <w:rPr>
                <w:rFonts w:ascii="Avenir Next LT Pro" w:hAnsi="Avenir Next LT Pro" w:cstheme="minorHAnsi"/>
                <w:sz w:val="20"/>
                <w:szCs w:val="20"/>
                <w:lang w:eastAsia="fr-CA"/>
              </w:rPr>
              <w:t xml:space="preserve"> programme</w:t>
            </w:r>
            <w:r>
              <w:rPr>
                <w:rFonts w:ascii="Avenir Next LT Pro" w:hAnsi="Avenir Next LT Pro" w:cstheme="minorHAnsi"/>
                <w:sz w:val="20"/>
                <w:szCs w:val="20"/>
                <w:lang w:eastAsia="fr-CA"/>
              </w:rPr>
              <w:t xml:space="preserve"> </w:t>
            </w:r>
            <w:r w:rsidRPr="00D30E4F">
              <w:rPr>
                <w:rFonts w:ascii="Avenir Next LT Pro" w:hAnsi="Avenir Next LT Pro" w:cstheme="minorHAnsi"/>
                <w:sz w:val="20"/>
                <w:szCs w:val="20"/>
                <w:lang w:eastAsia="fr-CA"/>
              </w:rPr>
              <w:t>juridictionnel développé et/ou mis en œuvre</w:t>
            </w:r>
          </w:p>
        </w:tc>
        <w:tc>
          <w:tcPr>
            <w:tcW w:w="1673" w:type="dxa"/>
          </w:tcPr>
          <w:p w14:paraId="42FE4AD4" w14:textId="45FAAFF4" w:rsidR="005D140D" w:rsidRPr="00C345C4" w:rsidRDefault="005D140D" w:rsidP="005D140D">
            <w:pPr>
              <w:spacing w:after="0"/>
              <w:jc w:val="center"/>
              <w:rPr>
                <w:rFonts w:ascii="Avenir Next LT Pro" w:hAnsi="Avenir Next LT Pro" w:cstheme="minorHAnsi"/>
                <w:sz w:val="20"/>
                <w:szCs w:val="20"/>
                <w:lang w:eastAsia="fr-CA"/>
              </w:rPr>
            </w:pPr>
            <w:r w:rsidRPr="006D334C">
              <w:rPr>
                <w:rFonts w:ascii="Avenir Next LT Pro" w:hAnsi="Avenir Next LT Pro" w:cstheme="minorHAnsi"/>
                <w:sz w:val="20"/>
                <w:szCs w:val="20"/>
                <w:lang w:eastAsia="fr-CA"/>
              </w:rPr>
              <w:t xml:space="preserve">Au moins </w:t>
            </w:r>
            <w:r w:rsidRPr="00740E67">
              <w:rPr>
                <w:rFonts w:ascii="Avenir Next LT Pro" w:hAnsi="Avenir Next LT Pro" w:cstheme="minorHAnsi"/>
                <w:b/>
                <w:bCs/>
                <w:sz w:val="20"/>
                <w:szCs w:val="20"/>
                <w:lang w:eastAsia="fr-CA"/>
              </w:rPr>
              <w:t>2</w:t>
            </w:r>
            <w:r w:rsidRPr="006D334C">
              <w:rPr>
                <w:rFonts w:ascii="Avenir Next LT Pro" w:hAnsi="Avenir Next LT Pro" w:cstheme="minorHAnsi"/>
                <w:sz w:val="20"/>
                <w:szCs w:val="20"/>
                <w:lang w:eastAsia="fr-CA"/>
              </w:rPr>
              <w:t xml:space="preserve"> programmes juridictionnels développés et/ou mis en œuvre</w:t>
            </w:r>
          </w:p>
        </w:tc>
        <w:tc>
          <w:tcPr>
            <w:tcW w:w="992" w:type="dxa"/>
          </w:tcPr>
          <w:p w14:paraId="30897D1C" w14:textId="31A4D116" w:rsidR="005D140D" w:rsidRPr="00C345C4" w:rsidRDefault="005D140D" w:rsidP="005D140D">
            <w:pPr>
              <w:spacing w:after="0"/>
              <w:jc w:val="center"/>
              <w:rPr>
                <w:rFonts w:ascii="Avenir Next LT Pro" w:hAnsi="Avenir Next LT Pro" w:cstheme="minorHAnsi"/>
                <w:sz w:val="20"/>
                <w:szCs w:val="20"/>
                <w:lang w:eastAsia="fr-CA"/>
              </w:rPr>
            </w:pPr>
            <w:r w:rsidRPr="00C425A6">
              <w:rPr>
                <w:rFonts w:ascii="Avenir Next LT Pro" w:hAnsi="Avenir Next LT Pro" w:cstheme="minorHAnsi"/>
                <w:sz w:val="20"/>
                <w:szCs w:val="20"/>
                <w:lang w:val="fr-CD" w:eastAsia="fr-CA"/>
              </w:rPr>
              <w:t>Rapport d’activités</w:t>
            </w:r>
          </w:p>
        </w:tc>
        <w:tc>
          <w:tcPr>
            <w:tcW w:w="1111" w:type="dxa"/>
          </w:tcPr>
          <w:p w14:paraId="259169B3" w14:textId="78BCEA86"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5690B94A" w14:textId="6E04A979"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62197CE9" w14:textId="4BD459A7" w:rsidR="005D140D" w:rsidRPr="00CB7912" w:rsidRDefault="005D140D" w:rsidP="005D140D">
            <w:pPr>
              <w:spacing w:after="0"/>
              <w:jc w:val="center"/>
              <w:rPr>
                <w:rFonts w:ascii="Avenir Next LT Pro" w:hAnsi="Avenir Next LT Pro" w:cstheme="minorHAnsi"/>
                <w:sz w:val="20"/>
                <w:szCs w:val="20"/>
                <w:lang w:eastAsia="fr-CA"/>
              </w:rPr>
            </w:pPr>
            <w:r w:rsidRPr="00CB7912">
              <w:rPr>
                <w:rFonts w:ascii="Avenir Next LT Pro" w:hAnsi="Avenir Next LT Pro" w:cstheme="minorHAnsi"/>
                <w:b/>
                <w:bCs/>
                <w:sz w:val="20"/>
                <w:szCs w:val="20"/>
                <w:lang w:eastAsia="fr-CA"/>
              </w:rPr>
              <w:t>Hypothèse </w:t>
            </w:r>
            <w:r w:rsidRPr="00CB7912">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 xml:space="preserve">Les projets et programmes REDD+ s’articulent au niveau juridictionnel </w:t>
            </w:r>
          </w:p>
          <w:p w14:paraId="09212DBE" w14:textId="381BDF9C" w:rsidR="005D140D" w:rsidRPr="00C345C4" w:rsidRDefault="005D140D" w:rsidP="005D140D">
            <w:pPr>
              <w:spacing w:after="0"/>
              <w:jc w:val="center"/>
              <w:rPr>
                <w:rFonts w:ascii="Avenir Next LT Pro" w:hAnsi="Avenir Next LT Pro" w:cstheme="minorHAnsi"/>
                <w:sz w:val="20"/>
                <w:szCs w:val="20"/>
                <w:lang w:eastAsia="fr-CA"/>
              </w:rPr>
            </w:pPr>
            <w:r w:rsidRPr="00CB7912">
              <w:rPr>
                <w:rFonts w:ascii="Avenir Next LT Pro" w:hAnsi="Avenir Next LT Pro" w:cstheme="minorHAnsi"/>
                <w:b/>
                <w:bCs/>
                <w:sz w:val="20"/>
                <w:szCs w:val="20"/>
                <w:lang w:eastAsia="fr-CA"/>
              </w:rPr>
              <w:t>Risque</w:t>
            </w:r>
            <w:r w:rsidRPr="00CB7912">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 xml:space="preserve">Les promoteurs de projets REDD+ sont réfractaire </w:t>
            </w:r>
            <w:r>
              <w:rPr>
                <w:rFonts w:ascii="Avenir Next LT Pro" w:hAnsi="Avenir Next LT Pro" w:cstheme="minorHAnsi"/>
                <w:sz w:val="20"/>
                <w:szCs w:val="20"/>
                <w:lang w:eastAsia="fr-CA"/>
              </w:rPr>
              <w:lastRenderedPageBreak/>
              <w:t>à l’approche juridictionnelle</w:t>
            </w:r>
          </w:p>
        </w:tc>
        <w:tc>
          <w:tcPr>
            <w:tcW w:w="1213" w:type="dxa"/>
          </w:tcPr>
          <w:p w14:paraId="58E48E0A" w14:textId="740BE6D2" w:rsidR="005D140D" w:rsidRPr="00CB7912" w:rsidRDefault="005D140D" w:rsidP="005D140D">
            <w:pPr>
              <w:spacing w:after="0"/>
              <w:jc w:val="center"/>
              <w:rPr>
                <w:rFonts w:ascii="Avenir Next LT Pro" w:hAnsi="Avenir Next LT Pro" w:cstheme="minorHAnsi"/>
                <w:sz w:val="20"/>
                <w:szCs w:val="20"/>
                <w:lang w:eastAsia="fr-CA"/>
              </w:rPr>
            </w:pPr>
            <w:r w:rsidRPr="00CB7912">
              <w:rPr>
                <w:rFonts w:ascii="Avenir Next LT Pro" w:hAnsi="Avenir Next LT Pro"/>
                <w:sz w:val="20"/>
                <w:szCs w:val="20"/>
              </w:rPr>
              <w:lastRenderedPageBreak/>
              <w:t>Gouvernance et mobilisation des ressources</w:t>
            </w:r>
          </w:p>
        </w:tc>
        <w:tc>
          <w:tcPr>
            <w:tcW w:w="1484" w:type="dxa"/>
          </w:tcPr>
          <w:p w14:paraId="532A026E" w14:textId="07A30A04" w:rsidR="005D140D" w:rsidRPr="00CB7912" w:rsidRDefault="005D140D" w:rsidP="005D140D">
            <w:pPr>
              <w:spacing w:after="0"/>
              <w:jc w:val="center"/>
              <w:rPr>
                <w:rFonts w:ascii="Avenir Next LT Pro" w:hAnsi="Avenir Next LT Pro" w:cstheme="minorHAnsi"/>
                <w:sz w:val="20"/>
                <w:szCs w:val="20"/>
                <w:lang w:eastAsia="fr-CA"/>
              </w:rPr>
            </w:pPr>
            <w:r w:rsidRPr="00CB7912">
              <w:rPr>
                <w:rFonts w:ascii="Avenir Next LT Pro" w:hAnsi="Avenir Next LT Pro"/>
                <w:sz w:val="20"/>
                <w:szCs w:val="20"/>
              </w:rPr>
              <w:t>Mobilisation des ressources non-domestiques innovantes</w:t>
            </w:r>
          </w:p>
        </w:tc>
        <w:tc>
          <w:tcPr>
            <w:tcW w:w="797" w:type="dxa"/>
          </w:tcPr>
          <w:p w14:paraId="0DAC05EA"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5A2D3744" w14:textId="77777777" w:rsidTr="007F45AB">
        <w:trPr>
          <w:gridAfter w:val="1"/>
          <w:wAfter w:w="28" w:type="dxa"/>
          <w:trHeight w:val="230"/>
        </w:trPr>
        <w:tc>
          <w:tcPr>
            <w:tcW w:w="1554" w:type="dxa"/>
            <w:shd w:val="clear" w:color="auto" w:fill="auto"/>
          </w:tcPr>
          <w:p w14:paraId="369426CE" w14:textId="4A008511" w:rsidR="005D140D" w:rsidRPr="00C345C4" w:rsidRDefault="005D140D" w:rsidP="005D140D">
            <w:pPr>
              <w:spacing w:after="0"/>
              <w:rPr>
                <w:rFonts w:ascii="Avenir Next LT Pro" w:hAnsi="Avenir Next LT Pro" w:cstheme="minorHAnsi"/>
                <w:i/>
                <w:sz w:val="20"/>
                <w:szCs w:val="20"/>
                <w:lang w:eastAsia="fr-CA"/>
              </w:rPr>
            </w:pPr>
            <w:r w:rsidRPr="006E4DFC">
              <w:rPr>
                <w:rFonts w:ascii="Avenir Next LT Pro" w:hAnsi="Avenir Next LT Pro" w:cstheme="minorHAnsi"/>
                <w:i/>
                <w:sz w:val="20"/>
                <w:szCs w:val="20"/>
                <w:lang w:eastAsia="fr-CA"/>
              </w:rPr>
              <w:t>Existence d’un</w:t>
            </w:r>
            <w:r>
              <w:rPr>
                <w:rFonts w:ascii="Avenir Next LT Pro" w:hAnsi="Avenir Next LT Pro" w:cstheme="minorHAnsi"/>
                <w:i/>
                <w:sz w:val="20"/>
                <w:szCs w:val="20"/>
                <w:lang w:eastAsia="fr-CA"/>
              </w:rPr>
              <w:t>e</w:t>
            </w:r>
            <w:r w:rsidRPr="006E4DFC">
              <w:rPr>
                <w:rFonts w:ascii="Avenir Next LT Pro" w:hAnsi="Avenir Next LT Pro" w:cstheme="minorHAnsi"/>
                <w:i/>
                <w:sz w:val="20"/>
                <w:szCs w:val="20"/>
                <w:lang w:eastAsia="fr-CA"/>
              </w:rPr>
              <w:t xml:space="preserve"> </w:t>
            </w:r>
            <w:r>
              <w:rPr>
                <w:rFonts w:ascii="Avenir Next LT Pro" w:hAnsi="Avenir Next LT Pro" w:cstheme="minorHAnsi"/>
                <w:i/>
                <w:sz w:val="20"/>
                <w:szCs w:val="20"/>
                <w:lang w:eastAsia="fr-CA"/>
              </w:rPr>
              <w:t xml:space="preserve">approche nationale juridictionnel pour la REDD+ (REDD+ </w:t>
            </w:r>
            <w:proofErr w:type="spellStart"/>
            <w:r>
              <w:rPr>
                <w:rFonts w:ascii="Avenir Next LT Pro" w:hAnsi="Avenir Next LT Pro" w:cstheme="minorHAnsi"/>
                <w:i/>
                <w:sz w:val="20"/>
                <w:szCs w:val="20"/>
                <w:lang w:eastAsia="fr-CA"/>
              </w:rPr>
              <w:t>Nesting</w:t>
            </w:r>
            <w:proofErr w:type="spellEnd"/>
            <w:r>
              <w:rPr>
                <w:rFonts w:ascii="Avenir Next LT Pro" w:hAnsi="Avenir Next LT Pro" w:cstheme="minorHAnsi"/>
                <w:i/>
                <w:sz w:val="20"/>
                <w:szCs w:val="20"/>
                <w:lang w:eastAsia="fr-CA"/>
              </w:rPr>
              <w:t xml:space="preserve"> System) </w:t>
            </w:r>
            <w:r w:rsidRPr="006E4DFC">
              <w:rPr>
                <w:rFonts w:ascii="Avenir Next LT Pro" w:hAnsi="Avenir Next LT Pro" w:cstheme="minorHAnsi"/>
                <w:i/>
                <w:sz w:val="20"/>
                <w:szCs w:val="20"/>
                <w:lang w:eastAsia="fr-CA"/>
              </w:rPr>
              <w:t xml:space="preserve">  </w:t>
            </w:r>
          </w:p>
        </w:tc>
        <w:tc>
          <w:tcPr>
            <w:tcW w:w="974" w:type="dxa"/>
            <w:shd w:val="clear" w:color="auto" w:fill="auto"/>
          </w:tcPr>
          <w:p w14:paraId="18D4D755"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38558E0E"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6CA182B4" w14:textId="45376F13"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PNUD, ARMCA, FONAREDD</w:t>
            </w:r>
          </w:p>
        </w:tc>
        <w:tc>
          <w:tcPr>
            <w:tcW w:w="1673" w:type="dxa"/>
            <w:shd w:val="clear" w:color="auto" w:fill="auto"/>
          </w:tcPr>
          <w:p w14:paraId="0B201361" w14:textId="557AF8C7"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Draft de l’approche nationale juridictionnel REDD+</w:t>
            </w:r>
          </w:p>
        </w:tc>
        <w:tc>
          <w:tcPr>
            <w:tcW w:w="1673" w:type="dxa"/>
          </w:tcPr>
          <w:p w14:paraId="68941793" w14:textId="59457C37"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Approche nationale juridictionnelle REDD+ validée</w:t>
            </w:r>
          </w:p>
        </w:tc>
        <w:tc>
          <w:tcPr>
            <w:tcW w:w="992" w:type="dxa"/>
          </w:tcPr>
          <w:p w14:paraId="14594A1B" w14:textId="256A7FBF" w:rsidR="005D140D" w:rsidRPr="00C345C4" w:rsidRDefault="005D140D" w:rsidP="005D140D">
            <w:pPr>
              <w:spacing w:after="0"/>
              <w:jc w:val="center"/>
              <w:rPr>
                <w:rFonts w:ascii="Avenir Next LT Pro" w:hAnsi="Avenir Next LT Pro" w:cstheme="minorHAnsi"/>
                <w:sz w:val="20"/>
                <w:szCs w:val="20"/>
                <w:lang w:eastAsia="fr-CA"/>
              </w:rPr>
            </w:pPr>
            <w:r w:rsidRPr="003E15EE">
              <w:rPr>
                <w:rFonts w:ascii="Avenir Next LT Pro" w:hAnsi="Avenir Next LT Pro" w:cstheme="minorHAnsi"/>
                <w:sz w:val="20"/>
                <w:szCs w:val="20"/>
                <w:lang w:val="fr-CD" w:eastAsia="fr-CA"/>
              </w:rPr>
              <w:t>Rapport d’activités</w:t>
            </w:r>
          </w:p>
        </w:tc>
        <w:tc>
          <w:tcPr>
            <w:tcW w:w="1111" w:type="dxa"/>
          </w:tcPr>
          <w:p w14:paraId="407CB045" w14:textId="54B1AE14"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0A832554" w14:textId="419C9DF5"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75AF7B47" w14:textId="10A70D6A" w:rsidR="005D140D" w:rsidRPr="00FC28DD" w:rsidRDefault="005D140D" w:rsidP="005D140D">
            <w:pPr>
              <w:spacing w:after="0"/>
              <w:jc w:val="center"/>
              <w:rPr>
                <w:rFonts w:ascii="Avenir Next LT Pro" w:hAnsi="Avenir Next LT Pro" w:cstheme="minorHAnsi"/>
                <w:sz w:val="20"/>
                <w:szCs w:val="20"/>
                <w:lang w:eastAsia="fr-CA"/>
              </w:rPr>
            </w:pPr>
            <w:r w:rsidRPr="00FC28DD">
              <w:rPr>
                <w:rFonts w:ascii="Avenir Next LT Pro" w:hAnsi="Avenir Next LT Pro" w:cstheme="minorHAnsi"/>
                <w:b/>
                <w:bCs/>
                <w:sz w:val="20"/>
                <w:szCs w:val="20"/>
                <w:lang w:eastAsia="fr-CA"/>
              </w:rPr>
              <w:t>Hypothèse </w:t>
            </w:r>
            <w:r w:rsidRPr="00FC28DD">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L’approche juridictionnelle est développée de manière participative et inclusive</w:t>
            </w:r>
          </w:p>
          <w:p w14:paraId="643BCE52" w14:textId="029346C1" w:rsidR="005D140D" w:rsidRPr="00C345C4" w:rsidRDefault="005D140D" w:rsidP="005D140D">
            <w:pPr>
              <w:spacing w:after="0"/>
              <w:jc w:val="center"/>
              <w:rPr>
                <w:rFonts w:ascii="Avenir Next LT Pro" w:hAnsi="Avenir Next LT Pro" w:cstheme="minorHAnsi"/>
                <w:sz w:val="20"/>
                <w:szCs w:val="20"/>
                <w:lang w:eastAsia="fr-CA"/>
              </w:rPr>
            </w:pPr>
            <w:r w:rsidRPr="00FC28DD">
              <w:rPr>
                <w:rFonts w:ascii="Avenir Next LT Pro" w:hAnsi="Avenir Next LT Pro" w:cstheme="minorHAnsi"/>
                <w:b/>
                <w:bCs/>
                <w:sz w:val="20"/>
                <w:szCs w:val="20"/>
                <w:lang w:eastAsia="fr-CA"/>
              </w:rPr>
              <w:t>Risque</w:t>
            </w:r>
            <w:r w:rsidRPr="00FC28DD">
              <w:rPr>
                <w:rFonts w:ascii="Avenir Next LT Pro" w:hAnsi="Avenir Next LT Pro" w:cstheme="minorHAnsi"/>
                <w:sz w:val="20"/>
                <w:szCs w:val="20"/>
                <w:lang w:eastAsia="fr-CA"/>
              </w:rPr>
              <w:t> :</w:t>
            </w:r>
            <w:r>
              <w:rPr>
                <w:rFonts w:ascii="Avenir Next LT Pro" w:hAnsi="Avenir Next LT Pro" w:cstheme="minorHAnsi"/>
                <w:sz w:val="20"/>
                <w:szCs w:val="20"/>
                <w:lang w:eastAsia="fr-CA"/>
              </w:rPr>
              <w:t xml:space="preserve"> Les contraintes administratives et financières entravent l’application de l’approche juridictionnelle</w:t>
            </w:r>
          </w:p>
        </w:tc>
        <w:tc>
          <w:tcPr>
            <w:tcW w:w="1213" w:type="dxa"/>
          </w:tcPr>
          <w:p w14:paraId="65671294" w14:textId="6344F889" w:rsidR="005D140D" w:rsidRPr="00C345C4" w:rsidRDefault="005D140D" w:rsidP="005D140D">
            <w:pPr>
              <w:spacing w:after="0"/>
              <w:jc w:val="center"/>
              <w:rPr>
                <w:rFonts w:ascii="Avenir Next LT Pro" w:hAnsi="Avenir Next LT Pro" w:cstheme="minorHAnsi"/>
                <w:sz w:val="20"/>
                <w:szCs w:val="20"/>
                <w:lang w:eastAsia="fr-CA"/>
              </w:rPr>
            </w:pPr>
            <w:r w:rsidRPr="00FC28DD">
              <w:rPr>
                <w:rFonts w:ascii="Avenir Next LT Pro" w:hAnsi="Avenir Next LT Pro" w:cstheme="minorHAnsi"/>
                <w:sz w:val="20"/>
                <w:szCs w:val="20"/>
                <w:lang w:eastAsia="fr-CA"/>
              </w:rPr>
              <w:t>Gouvernance et mobilisation des ressources</w:t>
            </w:r>
          </w:p>
        </w:tc>
        <w:tc>
          <w:tcPr>
            <w:tcW w:w="1484" w:type="dxa"/>
          </w:tcPr>
          <w:p w14:paraId="3E409C18" w14:textId="0651EAA8" w:rsidR="005D140D" w:rsidRPr="00C345C4" w:rsidRDefault="005D140D" w:rsidP="005D140D">
            <w:pPr>
              <w:spacing w:after="0"/>
              <w:jc w:val="center"/>
              <w:rPr>
                <w:rFonts w:ascii="Avenir Next LT Pro" w:hAnsi="Avenir Next LT Pro" w:cstheme="minorHAnsi"/>
                <w:sz w:val="20"/>
                <w:szCs w:val="20"/>
                <w:lang w:eastAsia="fr-CA"/>
              </w:rPr>
            </w:pPr>
            <w:r w:rsidRPr="00FC28DD">
              <w:rPr>
                <w:rFonts w:ascii="Avenir Next LT Pro" w:hAnsi="Avenir Next LT Pro" w:cstheme="minorHAnsi"/>
                <w:sz w:val="20"/>
                <w:szCs w:val="20"/>
                <w:lang w:eastAsia="fr-CA"/>
              </w:rPr>
              <w:t>Mobilisation des ressources non-domestiques innovantes</w:t>
            </w:r>
          </w:p>
        </w:tc>
        <w:tc>
          <w:tcPr>
            <w:tcW w:w="797" w:type="dxa"/>
          </w:tcPr>
          <w:p w14:paraId="4FB126E0"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3AFAFAE3" w14:textId="77777777" w:rsidTr="007F45AB">
        <w:trPr>
          <w:gridAfter w:val="1"/>
          <w:wAfter w:w="28" w:type="dxa"/>
          <w:trHeight w:val="230"/>
        </w:trPr>
        <w:tc>
          <w:tcPr>
            <w:tcW w:w="1554" w:type="dxa"/>
            <w:shd w:val="clear" w:color="auto" w:fill="auto"/>
          </w:tcPr>
          <w:p w14:paraId="39406FFD" w14:textId="10FDAFAD" w:rsidR="005D140D" w:rsidRPr="00C345C4" w:rsidRDefault="005D140D" w:rsidP="005D140D">
            <w:pPr>
              <w:spacing w:after="0"/>
              <w:rPr>
                <w:rFonts w:ascii="Avenir Next LT Pro" w:hAnsi="Avenir Next LT Pro" w:cstheme="minorHAnsi"/>
                <w:i/>
                <w:sz w:val="20"/>
                <w:szCs w:val="20"/>
                <w:lang w:eastAsia="fr-CA"/>
              </w:rPr>
            </w:pPr>
            <w:r>
              <w:rPr>
                <w:rFonts w:ascii="Avenir Next LT Pro" w:hAnsi="Avenir Next LT Pro" w:cstheme="minorHAnsi"/>
                <w:i/>
                <w:sz w:val="20"/>
                <w:szCs w:val="20"/>
                <w:lang w:eastAsia="fr-CA"/>
              </w:rPr>
              <w:t>Quantité des émissions de CO</w:t>
            </w:r>
            <w:r w:rsidRPr="001207DC">
              <w:rPr>
                <w:rFonts w:ascii="Avenir Next LT Pro" w:hAnsi="Avenir Next LT Pro" w:cstheme="minorHAnsi"/>
                <w:i/>
                <w:sz w:val="20"/>
                <w:szCs w:val="20"/>
                <w:vertAlign w:val="subscript"/>
                <w:lang w:eastAsia="fr-CA"/>
              </w:rPr>
              <w:t>2</w:t>
            </w:r>
            <w:r>
              <w:rPr>
                <w:rFonts w:ascii="Avenir Next LT Pro" w:hAnsi="Avenir Next LT Pro" w:cstheme="minorHAnsi"/>
                <w:i/>
                <w:sz w:val="20"/>
                <w:szCs w:val="20"/>
                <w:lang w:eastAsia="fr-CA"/>
              </w:rPr>
              <w:t xml:space="preserve"> réduite par le programme juridictionnel</w:t>
            </w:r>
          </w:p>
        </w:tc>
        <w:tc>
          <w:tcPr>
            <w:tcW w:w="974" w:type="dxa"/>
            <w:shd w:val="clear" w:color="auto" w:fill="auto"/>
          </w:tcPr>
          <w:p w14:paraId="52619B39"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058CBE6A"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78151326" w14:textId="0371A0C8"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PNUD, ARMCA, FONAREDD</w:t>
            </w:r>
          </w:p>
        </w:tc>
        <w:tc>
          <w:tcPr>
            <w:tcW w:w="1673" w:type="dxa"/>
            <w:shd w:val="clear" w:color="auto" w:fill="auto"/>
          </w:tcPr>
          <w:p w14:paraId="5B8C9BA1" w14:textId="77777777" w:rsidR="005D140D" w:rsidRPr="00E877FB" w:rsidRDefault="005D140D" w:rsidP="005D140D">
            <w:pPr>
              <w:spacing w:after="0"/>
              <w:jc w:val="center"/>
              <w:rPr>
                <w:rFonts w:ascii="Avenir Next LT Pro" w:hAnsi="Avenir Next LT Pro" w:cstheme="minorHAnsi"/>
                <w:sz w:val="20"/>
                <w:szCs w:val="20"/>
                <w:lang w:val="it-IT" w:eastAsia="fr-CA"/>
              </w:rPr>
            </w:pPr>
          </w:p>
        </w:tc>
        <w:tc>
          <w:tcPr>
            <w:tcW w:w="1673" w:type="dxa"/>
          </w:tcPr>
          <w:p w14:paraId="3C3B4F06" w14:textId="267D3CC0"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TBD</w:t>
            </w:r>
          </w:p>
        </w:tc>
        <w:tc>
          <w:tcPr>
            <w:tcW w:w="992" w:type="dxa"/>
          </w:tcPr>
          <w:p w14:paraId="4A53635C" w14:textId="62F0555B"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Rapport de vérification</w:t>
            </w:r>
          </w:p>
        </w:tc>
        <w:tc>
          <w:tcPr>
            <w:tcW w:w="1111" w:type="dxa"/>
          </w:tcPr>
          <w:p w14:paraId="7C179384" w14:textId="6305A38B"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1</w:t>
            </w:r>
          </w:p>
        </w:tc>
        <w:tc>
          <w:tcPr>
            <w:tcW w:w="899" w:type="dxa"/>
          </w:tcPr>
          <w:p w14:paraId="2F8319A7" w14:textId="183952AD"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Y</w:t>
            </w:r>
          </w:p>
        </w:tc>
        <w:tc>
          <w:tcPr>
            <w:tcW w:w="2456" w:type="dxa"/>
          </w:tcPr>
          <w:p w14:paraId="1E58DC62" w14:textId="3AE10C49" w:rsidR="005D140D" w:rsidRPr="006C5AEC" w:rsidRDefault="005D140D" w:rsidP="005D140D">
            <w:pPr>
              <w:spacing w:after="0"/>
              <w:jc w:val="center"/>
              <w:rPr>
                <w:rFonts w:ascii="Avenir Next LT Pro" w:hAnsi="Avenir Next LT Pro" w:cstheme="minorHAnsi"/>
                <w:sz w:val="20"/>
                <w:szCs w:val="20"/>
                <w:lang w:eastAsia="fr-CA"/>
              </w:rPr>
            </w:pPr>
            <w:r w:rsidRPr="006C5AEC">
              <w:rPr>
                <w:rFonts w:ascii="Avenir Next LT Pro" w:hAnsi="Avenir Next LT Pro" w:cstheme="minorHAnsi"/>
                <w:b/>
                <w:bCs/>
                <w:sz w:val="20"/>
                <w:szCs w:val="20"/>
                <w:lang w:eastAsia="fr-CA"/>
              </w:rPr>
              <w:t>Hypothèse </w:t>
            </w:r>
            <w:r w:rsidRPr="006C5AEC">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Une ligne de référence des émissions de CO2 robuste existe au niveau juridictionnel</w:t>
            </w:r>
          </w:p>
          <w:p w14:paraId="537BE852" w14:textId="5AEE67A6" w:rsidR="005D140D" w:rsidRPr="00C345C4" w:rsidRDefault="005D140D" w:rsidP="005D140D">
            <w:pPr>
              <w:spacing w:after="0"/>
              <w:jc w:val="center"/>
              <w:rPr>
                <w:rFonts w:ascii="Avenir Next LT Pro" w:hAnsi="Avenir Next LT Pro" w:cstheme="minorHAnsi"/>
                <w:sz w:val="20"/>
                <w:szCs w:val="20"/>
                <w:lang w:eastAsia="fr-CA"/>
              </w:rPr>
            </w:pPr>
            <w:r w:rsidRPr="006C5AEC">
              <w:rPr>
                <w:rFonts w:ascii="Avenir Next LT Pro" w:hAnsi="Avenir Next LT Pro" w:cstheme="minorHAnsi"/>
                <w:b/>
                <w:bCs/>
                <w:sz w:val="20"/>
                <w:szCs w:val="20"/>
                <w:lang w:eastAsia="fr-CA"/>
              </w:rPr>
              <w:t>Risque</w:t>
            </w:r>
            <w:r w:rsidRPr="006C5AEC">
              <w:rPr>
                <w:rFonts w:ascii="Avenir Next LT Pro" w:hAnsi="Avenir Next LT Pro" w:cstheme="minorHAnsi"/>
                <w:sz w:val="20"/>
                <w:szCs w:val="20"/>
                <w:lang w:eastAsia="fr-CA"/>
              </w:rPr>
              <w:t xml:space="preserve"> : </w:t>
            </w:r>
            <w:r w:rsidRPr="00306597">
              <w:rPr>
                <w:rFonts w:ascii="Avenir Next LT Pro" w:hAnsi="Avenir Next LT Pro" w:cstheme="minorHAnsi"/>
                <w:sz w:val="20"/>
                <w:szCs w:val="20"/>
                <w:lang w:eastAsia="fr-CA"/>
              </w:rPr>
              <w:t>Les promoteurs de projets REDD+ sont réfractaire à l’approche juridictionnelle</w:t>
            </w:r>
          </w:p>
        </w:tc>
        <w:tc>
          <w:tcPr>
            <w:tcW w:w="1213" w:type="dxa"/>
          </w:tcPr>
          <w:p w14:paraId="538C64A9" w14:textId="1B778411" w:rsidR="005D140D" w:rsidRPr="00C345C4" w:rsidRDefault="005D140D" w:rsidP="005D140D">
            <w:pPr>
              <w:spacing w:after="0"/>
              <w:jc w:val="center"/>
              <w:rPr>
                <w:rFonts w:ascii="Avenir Next LT Pro" w:hAnsi="Avenir Next LT Pro" w:cstheme="minorHAnsi"/>
                <w:sz w:val="20"/>
                <w:szCs w:val="20"/>
                <w:lang w:eastAsia="fr-CA"/>
              </w:rPr>
            </w:pPr>
            <w:r w:rsidRPr="00306597">
              <w:rPr>
                <w:rFonts w:ascii="Avenir Next LT Pro" w:hAnsi="Avenir Next LT Pro" w:cstheme="minorHAnsi"/>
                <w:sz w:val="20"/>
                <w:szCs w:val="20"/>
                <w:lang w:eastAsia="fr-CA"/>
              </w:rPr>
              <w:t>Gouvernance et mobilisation des ressources</w:t>
            </w:r>
          </w:p>
        </w:tc>
        <w:tc>
          <w:tcPr>
            <w:tcW w:w="1484" w:type="dxa"/>
          </w:tcPr>
          <w:p w14:paraId="4BFE7D30" w14:textId="528F9400" w:rsidR="005D140D" w:rsidRPr="00C345C4" w:rsidRDefault="005D140D" w:rsidP="005D140D">
            <w:pPr>
              <w:spacing w:after="0"/>
              <w:jc w:val="center"/>
              <w:rPr>
                <w:rFonts w:ascii="Avenir Next LT Pro" w:hAnsi="Avenir Next LT Pro" w:cstheme="minorHAnsi"/>
                <w:sz w:val="20"/>
                <w:szCs w:val="20"/>
                <w:lang w:eastAsia="fr-CA"/>
              </w:rPr>
            </w:pPr>
            <w:r w:rsidRPr="00306597">
              <w:rPr>
                <w:rFonts w:ascii="Avenir Next LT Pro" w:hAnsi="Avenir Next LT Pro" w:cstheme="minorHAnsi"/>
                <w:sz w:val="20"/>
                <w:szCs w:val="20"/>
                <w:lang w:eastAsia="fr-CA"/>
              </w:rPr>
              <w:t>Mobilisation des ressources non-domestiques innovantes</w:t>
            </w:r>
          </w:p>
        </w:tc>
        <w:tc>
          <w:tcPr>
            <w:tcW w:w="797" w:type="dxa"/>
          </w:tcPr>
          <w:p w14:paraId="7D157373"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5D7FAB62" w14:textId="77777777" w:rsidTr="004641B3">
        <w:trPr>
          <w:trHeight w:val="230"/>
        </w:trPr>
        <w:tc>
          <w:tcPr>
            <w:tcW w:w="14854" w:type="dxa"/>
            <w:gridSpan w:val="12"/>
            <w:shd w:val="clear" w:color="auto" w:fill="E8F3D3" w:themeFill="accent2" w:themeFillTint="33"/>
            <w:vAlign w:val="center"/>
          </w:tcPr>
          <w:p w14:paraId="48A42DD9" w14:textId="08A9CF2B" w:rsidR="005D140D" w:rsidRPr="00C345C4" w:rsidRDefault="005D140D" w:rsidP="005D140D">
            <w:pPr>
              <w:spacing w:after="0"/>
              <w:jc w:val="both"/>
              <w:rPr>
                <w:rFonts w:ascii="Avenir Next LT Pro" w:hAnsi="Avenir Next LT Pro" w:cstheme="minorHAnsi"/>
                <w:sz w:val="20"/>
                <w:szCs w:val="20"/>
                <w:lang w:eastAsia="fr-CA"/>
              </w:rPr>
            </w:pPr>
            <w:r w:rsidRPr="00C345C4">
              <w:rPr>
                <w:rFonts w:ascii="Avenir Next LT Pro" w:hAnsi="Avenir Next LT Pro" w:cstheme="minorHAnsi"/>
                <w:b/>
                <w:sz w:val="20"/>
                <w:szCs w:val="20"/>
                <w:lang w:eastAsia="fr-CA"/>
              </w:rPr>
              <w:t xml:space="preserve">Produit </w:t>
            </w:r>
            <w:r>
              <w:rPr>
                <w:rFonts w:ascii="Avenir Next LT Pro" w:hAnsi="Avenir Next LT Pro" w:cstheme="minorHAnsi"/>
                <w:b/>
                <w:sz w:val="20"/>
                <w:szCs w:val="20"/>
                <w:lang w:eastAsia="fr-CA"/>
              </w:rPr>
              <w:t xml:space="preserve">3 : </w:t>
            </w:r>
            <w:r w:rsidRPr="00CC6AE6">
              <w:rPr>
                <w:rFonts w:ascii="Avenir Next LT Pro" w:hAnsi="Avenir Next LT Pro" w:cstheme="minorHAnsi"/>
                <w:b/>
                <w:i/>
                <w:sz w:val="20"/>
                <w:szCs w:val="20"/>
                <w:lang w:eastAsia="fr-CA"/>
              </w:rPr>
              <w:t>Des cadres de concertation inclusifs, la diplomatie environnementale, la communication et sensibilisation sont renforcés</w:t>
            </w:r>
            <w:r w:rsidRPr="00CC6AE6">
              <w:rPr>
                <w:rFonts w:ascii="Avenir Next LT Pro" w:hAnsi="Avenir Next LT Pro" w:cstheme="minorHAnsi"/>
                <w:b/>
                <w:sz w:val="20"/>
                <w:szCs w:val="20"/>
                <w:lang w:eastAsia="fr-CA"/>
              </w:rPr>
              <w:t xml:space="preserve"> </w:t>
            </w:r>
            <w:r w:rsidRPr="00EC6B70">
              <w:rPr>
                <w:rFonts w:ascii="Avenir Next LT Pro" w:hAnsi="Avenir Next LT Pro" w:cstheme="minorHAnsi"/>
                <w:b/>
                <w:sz w:val="20"/>
                <w:szCs w:val="20"/>
                <w:lang w:eastAsia="fr-CA"/>
              </w:rPr>
              <w:t xml:space="preserve">   </w:t>
            </w:r>
          </w:p>
        </w:tc>
      </w:tr>
      <w:tr w:rsidR="005D140D" w:rsidRPr="00C345C4" w14:paraId="209E0942" w14:textId="77777777" w:rsidTr="007F45AB">
        <w:trPr>
          <w:gridAfter w:val="1"/>
          <w:wAfter w:w="28" w:type="dxa"/>
          <w:trHeight w:val="230"/>
        </w:trPr>
        <w:tc>
          <w:tcPr>
            <w:tcW w:w="1554" w:type="dxa"/>
            <w:shd w:val="clear" w:color="auto" w:fill="auto"/>
          </w:tcPr>
          <w:p w14:paraId="6AB9403D" w14:textId="662EA9BA" w:rsidR="005D140D" w:rsidRPr="00C345C4" w:rsidRDefault="005D140D" w:rsidP="005D140D">
            <w:pPr>
              <w:spacing w:after="0"/>
              <w:rPr>
                <w:rFonts w:ascii="Avenir Next LT Pro" w:hAnsi="Avenir Next LT Pro" w:cstheme="minorHAnsi"/>
                <w:i/>
                <w:sz w:val="20"/>
                <w:szCs w:val="20"/>
                <w:lang w:eastAsia="fr-CA"/>
              </w:rPr>
            </w:pPr>
            <w:r>
              <w:rPr>
                <w:rFonts w:ascii="Avenir Next LT Pro" w:hAnsi="Avenir Next LT Pro" w:cstheme="minorHAnsi"/>
                <w:i/>
                <w:sz w:val="20"/>
                <w:szCs w:val="20"/>
                <w:lang w:eastAsia="fr-CA"/>
              </w:rPr>
              <w:t>Nombre de c</w:t>
            </w:r>
            <w:r w:rsidRPr="00426C79">
              <w:rPr>
                <w:rFonts w:ascii="Avenir Next LT Pro" w:hAnsi="Avenir Next LT Pro" w:cstheme="minorHAnsi"/>
                <w:i/>
                <w:sz w:val="20"/>
                <w:szCs w:val="20"/>
                <w:lang w:eastAsia="fr-CA"/>
              </w:rPr>
              <w:t xml:space="preserve">adres de dialogue et de concertation </w:t>
            </w:r>
          </w:p>
        </w:tc>
        <w:tc>
          <w:tcPr>
            <w:tcW w:w="974" w:type="dxa"/>
            <w:shd w:val="clear" w:color="auto" w:fill="auto"/>
          </w:tcPr>
          <w:p w14:paraId="0CB4E461"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12AA0674"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5FE24F4E" w14:textId="1FC63FDF"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PNUD, ARMCA, FONAREDD</w:t>
            </w:r>
          </w:p>
        </w:tc>
        <w:tc>
          <w:tcPr>
            <w:tcW w:w="1673" w:type="dxa"/>
            <w:shd w:val="clear" w:color="auto" w:fill="auto"/>
          </w:tcPr>
          <w:p w14:paraId="080959CD" w14:textId="6AB4EDC3" w:rsidR="005D140D" w:rsidRPr="00C345C4" w:rsidRDefault="005D140D" w:rsidP="005D140D">
            <w:pPr>
              <w:spacing w:after="0"/>
              <w:jc w:val="center"/>
              <w:rPr>
                <w:rFonts w:ascii="Avenir Next LT Pro" w:hAnsi="Avenir Next LT Pro" w:cstheme="minorHAnsi"/>
                <w:sz w:val="20"/>
                <w:szCs w:val="20"/>
                <w:lang w:eastAsia="fr-CA"/>
              </w:rPr>
            </w:pPr>
            <w:r w:rsidRPr="005745DC">
              <w:rPr>
                <w:rFonts w:ascii="Avenir Next LT Pro" w:hAnsi="Avenir Next LT Pro" w:cstheme="minorHAnsi"/>
                <w:sz w:val="20"/>
                <w:szCs w:val="20"/>
                <w:lang w:eastAsia="fr-CA"/>
              </w:rPr>
              <w:t xml:space="preserve">Au moins </w:t>
            </w:r>
            <w:r>
              <w:rPr>
                <w:rFonts w:ascii="Avenir Next LT Pro" w:hAnsi="Avenir Next LT Pro" w:cstheme="minorHAnsi"/>
                <w:sz w:val="20"/>
                <w:szCs w:val="20"/>
                <w:lang w:eastAsia="fr-CA"/>
              </w:rPr>
              <w:t>2</w:t>
            </w:r>
            <w:r w:rsidRPr="005745DC">
              <w:rPr>
                <w:rFonts w:ascii="Avenir Next LT Pro" w:hAnsi="Avenir Next LT Pro" w:cstheme="minorHAnsi"/>
                <w:sz w:val="20"/>
                <w:szCs w:val="20"/>
                <w:lang w:eastAsia="fr-CA"/>
              </w:rPr>
              <w:t xml:space="preserve"> cadres de concertation mobilisés</w:t>
            </w:r>
          </w:p>
        </w:tc>
        <w:tc>
          <w:tcPr>
            <w:tcW w:w="1673" w:type="dxa"/>
          </w:tcPr>
          <w:p w14:paraId="69C6C79D" w14:textId="25E2DBA6" w:rsidR="005D140D" w:rsidRPr="00C345C4" w:rsidRDefault="005D140D" w:rsidP="005D140D">
            <w:pPr>
              <w:spacing w:after="0"/>
              <w:jc w:val="center"/>
              <w:rPr>
                <w:rFonts w:ascii="Avenir Next LT Pro" w:hAnsi="Avenir Next LT Pro" w:cstheme="minorHAnsi"/>
                <w:sz w:val="20"/>
                <w:szCs w:val="20"/>
                <w:lang w:eastAsia="fr-CA"/>
              </w:rPr>
            </w:pPr>
            <w:r w:rsidRPr="005745DC">
              <w:rPr>
                <w:rFonts w:ascii="Avenir Next LT Pro" w:hAnsi="Avenir Next LT Pro" w:cstheme="minorHAnsi"/>
                <w:sz w:val="20"/>
                <w:szCs w:val="20"/>
                <w:lang w:eastAsia="fr-CA"/>
              </w:rPr>
              <w:t>Au moins 4 cadres de concertation mobilisés</w:t>
            </w:r>
          </w:p>
        </w:tc>
        <w:tc>
          <w:tcPr>
            <w:tcW w:w="992" w:type="dxa"/>
          </w:tcPr>
          <w:p w14:paraId="09E4D071" w14:textId="3507B29A" w:rsidR="005D140D" w:rsidRPr="00C345C4" w:rsidRDefault="005D140D" w:rsidP="005D140D">
            <w:pPr>
              <w:spacing w:after="0"/>
              <w:jc w:val="center"/>
              <w:rPr>
                <w:rFonts w:ascii="Avenir Next LT Pro" w:hAnsi="Avenir Next LT Pro" w:cstheme="minorHAnsi"/>
                <w:sz w:val="20"/>
                <w:szCs w:val="20"/>
                <w:lang w:eastAsia="fr-CA"/>
              </w:rPr>
            </w:pPr>
            <w:r w:rsidRPr="0069655B">
              <w:rPr>
                <w:rFonts w:ascii="Avenir Next LT Pro" w:hAnsi="Avenir Next LT Pro" w:cstheme="minorHAnsi"/>
                <w:sz w:val="20"/>
                <w:szCs w:val="20"/>
                <w:lang w:val="fr-CD" w:eastAsia="fr-CA"/>
              </w:rPr>
              <w:t>Rapports d’activités</w:t>
            </w:r>
          </w:p>
        </w:tc>
        <w:tc>
          <w:tcPr>
            <w:tcW w:w="1111" w:type="dxa"/>
          </w:tcPr>
          <w:p w14:paraId="2A1D42F0" w14:textId="3A47FDAE"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3F9DBA65" w14:textId="16E52DA3"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1D3322C4" w14:textId="2129FD54" w:rsidR="005D140D" w:rsidRPr="00E27D84" w:rsidRDefault="005D140D" w:rsidP="005D140D">
            <w:pPr>
              <w:spacing w:after="0"/>
              <w:jc w:val="center"/>
              <w:rPr>
                <w:rFonts w:ascii="Avenir Next LT Pro" w:hAnsi="Avenir Next LT Pro" w:cstheme="minorHAnsi"/>
                <w:sz w:val="20"/>
                <w:szCs w:val="20"/>
                <w:lang w:eastAsia="fr-CA"/>
              </w:rPr>
            </w:pPr>
            <w:r w:rsidRPr="00E27D84">
              <w:rPr>
                <w:rFonts w:ascii="Avenir Next LT Pro" w:hAnsi="Avenir Next LT Pro" w:cstheme="minorHAnsi"/>
                <w:b/>
                <w:bCs/>
                <w:sz w:val="20"/>
                <w:szCs w:val="20"/>
                <w:lang w:eastAsia="fr-CA"/>
              </w:rPr>
              <w:t>Hypothèse </w:t>
            </w:r>
            <w:r w:rsidRPr="00E27D84">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Les cadres de dialogue et de concertation sont inclusifs et participatifs</w:t>
            </w:r>
          </w:p>
          <w:p w14:paraId="210479ED" w14:textId="39352E6C" w:rsidR="005D140D" w:rsidRPr="00C345C4" w:rsidRDefault="005D140D" w:rsidP="005D140D">
            <w:pPr>
              <w:spacing w:after="0"/>
              <w:jc w:val="center"/>
              <w:rPr>
                <w:rFonts w:ascii="Avenir Next LT Pro" w:hAnsi="Avenir Next LT Pro" w:cstheme="minorHAnsi"/>
                <w:sz w:val="20"/>
                <w:szCs w:val="20"/>
                <w:lang w:eastAsia="fr-CA"/>
              </w:rPr>
            </w:pPr>
            <w:r w:rsidRPr="00E27D84">
              <w:rPr>
                <w:rFonts w:ascii="Avenir Next LT Pro" w:hAnsi="Avenir Next LT Pro" w:cstheme="minorHAnsi"/>
                <w:b/>
                <w:bCs/>
                <w:sz w:val="20"/>
                <w:szCs w:val="20"/>
                <w:lang w:eastAsia="fr-CA"/>
              </w:rPr>
              <w:t>Risque</w:t>
            </w:r>
            <w:r w:rsidRPr="00E27D84">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Les contraintes logistiques et financières entrainent une faible participation des couches défavorisés</w:t>
            </w:r>
          </w:p>
        </w:tc>
        <w:tc>
          <w:tcPr>
            <w:tcW w:w="1213" w:type="dxa"/>
          </w:tcPr>
          <w:p w14:paraId="43C64CA5" w14:textId="06192B4A" w:rsidR="005D140D" w:rsidRPr="00C345C4" w:rsidRDefault="005D140D" w:rsidP="005D140D">
            <w:pPr>
              <w:spacing w:after="0"/>
              <w:jc w:val="center"/>
              <w:rPr>
                <w:rFonts w:ascii="Avenir Next LT Pro" w:hAnsi="Avenir Next LT Pro" w:cstheme="minorHAnsi"/>
                <w:sz w:val="20"/>
                <w:szCs w:val="20"/>
                <w:lang w:eastAsia="fr-CA"/>
              </w:rPr>
            </w:pPr>
            <w:r w:rsidRPr="001542A5">
              <w:rPr>
                <w:rFonts w:ascii="Avenir Next LT Pro" w:hAnsi="Avenir Next LT Pro" w:cstheme="minorHAnsi"/>
                <w:sz w:val="20"/>
                <w:szCs w:val="20"/>
                <w:lang w:eastAsia="fr-CA"/>
              </w:rPr>
              <w:t>Gouvernance et mobilisation des ressources</w:t>
            </w:r>
          </w:p>
        </w:tc>
        <w:tc>
          <w:tcPr>
            <w:tcW w:w="1484" w:type="dxa"/>
          </w:tcPr>
          <w:p w14:paraId="29771DB9" w14:textId="2F7E9762" w:rsidR="005D140D" w:rsidRPr="00C345C4" w:rsidRDefault="005D140D" w:rsidP="005D140D">
            <w:pPr>
              <w:spacing w:after="0"/>
              <w:jc w:val="center"/>
              <w:rPr>
                <w:rFonts w:ascii="Avenir Next LT Pro" w:hAnsi="Avenir Next LT Pro" w:cstheme="minorHAnsi"/>
                <w:sz w:val="20"/>
                <w:szCs w:val="20"/>
                <w:lang w:eastAsia="fr-CA"/>
              </w:rPr>
            </w:pPr>
            <w:r w:rsidRPr="001542A5">
              <w:rPr>
                <w:rFonts w:ascii="Avenir Next LT Pro" w:hAnsi="Avenir Next LT Pro" w:cstheme="minorHAnsi"/>
                <w:sz w:val="20"/>
                <w:szCs w:val="20"/>
                <w:lang w:eastAsia="fr-CA"/>
              </w:rPr>
              <w:t>Mobilisation des ressources non-domestiques innovantes</w:t>
            </w:r>
          </w:p>
        </w:tc>
        <w:tc>
          <w:tcPr>
            <w:tcW w:w="797" w:type="dxa"/>
          </w:tcPr>
          <w:p w14:paraId="59BC1C7F"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22E7F6AD" w14:textId="77777777" w:rsidTr="007F45AB">
        <w:trPr>
          <w:gridAfter w:val="1"/>
          <w:wAfter w:w="28" w:type="dxa"/>
          <w:trHeight w:val="230"/>
        </w:trPr>
        <w:tc>
          <w:tcPr>
            <w:tcW w:w="1554" w:type="dxa"/>
            <w:shd w:val="clear" w:color="auto" w:fill="auto"/>
          </w:tcPr>
          <w:p w14:paraId="2C95CB53" w14:textId="4D09C2AC" w:rsidR="005D140D" w:rsidRPr="00C345C4" w:rsidRDefault="005D140D" w:rsidP="005D140D">
            <w:pPr>
              <w:spacing w:after="0"/>
              <w:rPr>
                <w:rFonts w:ascii="Avenir Next LT Pro" w:hAnsi="Avenir Next LT Pro" w:cstheme="minorHAnsi"/>
                <w:i/>
                <w:sz w:val="20"/>
                <w:szCs w:val="20"/>
                <w:lang w:eastAsia="fr-CA"/>
              </w:rPr>
            </w:pPr>
            <w:r>
              <w:rPr>
                <w:rFonts w:ascii="Avenir Next LT Pro" w:hAnsi="Avenir Next LT Pro" w:cstheme="minorHAnsi"/>
                <w:i/>
                <w:sz w:val="20"/>
                <w:szCs w:val="20"/>
                <w:lang w:eastAsia="fr-CA"/>
              </w:rPr>
              <w:lastRenderedPageBreak/>
              <w:t>Nombre de participation à</w:t>
            </w:r>
            <w:r w:rsidRPr="00FF5684">
              <w:rPr>
                <w:rFonts w:ascii="Avenir Next LT Pro" w:hAnsi="Avenir Next LT Pro" w:cstheme="minorHAnsi"/>
                <w:i/>
                <w:sz w:val="20"/>
                <w:szCs w:val="20"/>
                <w:lang w:eastAsia="fr-CA"/>
              </w:rPr>
              <w:t xml:space="preserve"> des dialogues/négociations internationales</w:t>
            </w:r>
          </w:p>
        </w:tc>
        <w:tc>
          <w:tcPr>
            <w:tcW w:w="974" w:type="dxa"/>
            <w:shd w:val="clear" w:color="auto" w:fill="auto"/>
          </w:tcPr>
          <w:p w14:paraId="0F78BF3E"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264D6067"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09A60C11" w14:textId="01780FB6"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PNUD, ARMCA, FONAREDD</w:t>
            </w:r>
          </w:p>
        </w:tc>
        <w:tc>
          <w:tcPr>
            <w:tcW w:w="1673" w:type="dxa"/>
            <w:shd w:val="clear" w:color="auto" w:fill="auto"/>
          </w:tcPr>
          <w:p w14:paraId="4229A4A5" w14:textId="1A9FE6A2" w:rsidR="005D140D" w:rsidRPr="00C345C4" w:rsidRDefault="005D140D" w:rsidP="005D140D">
            <w:pPr>
              <w:spacing w:after="0"/>
              <w:jc w:val="center"/>
              <w:rPr>
                <w:rFonts w:ascii="Avenir Next LT Pro" w:hAnsi="Avenir Next LT Pro" w:cstheme="minorHAnsi"/>
                <w:sz w:val="20"/>
                <w:szCs w:val="20"/>
                <w:lang w:eastAsia="fr-CA"/>
              </w:rPr>
            </w:pPr>
            <w:r w:rsidRPr="00610F6B">
              <w:rPr>
                <w:rFonts w:ascii="Avenir Next LT Pro" w:hAnsi="Avenir Next LT Pro" w:cstheme="minorHAnsi"/>
                <w:sz w:val="20"/>
                <w:szCs w:val="20"/>
                <w:lang w:eastAsia="fr-CA"/>
              </w:rPr>
              <w:t xml:space="preserve">Au moins </w:t>
            </w:r>
            <w:r>
              <w:rPr>
                <w:rFonts w:ascii="Avenir Next LT Pro" w:hAnsi="Avenir Next LT Pro" w:cstheme="minorHAnsi"/>
                <w:sz w:val="20"/>
                <w:szCs w:val="20"/>
                <w:lang w:eastAsia="fr-CA"/>
              </w:rPr>
              <w:t>2</w:t>
            </w:r>
            <w:r w:rsidRPr="00610F6B">
              <w:rPr>
                <w:rFonts w:ascii="Avenir Next LT Pro" w:hAnsi="Avenir Next LT Pro" w:cstheme="minorHAnsi"/>
                <w:sz w:val="20"/>
                <w:szCs w:val="20"/>
                <w:lang w:eastAsia="fr-CA"/>
              </w:rPr>
              <w:t xml:space="preserve"> participations à des dialogues/négociations internationales</w:t>
            </w:r>
          </w:p>
        </w:tc>
        <w:tc>
          <w:tcPr>
            <w:tcW w:w="1673" w:type="dxa"/>
          </w:tcPr>
          <w:p w14:paraId="529E17D2" w14:textId="72918D14"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A</w:t>
            </w:r>
            <w:r w:rsidRPr="00610F6B">
              <w:rPr>
                <w:rFonts w:ascii="Avenir Next LT Pro" w:hAnsi="Avenir Next LT Pro" w:cstheme="minorHAnsi"/>
                <w:sz w:val="20"/>
                <w:szCs w:val="20"/>
                <w:lang w:eastAsia="fr-CA"/>
              </w:rPr>
              <w:t xml:space="preserve">u moins 5 </w:t>
            </w:r>
            <w:r>
              <w:rPr>
                <w:rFonts w:ascii="Avenir Next LT Pro" w:hAnsi="Avenir Next LT Pro" w:cstheme="minorHAnsi"/>
                <w:sz w:val="20"/>
                <w:szCs w:val="20"/>
                <w:lang w:eastAsia="fr-CA"/>
              </w:rPr>
              <w:t xml:space="preserve">participations à des </w:t>
            </w:r>
            <w:r w:rsidRPr="00610F6B">
              <w:rPr>
                <w:rFonts w:ascii="Avenir Next LT Pro" w:hAnsi="Avenir Next LT Pro" w:cstheme="minorHAnsi"/>
                <w:sz w:val="20"/>
                <w:szCs w:val="20"/>
                <w:lang w:eastAsia="fr-CA"/>
              </w:rPr>
              <w:t>dialogues/négociations internationales</w:t>
            </w:r>
          </w:p>
        </w:tc>
        <w:tc>
          <w:tcPr>
            <w:tcW w:w="992" w:type="dxa"/>
          </w:tcPr>
          <w:p w14:paraId="1604B0E1" w14:textId="614DC89A" w:rsidR="005D140D" w:rsidRPr="00C345C4" w:rsidRDefault="005D140D" w:rsidP="005D140D">
            <w:pPr>
              <w:spacing w:after="0"/>
              <w:jc w:val="center"/>
              <w:rPr>
                <w:rFonts w:ascii="Avenir Next LT Pro" w:hAnsi="Avenir Next LT Pro" w:cstheme="minorHAnsi"/>
                <w:sz w:val="20"/>
                <w:szCs w:val="20"/>
                <w:lang w:eastAsia="fr-CA"/>
              </w:rPr>
            </w:pPr>
            <w:r w:rsidRPr="00CE60F1">
              <w:rPr>
                <w:rFonts w:ascii="Avenir Next LT Pro" w:hAnsi="Avenir Next LT Pro" w:cstheme="minorHAnsi"/>
                <w:sz w:val="20"/>
                <w:szCs w:val="20"/>
                <w:lang w:val="fr-CD" w:eastAsia="fr-CA"/>
              </w:rPr>
              <w:t>Rapports d’activités</w:t>
            </w:r>
          </w:p>
        </w:tc>
        <w:tc>
          <w:tcPr>
            <w:tcW w:w="1111" w:type="dxa"/>
          </w:tcPr>
          <w:p w14:paraId="4D025631" w14:textId="41AADD2E"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6DB18751" w14:textId="75826FCA"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19EBD1AE" w14:textId="532208D6" w:rsidR="005D140D" w:rsidRPr="003F0A27" w:rsidRDefault="005D140D" w:rsidP="005D140D">
            <w:pPr>
              <w:spacing w:after="0"/>
              <w:jc w:val="center"/>
              <w:rPr>
                <w:rFonts w:ascii="Avenir Next LT Pro" w:hAnsi="Avenir Next LT Pro" w:cstheme="minorHAnsi"/>
                <w:sz w:val="20"/>
                <w:szCs w:val="20"/>
                <w:lang w:eastAsia="fr-CA"/>
              </w:rPr>
            </w:pPr>
            <w:r w:rsidRPr="003F0A27">
              <w:rPr>
                <w:rFonts w:ascii="Avenir Next LT Pro" w:hAnsi="Avenir Next LT Pro" w:cstheme="minorHAnsi"/>
                <w:b/>
                <w:bCs/>
                <w:sz w:val="20"/>
                <w:szCs w:val="20"/>
                <w:lang w:eastAsia="fr-CA"/>
              </w:rPr>
              <w:t>Hypothèse </w:t>
            </w:r>
            <w:r w:rsidRPr="003F0A27">
              <w:rPr>
                <w:rFonts w:ascii="Avenir Next LT Pro" w:hAnsi="Avenir Next LT Pro" w:cstheme="minorHAnsi"/>
                <w:sz w:val="20"/>
                <w:szCs w:val="20"/>
                <w:lang w:eastAsia="fr-CA"/>
              </w:rPr>
              <w:t>: Les dialogue</w:t>
            </w:r>
            <w:r>
              <w:rPr>
                <w:rFonts w:ascii="Avenir Next LT Pro" w:hAnsi="Avenir Next LT Pro" w:cstheme="minorHAnsi"/>
                <w:sz w:val="20"/>
                <w:szCs w:val="20"/>
                <w:lang w:eastAsia="fr-CA"/>
              </w:rPr>
              <w:t xml:space="preserve">s/négociations internationales </w:t>
            </w:r>
            <w:r w:rsidRPr="003F0A27">
              <w:rPr>
                <w:rFonts w:ascii="Avenir Next LT Pro" w:hAnsi="Avenir Next LT Pro" w:cstheme="minorHAnsi"/>
                <w:sz w:val="20"/>
                <w:szCs w:val="20"/>
                <w:lang w:eastAsia="fr-CA"/>
              </w:rPr>
              <w:t>sont inclusi</w:t>
            </w:r>
            <w:r>
              <w:rPr>
                <w:rFonts w:ascii="Avenir Next LT Pro" w:hAnsi="Avenir Next LT Pro" w:cstheme="minorHAnsi"/>
                <w:sz w:val="20"/>
                <w:szCs w:val="20"/>
                <w:lang w:eastAsia="fr-CA"/>
              </w:rPr>
              <w:t>ves</w:t>
            </w:r>
            <w:r w:rsidRPr="003F0A27">
              <w:rPr>
                <w:rFonts w:ascii="Avenir Next LT Pro" w:hAnsi="Avenir Next LT Pro" w:cstheme="minorHAnsi"/>
                <w:sz w:val="20"/>
                <w:szCs w:val="20"/>
                <w:lang w:eastAsia="fr-CA"/>
              </w:rPr>
              <w:t xml:space="preserve"> et participatifs</w:t>
            </w:r>
          </w:p>
          <w:p w14:paraId="4EA10F62" w14:textId="1865F365" w:rsidR="005D140D" w:rsidRPr="00C345C4" w:rsidRDefault="005D140D" w:rsidP="005D140D">
            <w:pPr>
              <w:spacing w:after="0"/>
              <w:jc w:val="center"/>
              <w:rPr>
                <w:rFonts w:ascii="Avenir Next LT Pro" w:hAnsi="Avenir Next LT Pro" w:cstheme="minorHAnsi"/>
                <w:sz w:val="20"/>
                <w:szCs w:val="20"/>
                <w:lang w:eastAsia="fr-CA"/>
              </w:rPr>
            </w:pPr>
            <w:r w:rsidRPr="003F0A27">
              <w:rPr>
                <w:rFonts w:ascii="Avenir Next LT Pro" w:hAnsi="Avenir Next LT Pro" w:cstheme="minorHAnsi"/>
                <w:b/>
                <w:bCs/>
                <w:sz w:val="20"/>
                <w:szCs w:val="20"/>
                <w:lang w:eastAsia="fr-CA"/>
              </w:rPr>
              <w:t>Risque</w:t>
            </w:r>
            <w:r w:rsidRPr="003F0A27">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Le choix des participants repose sur des critères non objectifs</w:t>
            </w:r>
          </w:p>
        </w:tc>
        <w:tc>
          <w:tcPr>
            <w:tcW w:w="1213" w:type="dxa"/>
          </w:tcPr>
          <w:p w14:paraId="13D7FE3E" w14:textId="742DCD67" w:rsidR="005D140D" w:rsidRPr="00C345C4" w:rsidRDefault="005D140D" w:rsidP="005D140D">
            <w:pPr>
              <w:spacing w:after="0"/>
              <w:jc w:val="center"/>
              <w:rPr>
                <w:rFonts w:ascii="Avenir Next LT Pro" w:hAnsi="Avenir Next LT Pro" w:cstheme="minorHAnsi"/>
                <w:sz w:val="20"/>
                <w:szCs w:val="20"/>
                <w:lang w:eastAsia="fr-CA"/>
              </w:rPr>
            </w:pPr>
            <w:r w:rsidRPr="003F0A27">
              <w:rPr>
                <w:rFonts w:ascii="Avenir Next LT Pro" w:hAnsi="Avenir Next LT Pro" w:cstheme="minorHAnsi"/>
                <w:sz w:val="20"/>
                <w:szCs w:val="20"/>
                <w:lang w:eastAsia="fr-CA"/>
              </w:rPr>
              <w:t>Gouvernance et mobilisation des ressources</w:t>
            </w:r>
          </w:p>
        </w:tc>
        <w:tc>
          <w:tcPr>
            <w:tcW w:w="1484" w:type="dxa"/>
          </w:tcPr>
          <w:p w14:paraId="6041499E" w14:textId="035E1C36" w:rsidR="005D140D" w:rsidRPr="00C345C4" w:rsidRDefault="005D140D" w:rsidP="005D140D">
            <w:pPr>
              <w:spacing w:after="0"/>
              <w:jc w:val="center"/>
              <w:rPr>
                <w:rFonts w:ascii="Avenir Next LT Pro" w:hAnsi="Avenir Next LT Pro" w:cstheme="minorHAnsi"/>
                <w:sz w:val="20"/>
                <w:szCs w:val="20"/>
                <w:lang w:eastAsia="fr-CA"/>
              </w:rPr>
            </w:pPr>
            <w:r w:rsidRPr="003F0A27">
              <w:rPr>
                <w:rFonts w:ascii="Avenir Next LT Pro" w:hAnsi="Avenir Next LT Pro" w:cstheme="minorHAnsi"/>
                <w:sz w:val="20"/>
                <w:szCs w:val="20"/>
                <w:lang w:eastAsia="fr-CA"/>
              </w:rPr>
              <w:t>Mobilisation des ressources non-domestiques innovantes</w:t>
            </w:r>
          </w:p>
        </w:tc>
        <w:tc>
          <w:tcPr>
            <w:tcW w:w="797" w:type="dxa"/>
          </w:tcPr>
          <w:p w14:paraId="43B21BF9"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3B439CC2" w14:textId="77777777" w:rsidTr="007F45AB">
        <w:trPr>
          <w:gridAfter w:val="1"/>
          <w:wAfter w:w="28" w:type="dxa"/>
          <w:trHeight w:val="230"/>
        </w:trPr>
        <w:tc>
          <w:tcPr>
            <w:tcW w:w="1554" w:type="dxa"/>
            <w:shd w:val="clear" w:color="auto" w:fill="auto"/>
          </w:tcPr>
          <w:p w14:paraId="7ABDCBC4" w14:textId="55413744" w:rsidR="005D140D" w:rsidRPr="00C345C4" w:rsidRDefault="005D140D" w:rsidP="005D140D">
            <w:pPr>
              <w:spacing w:after="0"/>
              <w:rPr>
                <w:rFonts w:ascii="Avenir Next LT Pro" w:hAnsi="Avenir Next LT Pro" w:cstheme="minorHAnsi"/>
                <w:i/>
                <w:sz w:val="20"/>
                <w:szCs w:val="20"/>
                <w:lang w:eastAsia="fr-CA"/>
              </w:rPr>
            </w:pPr>
            <w:r w:rsidRPr="00D17FA5">
              <w:rPr>
                <w:rFonts w:ascii="Avenir Next LT Pro" w:hAnsi="Avenir Next LT Pro" w:cstheme="minorHAnsi"/>
                <w:i/>
                <w:sz w:val="20"/>
                <w:szCs w:val="20"/>
                <w:lang w:eastAsia="fr-CA"/>
              </w:rPr>
              <w:t>Existence d’un plan de communication et sensibilisation</w:t>
            </w:r>
          </w:p>
        </w:tc>
        <w:tc>
          <w:tcPr>
            <w:tcW w:w="974" w:type="dxa"/>
            <w:shd w:val="clear" w:color="auto" w:fill="auto"/>
          </w:tcPr>
          <w:p w14:paraId="4BA9E3C3"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4F938F86"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5E3F2718" w14:textId="6AF5DFCB"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PNUD, ARMCA, FONAREDD</w:t>
            </w:r>
          </w:p>
        </w:tc>
        <w:tc>
          <w:tcPr>
            <w:tcW w:w="1673" w:type="dxa"/>
            <w:shd w:val="clear" w:color="auto" w:fill="auto"/>
          </w:tcPr>
          <w:p w14:paraId="37CBBE87" w14:textId="7CCE356C" w:rsidR="005D140D" w:rsidRPr="00C345C4" w:rsidRDefault="005D140D" w:rsidP="005D140D">
            <w:pPr>
              <w:spacing w:after="0"/>
              <w:jc w:val="center"/>
              <w:rPr>
                <w:rFonts w:ascii="Avenir Next LT Pro" w:hAnsi="Avenir Next LT Pro" w:cstheme="minorHAnsi"/>
                <w:sz w:val="20"/>
                <w:szCs w:val="20"/>
                <w:lang w:eastAsia="fr-CA"/>
              </w:rPr>
            </w:pPr>
            <w:r w:rsidRPr="00C50FC5">
              <w:rPr>
                <w:rFonts w:ascii="Avenir Next LT Pro" w:hAnsi="Avenir Next LT Pro" w:cstheme="minorHAnsi"/>
                <w:sz w:val="20"/>
                <w:szCs w:val="20"/>
                <w:lang w:eastAsia="fr-CA"/>
              </w:rPr>
              <w:t xml:space="preserve">Un plan de communication et sensibilisation </w:t>
            </w:r>
            <w:r>
              <w:rPr>
                <w:rFonts w:ascii="Avenir Next LT Pro" w:hAnsi="Avenir Next LT Pro" w:cstheme="minorHAnsi"/>
                <w:sz w:val="20"/>
                <w:szCs w:val="20"/>
                <w:lang w:eastAsia="fr-CA"/>
              </w:rPr>
              <w:t xml:space="preserve">est validé </w:t>
            </w:r>
          </w:p>
        </w:tc>
        <w:tc>
          <w:tcPr>
            <w:tcW w:w="1673" w:type="dxa"/>
          </w:tcPr>
          <w:p w14:paraId="1E590FB8" w14:textId="2C309F44" w:rsidR="005D140D" w:rsidRPr="00C345C4" w:rsidRDefault="005D140D" w:rsidP="005D140D">
            <w:pPr>
              <w:spacing w:after="0"/>
              <w:jc w:val="center"/>
              <w:rPr>
                <w:rFonts w:ascii="Avenir Next LT Pro" w:hAnsi="Avenir Next LT Pro" w:cstheme="minorHAnsi"/>
                <w:sz w:val="20"/>
                <w:szCs w:val="20"/>
                <w:lang w:eastAsia="fr-CA"/>
              </w:rPr>
            </w:pPr>
            <w:r w:rsidRPr="00C50FC5">
              <w:rPr>
                <w:rFonts w:ascii="Avenir Next LT Pro" w:hAnsi="Avenir Next LT Pro" w:cstheme="minorHAnsi"/>
                <w:sz w:val="20"/>
                <w:szCs w:val="20"/>
                <w:lang w:eastAsia="fr-CA"/>
              </w:rPr>
              <w:t>Un plan de communication et sensibilisation mise en œuvre de manière effective</w:t>
            </w:r>
          </w:p>
        </w:tc>
        <w:tc>
          <w:tcPr>
            <w:tcW w:w="992" w:type="dxa"/>
          </w:tcPr>
          <w:p w14:paraId="59BCD50B" w14:textId="607FDBA9" w:rsidR="005D140D" w:rsidRPr="00C345C4" w:rsidRDefault="005D140D" w:rsidP="005D140D">
            <w:pPr>
              <w:spacing w:after="0"/>
              <w:jc w:val="center"/>
              <w:rPr>
                <w:rFonts w:ascii="Avenir Next LT Pro" w:hAnsi="Avenir Next LT Pro" w:cstheme="minorHAnsi"/>
                <w:sz w:val="20"/>
                <w:szCs w:val="20"/>
                <w:lang w:eastAsia="fr-CA"/>
              </w:rPr>
            </w:pPr>
            <w:r w:rsidRPr="00C50FC5">
              <w:rPr>
                <w:rFonts w:ascii="Avenir Next LT Pro" w:hAnsi="Avenir Next LT Pro" w:cstheme="minorHAnsi"/>
                <w:sz w:val="20"/>
                <w:szCs w:val="20"/>
                <w:lang w:val="fr-CD" w:eastAsia="fr-CA"/>
              </w:rPr>
              <w:t>Rapports d’activités</w:t>
            </w:r>
          </w:p>
        </w:tc>
        <w:tc>
          <w:tcPr>
            <w:tcW w:w="1111" w:type="dxa"/>
          </w:tcPr>
          <w:p w14:paraId="3C45E09C" w14:textId="1BBF8E26"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5FC6A3CD" w14:textId="2FDF3E25"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7E262C0F" w14:textId="23B10E1E" w:rsidR="005D140D" w:rsidRPr="00AD63D3" w:rsidRDefault="005D140D" w:rsidP="005D140D">
            <w:pPr>
              <w:spacing w:after="0"/>
              <w:jc w:val="center"/>
              <w:rPr>
                <w:rFonts w:ascii="Avenir Next LT Pro" w:hAnsi="Avenir Next LT Pro" w:cstheme="minorHAnsi"/>
                <w:sz w:val="20"/>
                <w:szCs w:val="20"/>
                <w:lang w:eastAsia="fr-CA"/>
              </w:rPr>
            </w:pPr>
            <w:r w:rsidRPr="00AD63D3">
              <w:rPr>
                <w:rFonts w:ascii="Avenir Next LT Pro" w:hAnsi="Avenir Next LT Pro" w:cstheme="minorHAnsi"/>
                <w:b/>
                <w:bCs/>
                <w:sz w:val="20"/>
                <w:szCs w:val="20"/>
                <w:lang w:eastAsia="fr-CA"/>
              </w:rPr>
              <w:t>Hypothèse </w:t>
            </w:r>
            <w:r w:rsidRPr="00AD63D3">
              <w:rPr>
                <w:rFonts w:ascii="Avenir Next LT Pro" w:hAnsi="Avenir Next LT Pro" w:cstheme="minorHAnsi"/>
                <w:sz w:val="20"/>
                <w:szCs w:val="20"/>
                <w:lang w:eastAsia="fr-CA"/>
              </w:rPr>
              <w:t xml:space="preserve">: </w:t>
            </w:r>
            <w:r>
              <w:rPr>
                <w:rFonts w:ascii="Avenir Next LT Pro" w:hAnsi="Avenir Next LT Pro" w:cstheme="minorHAnsi"/>
                <w:sz w:val="20"/>
                <w:szCs w:val="20"/>
                <w:lang w:eastAsia="fr-CA"/>
              </w:rPr>
              <w:t>Le plan de communication/sensibilisation est adapté aux besoins des différents publics ciblés</w:t>
            </w:r>
          </w:p>
          <w:p w14:paraId="6286D539" w14:textId="3A20E7A4" w:rsidR="005D140D" w:rsidRPr="00C345C4" w:rsidRDefault="005D140D" w:rsidP="005D140D">
            <w:pPr>
              <w:spacing w:after="0"/>
              <w:jc w:val="center"/>
              <w:rPr>
                <w:rFonts w:ascii="Avenir Next LT Pro" w:hAnsi="Avenir Next LT Pro" w:cstheme="minorHAnsi"/>
                <w:sz w:val="20"/>
                <w:szCs w:val="20"/>
                <w:lang w:eastAsia="fr-CA"/>
              </w:rPr>
            </w:pPr>
            <w:r w:rsidRPr="00AD63D3">
              <w:rPr>
                <w:rFonts w:ascii="Avenir Next LT Pro" w:hAnsi="Avenir Next LT Pro" w:cstheme="minorHAnsi"/>
                <w:b/>
                <w:bCs/>
                <w:sz w:val="20"/>
                <w:szCs w:val="20"/>
                <w:lang w:eastAsia="fr-CA"/>
              </w:rPr>
              <w:t>Risque</w:t>
            </w:r>
            <w:r w:rsidRPr="00AD63D3">
              <w:rPr>
                <w:rFonts w:ascii="Avenir Next LT Pro" w:hAnsi="Avenir Next LT Pro" w:cstheme="minorHAnsi"/>
                <w:sz w:val="20"/>
                <w:szCs w:val="20"/>
                <w:lang w:eastAsia="fr-CA"/>
              </w:rPr>
              <w:t xml:space="preserve"> : </w:t>
            </w:r>
            <w:r>
              <w:rPr>
                <w:rFonts w:ascii="Avenir Next LT Pro" w:hAnsi="Avenir Next LT Pro" w:cstheme="minorHAnsi"/>
                <w:sz w:val="20"/>
                <w:szCs w:val="20"/>
                <w:lang w:eastAsia="fr-CA"/>
              </w:rPr>
              <w:t>Les contraintes logistiques, techniques et financières entravent la mise en œuvre du plan de communication</w:t>
            </w:r>
          </w:p>
        </w:tc>
        <w:tc>
          <w:tcPr>
            <w:tcW w:w="1213" w:type="dxa"/>
          </w:tcPr>
          <w:p w14:paraId="69AEDF2B" w14:textId="505AFBB0" w:rsidR="005D140D" w:rsidRPr="00C345C4" w:rsidRDefault="005D140D" w:rsidP="005D140D">
            <w:pPr>
              <w:spacing w:after="0"/>
              <w:jc w:val="center"/>
              <w:rPr>
                <w:rFonts w:ascii="Avenir Next LT Pro" w:hAnsi="Avenir Next LT Pro" w:cstheme="minorHAnsi"/>
                <w:sz w:val="20"/>
                <w:szCs w:val="20"/>
                <w:lang w:eastAsia="fr-CA"/>
              </w:rPr>
            </w:pPr>
            <w:r w:rsidRPr="00C50FC5">
              <w:rPr>
                <w:rFonts w:ascii="Avenir Next LT Pro" w:hAnsi="Avenir Next LT Pro" w:cstheme="minorHAnsi"/>
                <w:sz w:val="20"/>
                <w:szCs w:val="20"/>
                <w:lang w:eastAsia="fr-CA"/>
              </w:rPr>
              <w:t>Gouvernance et mobilisation des ressources</w:t>
            </w:r>
          </w:p>
        </w:tc>
        <w:tc>
          <w:tcPr>
            <w:tcW w:w="1484" w:type="dxa"/>
          </w:tcPr>
          <w:p w14:paraId="74B4714D" w14:textId="4EEC9293" w:rsidR="005D140D" w:rsidRPr="00C345C4" w:rsidRDefault="005D140D" w:rsidP="005D140D">
            <w:pPr>
              <w:spacing w:after="0"/>
              <w:jc w:val="center"/>
              <w:rPr>
                <w:rFonts w:ascii="Avenir Next LT Pro" w:hAnsi="Avenir Next LT Pro" w:cstheme="minorHAnsi"/>
                <w:sz w:val="20"/>
                <w:szCs w:val="20"/>
                <w:lang w:eastAsia="fr-CA"/>
              </w:rPr>
            </w:pPr>
            <w:r w:rsidRPr="002D7587">
              <w:rPr>
                <w:rFonts w:ascii="Avenir Next LT Pro" w:hAnsi="Avenir Next LT Pro" w:cstheme="minorHAnsi"/>
                <w:sz w:val="20"/>
                <w:szCs w:val="20"/>
                <w:lang w:eastAsia="fr-CA"/>
              </w:rPr>
              <w:t>Mobilisation des ressources non-domestiques innovantes</w:t>
            </w:r>
          </w:p>
        </w:tc>
        <w:tc>
          <w:tcPr>
            <w:tcW w:w="797" w:type="dxa"/>
          </w:tcPr>
          <w:p w14:paraId="496B7A67" w14:textId="77777777" w:rsidR="005D140D" w:rsidRPr="00C345C4" w:rsidRDefault="005D140D" w:rsidP="005D140D">
            <w:pPr>
              <w:spacing w:after="0"/>
              <w:jc w:val="center"/>
              <w:rPr>
                <w:rFonts w:ascii="Avenir Next LT Pro" w:hAnsi="Avenir Next LT Pro" w:cstheme="minorHAnsi"/>
                <w:sz w:val="20"/>
                <w:szCs w:val="20"/>
                <w:lang w:eastAsia="fr-CA"/>
              </w:rPr>
            </w:pPr>
          </w:p>
        </w:tc>
      </w:tr>
      <w:tr w:rsidR="005D140D" w:rsidRPr="00C345C4" w14:paraId="18BA553C" w14:textId="77777777" w:rsidTr="007F45AB">
        <w:trPr>
          <w:gridAfter w:val="1"/>
          <w:wAfter w:w="28" w:type="dxa"/>
          <w:trHeight w:val="230"/>
        </w:trPr>
        <w:tc>
          <w:tcPr>
            <w:tcW w:w="1554" w:type="dxa"/>
            <w:shd w:val="clear" w:color="auto" w:fill="auto"/>
          </w:tcPr>
          <w:p w14:paraId="634CB323" w14:textId="2DC8195F" w:rsidR="005D140D" w:rsidRPr="00C345C4" w:rsidRDefault="005D140D" w:rsidP="005D140D">
            <w:pPr>
              <w:spacing w:after="0"/>
              <w:rPr>
                <w:rFonts w:ascii="Avenir Next LT Pro" w:hAnsi="Avenir Next LT Pro" w:cstheme="minorHAnsi"/>
                <w:i/>
                <w:sz w:val="20"/>
                <w:szCs w:val="20"/>
                <w:lang w:eastAsia="fr-CA"/>
              </w:rPr>
            </w:pPr>
            <w:r w:rsidRPr="00840028">
              <w:rPr>
                <w:rFonts w:ascii="Avenir Next LT Pro" w:hAnsi="Avenir Next LT Pro" w:cstheme="minorHAnsi"/>
                <w:i/>
                <w:sz w:val="20"/>
                <w:szCs w:val="20"/>
                <w:lang w:eastAsia="fr-CA"/>
              </w:rPr>
              <w:t>Existence d’un plan de gestion des connaissances</w:t>
            </w:r>
          </w:p>
        </w:tc>
        <w:tc>
          <w:tcPr>
            <w:tcW w:w="974" w:type="dxa"/>
            <w:shd w:val="clear" w:color="auto" w:fill="auto"/>
          </w:tcPr>
          <w:p w14:paraId="207EFC29" w14:textId="77777777"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2024</w:t>
            </w:r>
          </w:p>
          <w:p w14:paraId="429C621F" w14:textId="77777777" w:rsidR="005D140D" w:rsidRPr="00E877FB" w:rsidRDefault="005D140D" w:rsidP="005D140D">
            <w:pPr>
              <w:spacing w:after="0"/>
              <w:jc w:val="center"/>
              <w:rPr>
                <w:rFonts w:ascii="Avenir Next LT Pro" w:hAnsi="Avenir Next LT Pro" w:cstheme="minorHAnsi"/>
                <w:sz w:val="20"/>
                <w:szCs w:val="20"/>
                <w:lang w:val="it-IT" w:eastAsia="fr-CA"/>
              </w:rPr>
            </w:pPr>
          </w:p>
          <w:p w14:paraId="10812B65" w14:textId="046D2611" w:rsidR="005D140D" w:rsidRPr="00E877FB" w:rsidRDefault="005D140D" w:rsidP="005D140D">
            <w:pPr>
              <w:spacing w:after="0"/>
              <w:jc w:val="center"/>
              <w:rPr>
                <w:rFonts w:ascii="Avenir Next LT Pro" w:hAnsi="Avenir Next LT Pro" w:cstheme="minorHAnsi"/>
                <w:sz w:val="20"/>
                <w:szCs w:val="20"/>
                <w:lang w:val="it-IT" w:eastAsia="fr-CA"/>
              </w:rPr>
            </w:pPr>
            <w:r w:rsidRPr="00E877FB">
              <w:rPr>
                <w:rFonts w:ascii="Avenir Next LT Pro" w:hAnsi="Avenir Next LT Pro" w:cstheme="minorHAnsi"/>
                <w:sz w:val="20"/>
                <w:szCs w:val="20"/>
                <w:lang w:val="it-IT" w:eastAsia="fr-CA"/>
              </w:rPr>
              <w:t>Archives, MEDD, PNUD, ARMCA, FONAREDD</w:t>
            </w:r>
          </w:p>
        </w:tc>
        <w:tc>
          <w:tcPr>
            <w:tcW w:w="1673" w:type="dxa"/>
            <w:shd w:val="clear" w:color="auto" w:fill="auto"/>
          </w:tcPr>
          <w:p w14:paraId="466A87D3" w14:textId="2BBC59D5" w:rsidR="005D140D" w:rsidRPr="00C345C4" w:rsidRDefault="005D140D" w:rsidP="005D140D">
            <w:pPr>
              <w:spacing w:after="0"/>
              <w:jc w:val="center"/>
              <w:rPr>
                <w:rFonts w:ascii="Avenir Next LT Pro" w:hAnsi="Avenir Next LT Pro" w:cstheme="minorHAnsi"/>
                <w:sz w:val="20"/>
                <w:szCs w:val="20"/>
                <w:lang w:eastAsia="fr-CA"/>
              </w:rPr>
            </w:pPr>
            <w:r w:rsidRPr="001F6E58">
              <w:rPr>
                <w:rFonts w:ascii="Avenir Next LT Pro" w:hAnsi="Avenir Next LT Pro" w:cstheme="minorHAnsi"/>
                <w:sz w:val="20"/>
                <w:szCs w:val="20"/>
                <w:lang w:eastAsia="fr-CA"/>
              </w:rPr>
              <w:t xml:space="preserve">Un plan de gestion des connaissances et savoir </w:t>
            </w:r>
            <w:r>
              <w:rPr>
                <w:rFonts w:ascii="Avenir Next LT Pro" w:hAnsi="Avenir Next LT Pro" w:cstheme="minorHAnsi"/>
                <w:sz w:val="20"/>
                <w:szCs w:val="20"/>
                <w:lang w:eastAsia="fr-CA"/>
              </w:rPr>
              <w:t xml:space="preserve">validé </w:t>
            </w:r>
          </w:p>
        </w:tc>
        <w:tc>
          <w:tcPr>
            <w:tcW w:w="1673" w:type="dxa"/>
          </w:tcPr>
          <w:p w14:paraId="7FE98416" w14:textId="5C68C8FF" w:rsidR="005D140D" w:rsidRPr="00C345C4" w:rsidRDefault="005D140D" w:rsidP="005D140D">
            <w:pPr>
              <w:spacing w:after="0"/>
              <w:jc w:val="center"/>
              <w:rPr>
                <w:rFonts w:ascii="Avenir Next LT Pro" w:hAnsi="Avenir Next LT Pro" w:cstheme="minorHAnsi"/>
                <w:sz w:val="20"/>
                <w:szCs w:val="20"/>
                <w:lang w:eastAsia="fr-CA"/>
              </w:rPr>
            </w:pPr>
            <w:r w:rsidRPr="001F6E58">
              <w:rPr>
                <w:rFonts w:ascii="Avenir Next LT Pro" w:hAnsi="Avenir Next LT Pro" w:cstheme="minorHAnsi"/>
                <w:sz w:val="20"/>
                <w:szCs w:val="20"/>
                <w:lang w:eastAsia="fr-CA"/>
              </w:rPr>
              <w:t>Un plan de gestion des connaissances et savoir mis en œuvre de manière effective</w:t>
            </w:r>
          </w:p>
        </w:tc>
        <w:tc>
          <w:tcPr>
            <w:tcW w:w="992" w:type="dxa"/>
          </w:tcPr>
          <w:p w14:paraId="3C7D4969" w14:textId="1542B017" w:rsidR="005D140D" w:rsidRPr="00C345C4" w:rsidRDefault="005D140D" w:rsidP="005D140D">
            <w:pPr>
              <w:spacing w:after="0"/>
              <w:jc w:val="center"/>
              <w:rPr>
                <w:rFonts w:ascii="Avenir Next LT Pro" w:hAnsi="Avenir Next LT Pro" w:cstheme="minorHAnsi"/>
                <w:sz w:val="20"/>
                <w:szCs w:val="20"/>
                <w:lang w:eastAsia="fr-CA"/>
              </w:rPr>
            </w:pPr>
            <w:r w:rsidRPr="00AD63D3">
              <w:rPr>
                <w:rFonts w:ascii="Avenir Next LT Pro" w:hAnsi="Avenir Next LT Pro" w:cstheme="minorHAnsi"/>
                <w:sz w:val="20"/>
                <w:szCs w:val="20"/>
                <w:lang w:val="fr-CD" w:eastAsia="fr-CA"/>
              </w:rPr>
              <w:t>Rapports d’activités</w:t>
            </w:r>
          </w:p>
        </w:tc>
        <w:tc>
          <w:tcPr>
            <w:tcW w:w="1111" w:type="dxa"/>
          </w:tcPr>
          <w:p w14:paraId="2D762015" w14:textId="492B143B"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2</w:t>
            </w:r>
          </w:p>
        </w:tc>
        <w:tc>
          <w:tcPr>
            <w:tcW w:w="899" w:type="dxa"/>
          </w:tcPr>
          <w:p w14:paraId="27B97E6D" w14:textId="2625BEB7" w:rsidR="005D140D" w:rsidRPr="00C345C4" w:rsidRDefault="005D140D" w:rsidP="005D140D">
            <w:pPr>
              <w:spacing w:after="0"/>
              <w:jc w:val="center"/>
              <w:rPr>
                <w:rFonts w:ascii="Avenir Next LT Pro" w:hAnsi="Avenir Next LT Pro" w:cstheme="minorHAnsi"/>
                <w:sz w:val="20"/>
                <w:szCs w:val="20"/>
                <w:lang w:eastAsia="fr-CA"/>
              </w:rPr>
            </w:pPr>
            <w:r>
              <w:rPr>
                <w:rFonts w:ascii="Avenir Next LT Pro" w:hAnsi="Avenir Next LT Pro" w:cstheme="minorHAnsi"/>
                <w:sz w:val="20"/>
                <w:szCs w:val="20"/>
                <w:lang w:eastAsia="fr-CA"/>
              </w:rPr>
              <w:t>N</w:t>
            </w:r>
          </w:p>
        </w:tc>
        <w:tc>
          <w:tcPr>
            <w:tcW w:w="2456" w:type="dxa"/>
          </w:tcPr>
          <w:p w14:paraId="471A7CF7" w14:textId="58347E59" w:rsidR="005D140D" w:rsidRPr="00285989" w:rsidRDefault="005D140D" w:rsidP="005D140D">
            <w:pPr>
              <w:spacing w:after="0"/>
              <w:jc w:val="center"/>
              <w:rPr>
                <w:rFonts w:ascii="Avenir Next LT Pro" w:hAnsi="Avenir Next LT Pro" w:cstheme="minorHAnsi"/>
                <w:sz w:val="20"/>
                <w:szCs w:val="20"/>
                <w:lang w:eastAsia="fr-CA"/>
              </w:rPr>
            </w:pPr>
            <w:r w:rsidRPr="00285989">
              <w:rPr>
                <w:rFonts w:ascii="Avenir Next LT Pro" w:hAnsi="Avenir Next LT Pro" w:cstheme="minorHAnsi"/>
                <w:b/>
                <w:bCs/>
                <w:sz w:val="20"/>
                <w:szCs w:val="20"/>
                <w:lang w:eastAsia="fr-CA"/>
              </w:rPr>
              <w:t>Hypothèse </w:t>
            </w:r>
            <w:r w:rsidRPr="00285989">
              <w:rPr>
                <w:rFonts w:ascii="Avenir Next LT Pro" w:hAnsi="Avenir Next LT Pro" w:cstheme="minorHAnsi"/>
                <w:sz w:val="20"/>
                <w:szCs w:val="20"/>
                <w:lang w:eastAsia="fr-CA"/>
              </w:rPr>
              <w:t xml:space="preserve">: Le plan de </w:t>
            </w:r>
            <w:r>
              <w:rPr>
                <w:rFonts w:ascii="Avenir Next LT Pro" w:hAnsi="Avenir Next LT Pro" w:cstheme="minorHAnsi"/>
                <w:sz w:val="20"/>
                <w:szCs w:val="20"/>
                <w:lang w:eastAsia="fr-CA"/>
              </w:rPr>
              <w:t>gestion des connaissances est adapté aux besoins du projet</w:t>
            </w:r>
          </w:p>
          <w:p w14:paraId="1233E94D" w14:textId="2143770B" w:rsidR="005D140D" w:rsidRPr="00C345C4" w:rsidRDefault="005D140D" w:rsidP="005D140D">
            <w:pPr>
              <w:spacing w:after="0"/>
              <w:jc w:val="center"/>
              <w:rPr>
                <w:rFonts w:ascii="Avenir Next LT Pro" w:hAnsi="Avenir Next LT Pro" w:cstheme="minorHAnsi"/>
                <w:sz w:val="20"/>
                <w:szCs w:val="20"/>
                <w:lang w:eastAsia="fr-CA"/>
              </w:rPr>
            </w:pPr>
            <w:r w:rsidRPr="00285989">
              <w:rPr>
                <w:rFonts w:ascii="Avenir Next LT Pro" w:hAnsi="Avenir Next LT Pro" w:cstheme="minorHAnsi"/>
                <w:b/>
                <w:bCs/>
                <w:sz w:val="20"/>
                <w:szCs w:val="20"/>
                <w:lang w:eastAsia="fr-CA"/>
              </w:rPr>
              <w:t>Risque</w:t>
            </w:r>
            <w:r w:rsidRPr="00285989">
              <w:rPr>
                <w:rFonts w:ascii="Avenir Next LT Pro" w:hAnsi="Avenir Next LT Pro" w:cstheme="minorHAnsi"/>
                <w:sz w:val="20"/>
                <w:szCs w:val="20"/>
                <w:lang w:eastAsia="fr-CA"/>
              </w:rPr>
              <w:t xml:space="preserve"> : Les contraintes logistiques, techniques et financières entravent la mise en œuvre du plan de </w:t>
            </w:r>
            <w:r>
              <w:rPr>
                <w:rFonts w:ascii="Avenir Next LT Pro" w:hAnsi="Avenir Next LT Pro" w:cstheme="minorHAnsi"/>
                <w:sz w:val="20"/>
                <w:szCs w:val="20"/>
                <w:lang w:eastAsia="fr-CA"/>
              </w:rPr>
              <w:t>gestion des connaissances</w:t>
            </w:r>
          </w:p>
        </w:tc>
        <w:tc>
          <w:tcPr>
            <w:tcW w:w="1213" w:type="dxa"/>
          </w:tcPr>
          <w:p w14:paraId="6C89F04F" w14:textId="6F2B9EA9" w:rsidR="005D140D" w:rsidRPr="00C345C4" w:rsidRDefault="005D140D" w:rsidP="005D140D">
            <w:pPr>
              <w:spacing w:after="0"/>
              <w:jc w:val="center"/>
              <w:rPr>
                <w:rFonts w:ascii="Avenir Next LT Pro" w:hAnsi="Avenir Next LT Pro" w:cstheme="minorHAnsi"/>
                <w:sz w:val="20"/>
                <w:szCs w:val="20"/>
                <w:lang w:eastAsia="fr-CA"/>
              </w:rPr>
            </w:pPr>
            <w:r w:rsidRPr="002D7587">
              <w:rPr>
                <w:rFonts w:ascii="Avenir Next LT Pro" w:hAnsi="Avenir Next LT Pro" w:cstheme="minorHAnsi"/>
                <w:sz w:val="20"/>
                <w:szCs w:val="20"/>
                <w:lang w:eastAsia="fr-CA"/>
              </w:rPr>
              <w:t>Gouvernance et mobilisation des ressources</w:t>
            </w:r>
          </w:p>
        </w:tc>
        <w:tc>
          <w:tcPr>
            <w:tcW w:w="1484" w:type="dxa"/>
          </w:tcPr>
          <w:p w14:paraId="02D4EF87" w14:textId="513A9D2C" w:rsidR="005D140D" w:rsidRPr="00C345C4" w:rsidRDefault="005D140D" w:rsidP="005D140D">
            <w:pPr>
              <w:spacing w:after="0"/>
              <w:jc w:val="center"/>
              <w:rPr>
                <w:rFonts w:ascii="Avenir Next LT Pro" w:hAnsi="Avenir Next LT Pro" w:cstheme="minorHAnsi"/>
                <w:sz w:val="20"/>
                <w:szCs w:val="20"/>
                <w:lang w:eastAsia="fr-CA"/>
              </w:rPr>
            </w:pPr>
            <w:r w:rsidRPr="002D7587">
              <w:rPr>
                <w:rFonts w:ascii="Avenir Next LT Pro" w:hAnsi="Avenir Next LT Pro" w:cstheme="minorHAnsi"/>
                <w:sz w:val="20"/>
                <w:szCs w:val="20"/>
                <w:lang w:eastAsia="fr-CA"/>
              </w:rPr>
              <w:t>Mobilisation des ressources non-domestiques innovantes</w:t>
            </w:r>
          </w:p>
        </w:tc>
        <w:tc>
          <w:tcPr>
            <w:tcW w:w="797" w:type="dxa"/>
          </w:tcPr>
          <w:p w14:paraId="3DF5C604" w14:textId="77777777" w:rsidR="005D140D" w:rsidRPr="00C345C4" w:rsidRDefault="005D140D" w:rsidP="005D140D">
            <w:pPr>
              <w:spacing w:after="0"/>
              <w:jc w:val="center"/>
              <w:rPr>
                <w:rFonts w:ascii="Avenir Next LT Pro" w:hAnsi="Avenir Next LT Pro" w:cstheme="minorHAnsi"/>
                <w:sz w:val="20"/>
                <w:szCs w:val="20"/>
                <w:lang w:eastAsia="fr-CA"/>
              </w:rPr>
            </w:pPr>
          </w:p>
        </w:tc>
      </w:tr>
    </w:tbl>
    <w:p w14:paraId="521D24B0" w14:textId="77777777" w:rsidR="00B20F6A" w:rsidRPr="00C345C4" w:rsidRDefault="00B20F6A" w:rsidP="00EE69F4">
      <w:pPr>
        <w:pStyle w:val="Paragraphedeliste"/>
        <w:spacing w:after="0" w:line="240" w:lineRule="auto"/>
        <w:ind w:left="360"/>
        <w:rPr>
          <w:rFonts w:ascii="Avenir Next LT Pro" w:eastAsiaTheme="minorHAnsi" w:hAnsi="Avenir Next LT Pro"/>
          <w:b/>
          <w:sz w:val="20"/>
          <w:szCs w:val="20"/>
        </w:rPr>
        <w:sectPr w:rsidR="00B20F6A" w:rsidRPr="00C345C4" w:rsidSect="00861E2D">
          <w:headerReference w:type="default" r:id="rId21"/>
          <w:pgSz w:w="16838" w:h="11906" w:orient="landscape"/>
          <w:pgMar w:top="1418" w:right="1418" w:bottom="1418" w:left="1418" w:header="709" w:footer="709" w:gutter="0"/>
          <w:cols w:space="708"/>
          <w:docGrid w:linePitch="360"/>
        </w:sectPr>
      </w:pPr>
    </w:p>
    <w:p w14:paraId="5A1B9D0F" w14:textId="2C364C7A" w:rsidR="006946F1" w:rsidRDefault="001B0F98" w:rsidP="000E7FF0">
      <w:pPr>
        <w:pStyle w:val="Titre2"/>
        <w:rPr>
          <w:rFonts w:ascii="Avenir Next LT Pro" w:hAnsi="Avenir Next LT Pro"/>
        </w:rPr>
      </w:pPr>
      <w:bookmarkStart w:id="34" w:name="_Toc163230377"/>
      <w:r w:rsidRPr="0E592894">
        <w:rPr>
          <w:rFonts w:ascii="Avenir Next LT Pro" w:hAnsi="Avenir Next LT Pro"/>
        </w:rPr>
        <w:lastRenderedPageBreak/>
        <w:t xml:space="preserve">Matrice de contribution à l’atteinte des jalons de la </w:t>
      </w:r>
      <w:r w:rsidR="001E2D84" w:rsidRPr="0E592894">
        <w:rPr>
          <w:rFonts w:ascii="Avenir Next LT Pro" w:hAnsi="Avenir Next LT Pro"/>
        </w:rPr>
        <w:t>L</w:t>
      </w:r>
      <w:r w:rsidRPr="0E592894">
        <w:rPr>
          <w:rFonts w:ascii="Avenir Next LT Pro" w:hAnsi="Avenir Next LT Pro"/>
        </w:rPr>
        <w:t>ettre d’</w:t>
      </w:r>
      <w:r w:rsidR="7BD51A55" w:rsidRPr="0E592894">
        <w:rPr>
          <w:rFonts w:ascii="Avenir Next LT Pro" w:hAnsi="Avenir Next LT Pro"/>
        </w:rPr>
        <w:t>I</w:t>
      </w:r>
      <w:r w:rsidRPr="0E592894">
        <w:rPr>
          <w:rFonts w:ascii="Avenir Next LT Pro" w:hAnsi="Avenir Next LT Pro"/>
        </w:rPr>
        <w:t>ntention</w:t>
      </w:r>
      <w:bookmarkEnd w:id="34"/>
      <w:r w:rsidRPr="0E592894">
        <w:rPr>
          <w:rFonts w:ascii="Avenir Next LT Pro" w:hAnsi="Avenir Next LT Pro"/>
        </w:rPr>
        <w:t xml:space="preserve"> </w:t>
      </w:r>
    </w:p>
    <w:p w14:paraId="524D7D77" w14:textId="77777777" w:rsidR="00F81FEB" w:rsidRPr="00C345C4" w:rsidRDefault="00F81FEB" w:rsidP="003A4091">
      <w:pPr>
        <w:spacing w:after="120"/>
        <w:jc w:val="both"/>
        <w:rPr>
          <w:rFonts w:ascii="Avenir Next LT Pro" w:hAnsi="Avenir Next LT Pro"/>
          <w:sz w:val="20"/>
          <w:szCs w:val="20"/>
          <w:highlight w:val="yellow"/>
          <w:lang w:eastAsia="fr-FR"/>
        </w:rPr>
      </w:pPr>
      <w:bookmarkStart w:id="35" w:name="_Toc87443334"/>
      <w:bookmarkStart w:id="36" w:name="_Toc87443369"/>
    </w:p>
    <w:tbl>
      <w:tblPr>
        <w:tblStyle w:val="Grilledutableau"/>
        <w:tblW w:w="9204" w:type="dxa"/>
        <w:tblLook w:val="04A0" w:firstRow="1" w:lastRow="0" w:firstColumn="1" w:lastColumn="0" w:noHBand="0" w:noVBand="1"/>
      </w:tblPr>
      <w:tblGrid>
        <w:gridCol w:w="745"/>
        <w:gridCol w:w="2257"/>
        <w:gridCol w:w="3942"/>
        <w:gridCol w:w="2260"/>
      </w:tblGrid>
      <w:tr w:rsidR="0085123F" w:rsidRPr="0085123F" w14:paraId="247A6F64" w14:textId="77777777" w:rsidTr="004641B3">
        <w:tc>
          <w:tcPr>
            <w:tcW w:w="745" w:type="dxa"/>
            <w:shd w:val="clear" w:color="auto" w:fill="3E762A" w:themeFill="accent1" w:themeFillShade="BF"/>
          </w:tcPr>
          <w:p w14:paraId="5A829663" w14:textId="4BCD85D1" w:rsidR="00DE340F" w:rsidRPr="0085123F" w:rsidRDefault="00DE340F" w:rsidP="001B0F98">
            <w:pPr>
              <w:spacing w:after="0"/>
              <w:rPr>
                <w:rFonts w:ascii="Avenir Next LT Pro" w:hAnsi="Avenir Next LT Pro"/>
                <w:b/>
                <w:bCs/>
                <w:color w:val="FFFFFF" w:themeColor="background1"/>
                <w:sz w:val="20"/>
                <w:szCs w:val="20"/>
              </w:rPr>
            </w:pPr>
            <w:r w:rsidRPr="0085123F">
              <w:rPr>
                <w:rFonts w:ascii="Avenir Next LT Pro" w:hAnsi="Avenir Next LT Pro"/>
                <w:b/>
                <w:bCs/>
                <w:color w:val="FFFFFF" w:themeColor="background1"/>
                <w:sz w:val="20"/>
                <w:szCs w:val="20"/>
              </w:rPr>
              <w:t>No. Jalon</w:t>
            </w:r>
          </w:p>
        </w:tc>
        <w:tc>
          <w:tcPr>
            <w:tcW w:w="2257" w:type="dxa"/>
            <w:shd w:val="clear" w:color="auto" w:fill="3E762A" w:themeFill="accent1" w:themeFillShade="BF"/>
          </w:tcPr>
          <w:p w14:paraId="5ED0276F" w14:textId="2E1F889A" w:rsidR="00DE340F" w:rsidRPr="0085123F" w:rsidRDefault="00DE340F" w:rsidP="001B0F98">
            <w:pPr>
              <w:spacing w:after="0"/>
              <w:rPr>
                <w:rFonts w:ascii="Avenir Next LT Pro" w:hAnsi="Avenir Next LT Pro"/>
                <w:b/>
                <w:bCs/>
                <w:color w:val="FFFFFF" w:themeColor="background1"/>
                <w:sz w:val="20"/>
                <w:szCs w:val="20"/>
              </w:rPr>
            </w:pPr>
            <w:r w:rsidRPr="0085123F">
              <w:rPr>
                <w:rFonts w:ascii="Avenir Next LT Pro" w:hAnsi="Avenir Next LT Pro"/>
                <w:b/>
                <w:bCs/>
                <w:color w:val="FFFFFF" w:themeColor="background1"/>
                <w:sz w:val="20"/>
                <w:szCs w:val="20"/>
              </w:rPr>
              <w:t xml:space="preserve">Intitulé du jalon </w:t>
            </w:r>
          </w:p>
        </w:tc>
        <w:tc>
          <w:tcPr>
            <w:tcW w:w="3942" w:type="dxa"/>
            <w:shd w:val="clear" w:color="auto" w:fill="3E762A" w:themeFill="accent1" w:themeFillShade="BF"/>
          </w:tcPr>
          <w:p w14:paraId="7285B47F" w14:textId="16948E34" w:rsidR="00DE340F" w:rsidRPr="0085123F" w:rsidRDefault="00DE340F" w:rsidP="001B0F98">
            <w:pPr>
              <w:spacing w:after="0"/>
              <w:rPr>
                <w:rFonts w:ascii="Avenir Next LT Pro" w:hAnsi="Avenir Next LT Pro"/>
                <w:b/>
                <w:bCs/>
                <w:color w:val="FFFFFF" w:themeColor="background1"/>
                <w:sz w:val="20"/>
                <w:szCs w:val="20"/>
              </w:rPr>
            </w:pPr>
            <w:r w:rsidRPr="0085123F">
              <w:rPr>
                <w:rFonts w:ascii="Avenir Next LT Pro" w:hAnsi="Avenir Next LT Pro"/>
                <w:b/>
                <w:bCs/>
                <w:color w:val="FFFFFF" w:themeColor="background1"/>
                <w:sz w:val="20"/>
                <w:szCs w:val="20"/>
              </w:rPr>
              <w:t xml:space="preserve">Décrire comment le projet </w:t>
            </w:r>
            <w:r w:rsidR="00387603" w:rsidRPr="0085123F">
              <w:rPr>
                <w:rFonts w:ascii="Avenir Next LT Pro" w:hAnsi="Avenir Next LT Pro"/>
                <w:b/>
                <w:bCs/>
                <w:color w:val="FFFFFF" w:themeColor="background1"/>
                <w:sz w:val="20"/>
                <w:szCs w:val="20"/>
              </w:rPr>
              <w:t>entend</w:t>
            </w:r>
            <w:r w:rsidRPr="0085123F">
              <w:rPr>
                <w:rFonts w:ascii="Avenir Next LT Pro" w:hAnsi="Avenir Next LT Pro"/>
                <w:b/>
                <w:bCs/>
                <w:color w:val="FFFFFF" w:themeColor="background1"/>
                <w:sz w:val="20"/>
                <w:szCs w:val="20"/>
              </w:rPr>
              <w:t xml:space="preserve"> contribuer à l’atteinte du jalon </w:t>
            </w:r>
          </w:p>
        </w:tc>
        <w:tc>
          <w:tcPr>
            <w:tcW w:w="2260" w:type="dxa"/>
            <w:shd w:val="clear" w:color="auto" w:fill="3E762A" w:themeFill="accent1" w:themeFillShade="BF"/>
          </w:tcPr>
          <w:p w14:paraId="0E6A70EA" w14:textId="6232EBE6" w:rsidR="00DE340F" w:rsidRPr="0085123F" w:rsidRDefault="004733AB" w:rsidP="001B0F98">
            <w:pPr>
              <w:spacing w:after="0"/>
              <w:rPr>
                <w:rFonts w:ascii="Avenir Next LT Pro" w:hAnsi="Avenir Next LT Pro"/>
                <w:b/>
                <w:bCs/>
                <w:color w:val="FFFFFF" w:themeColor="background1"/>
                <w:sz w:val="20"/>
                <w:szCs w:val="20"/>
              </w:rPr>
            </w:pPr>
            <w:r w:rsidRPr="0085123F">
              <w:rPr>
                <w:rFonts w:ascii="Avenir Next LT Pro" w:hAnsi="Avenir Next LT Pro"/>
                <w:b/>
                <w:bCs/>
                <w:color w:val="FFFFFF" w:themeColor="background1"/>
                <w:sz w:val="20"/>
                <w:szCs w:val="20"/>
              </w:rPr>
              <w:t xml:space="preserve">Délais estimés pour l’atteinte </w:t>
            </w:r>
            <w:r w:rsidR="00194E89" w:rsidRPr="0085123F">
              <w:rPr>
                <w:rFonts w:ascii="Avenir Next LT Pro" w:hAnsi="Avenir Next LT Pro"/>
                <w:b/>
                <w:bCs/>
                <w:color w:val="FFFFFF" w:themeColor="background1"/>
                <w:sz w:val="20"/>
                <w:szCs w:val="20"/>
              </w:rPr>
              <w:t>(ou contributions</w:t>
            </w:r>
            <w:r w:rsidR="005246BE">
              <w:rPr>
                <w:rFonts w:ascii="Avenir Next LT Pro" w:hAnsi="Avenir Next LT Pro"/>
                <w:b/>
                <w:bCs/>
                <w:color w:val="FFFFFF" w:themeColor="background1"/>
                <w:sz w:val="20"/>
                <w:szCs w:val="20"/>
              </w:rPr>
              <w:t xml:space="preserve"> à l’atteinte</w:t>
            </w:r>
            <w:r w:rsidR="00194E89" w:rsidRPr="0085123F">
              <w:rPr>
                <w:rFonts w:ascii="Avenir Next LT Pro" w:hAnsi="Avenir Next LT Pro"/>
                <w:b/>
                <w:bCs/>
                <w:color w:val="FFFFFF" w:themeColor="background1"/>
                <w:sz w:val="20"/>
                <w:szCs w:val="20"/>
              </w:rPr>
              <w:t>) du jalon</w:t>
            </w:r>
          </w:p>
        </w:tc>
      </w:tr>
      <w:tr w:rsidR="00376F18" w:rsidRPr="005D0B51" w14:paraId="2C3ADC96" w14:textId="77777777" w:rsidTr="004641B3">
        <w:tc>
          <w:tcPr>
            <w:tcW w:w="745" w:type="dxa"/>
          </w:tcPr>
          <w:p w14:paraId="4A51CA45" w14:textId="77777777" w:rsidR="00376F18" w:rsidRPr="00376F18" w:rsidRDefault="00376F18" w:rsidP="0068224E">
            <w:pPr>
              <w:spacing w:after="0"/>
              <w:rPr>
                <w:rFonts w:ascii="Avenir Next LT Pro" w:hAnsi="Avenir Next LT Pro" w:cstheme="minorHAnsi"/>
                <w:b/>
                <w:bCs/>
                <w:sz w:val="20"/>
                <w:szCs w:val="20"/>
              </w:rPr>
            </w:pPr>
            <w:r w:rsidRPr="00376F18">
              <w:rPr>
                <w:rFonts w:ascii="Avenir Next LT Pro" w:hAnsi="Avenir Next LT Pro" w:cstheme="minorHAnsi"/>
                <w:b/>
                <w:bCs/>
                <w:sz w:val="20"/>
                <w:szCs w:val="20"/>
              </w:rPr>
              <w:t>1</w:t>
            </w:r>
          </w:p>
        </w:tc>
        <w:tc>
          <w:tcPr>
            <w:tcW w:w="2257" w:type="dxa"/>
          </w:tcPr>
          <w:p w14:paraId="3EC999B9" w14:textId="77777777" w:rsidR="00376F18" w:rsidRPr="00376F18" w:rsidRDefault="00376F18" w:rsidP="0068224E">
            <w:pPr>
              <w:spacing w:after="0"/>
              <w:rPr>
                <w:rFonts w:ascii="Avenir Next LT Pro" w:hAnsi="Avenir Next LT Pro" w:cstheme="minorHAnsi"/>
                <w:b/>
                <w:bCs/>
                <w:sz w:val="20"/>
                <w:szCs w:val="20"/>
              </w:rPr>
            </w:pPr>
            <w:r w:rsidRPr="00376F18">
              <w:rPr>
                <w:rFonts w:ascii="Avenir Next LT Pro" w:hAnsi="Avenir Next LT Pro" w:cstheme="minorHAnsi"/>
                <w:w w:val="110"/>
                <w:sz w:val="20"/>
                <w:szCs w:val="20"/>
                <w:lang w:val="fr-CD" w:eastAsia="en-US"/>
              </w:rPr>
              <w:t>Jalons politiques 2023</w:t>
            </w:r>
          </w:p>
        </w:tc>
        <w:tc>
          <w:tcPr>
            <w:tcW w:w="3942" w:type="dxa"/>
          </w:tcPr>
          <w:p w14:paraId="571B342F" w14:textId="77777777" w:rsidR="00376F18" w:rsidRPr="00376F18" w:rsidRDefault="00376F18" w:rsidP="0068224E">
            <w:pPr>
              <w:spacing w:after="0"/>
              <w:rPr>
                <w:rFonts w:ascii="Avenir Next LT Pro" w:hAnsi="Avenir Next LT Pro" w:cstheme="minorHAnsi"/>
                <w:b/>
                <w:bCs/>
                <w:sz w:val="20"/>
                <w:szCs w:val="20"/>
              </w:rPr>
            </w:pPr>
            <w:r w:rsidRPr="00376F18">
              <w:rPr>
                <w:rFonts w:ascii="Avenir Next LT Pro" w:hAnsi="Avenir Next LT Pro" w:cstheme="minorHAnsi"/>
                <w:w w:val="110"/>
                <w:sz w:val="20"/>
                <w:szCs w:val="20"/>
                <w:lang w:val="fr-CD" w:eastAsia="en-US"/>
              </w:rPr>
              <w:t>Des ressources non-domestiques innovantes sont mobilisées à la mise en œuvre des priorités REDD+, sous forme de contributions directes, co-financement et alignement</w:t>
            </w:r>
          </w:p>
        </w:tc>
        <w:tc>
          <w:tcPr>
            <w:tcW w:w="2260" w:type="dxa"/>
          </w:tcPr>
          <w:p w14:paraId="49ADD115" w14:textId="77777777" w:rsidR="00376F18" w:rsidRPr="00376F18" w:rsidRDefault="00376F18" w:rsidP="0068224E">
            <w:pPr>
              <w:spacing w:after="0"/>
              <w:rPr>
                <w:rFonts w:ascii="Avenir Next LT Pro" w:hAnsi="Avenir Next LT Pro" w:cstheme="minorHAnsi"/>
                <w:sz w:val="20"/>
                <w:szCs w:val="20"/>
              </w:rPr>
            </w:pPr>
            <w:r w:rsidRPr="00376F18">
              <w:rPr>
                <w:rFonts w:ascii="Avenir Next LT Pro" w:hAnsi="Avenir Next LT Pro" w:cstheme="minorHAnsi"/>
                <w:sz w:val="20"/>
                <w:szCs w:val="20"/>
              </w:rPr>
              <w:t>2031</w:t>
            </w:r>
          </w:p>
        </w:tc>
      </w:tr>
    </w:tbl>
    <w:p w14:paraId="62EE419F" w14:textId="77777777" w:rsidR="001E4B86" w:rsidRPr="00C345C4" w:rsidRDefault="001E4B86" w:rsidP="003A4091">
      <w:pPr>
        <w:spacing w:after="120"/>
        <w:jc w:val="both"/>
        <w:rPr>
          <w:rFonts w:ascii="Avenir Next LT Pro" w:hAnsi="Avenir Next LT Pro"/>
          <w:sz w:val="20"/>
          <w:szCs w:val="20"/>
          <w:highlight w:val="yellow"/>
          <w:lang w:eastAsia="fr-FR"/>
        </w:rPr>
      </w:pPr>
    </w:p>
    <w:p w14:paraId="1E303396" w14:textId="77777777" w:rsidR="00A24256" w:rsidRDefault="00A24256" w:rsidP="00AD5098">
      <w:pPr>
        <w:pStyle w:val="Titre1"/>
        <w:rPr>
          <w:rFonts w:ascii="Avenir Next LT Pro" w:hAnsi="Avenir Next LT Pro"/>
          <w:highlight w:val="yellow"/>
        </w:rPr>
        <w:sectPr w:rsidR="00A24256" w:rsidSect="00861E2D">
          <w:headerReference w:type="default" r:id="rId22"/>
          <w:pgSz w:w="11906" w:h="16838"/>
          <w:pgMar w:top="1417" w:right="1417" w:bottom="1417" w:left="1417" w:header="708" w:footer="708" w:gutter="0"/>
          <w:cols w:space="708"/>
          <w:docGrid w:linePitch="360"/>
        </w:sectPr>
      </w:pPr>
      <w:bookmarkStart w:id="37" w:name="_Toc163230378"/>
    </w:p>
    <w:p w14:paraId="5745D354" w14:textId="5E57AB51" w:rsidR="00AD5098" w:rsidRPr="00623ED7" w:rsidRDefault="00AD5098" w:rsidP="00AD5098">
      <w:pPr>
        <w:pStyle w:val="Titre1"/>
        <w:rPr>
          <w:rFonts w:ascii="Avenir Next LT Pro" w:hAnsi="Avenir Next LT Pro"/>
        </w:rPr>
      </w:pPr>
      <w:r w:rsidRPr="00623ED7">
        <w:rPr>
          <w:rFonts w:ascii="Avenir Next LT Pro" w:hAnsi="Avenir Next LT Pro"/>
        </w:rPr>
        <w:lastRenderedPageBreak/>
        <w:t xml:space="preserve">Cohérence et synergies avec les </w:t>
      </w:r>
      <w:r w:rsidR="00C420ED" w:rsidRPr="00623ED7">
        <w:rPr>
          <w:rFonts w:ascii="Avenir Next LT Pro" w:hAnsi="Avenir Next LT Pro"/>
        </w:rPr>
        <w:t>projet</w:t>
      </w:r>
      <w:r w:rsidRPr="00623ED7">
        <w:rPr>
          <w:rFonts w:ascii="Avenir Next LT Pro" w:hAnsi="Avenir Next LT Pro"/>
        </w:rPr>
        <w:t>s existants</w:t>
      </w:r>
      <w:bookmarkEnd w:id="37"/>
    </w:p>
    <w:p w14:paraId="476394E7" w14:textId="7AA07E1D" w:rsidR="0016601A" w:rsidRPr="004641B3" w:rsidRDefault="0016601A" w:rsidP="004641B3">
      <w:pPr>
        <w:pStyle w:val="Lgende"/>
        <w:rPr>
          <w:sz w:val="22"/>
          <w:highlight w:val="yellow"/>
        </w:rPr>
      </w:pPr>
      <w:bookmarkStart w:id="38" w:name="_Toc179238788"/>
      <w:r w:rsidRPr="004641B3">
        <w:rPr>
          <w:i w:val="0"/>
          <w:iCs w:val="0"/>
          <w:sz w:val="22"/>
          <w:szCs w:val="22"/>
        </w:rPr>
        <w:t xml:space="preserve">Tableau </w:t>
      </w:r>
      <w:r w:rsidRPr="004641B3">
        <w:rPr>
          <w:i w:val="0"/>
          <w:iCs w:val="0"/>
          <w:sz w:val="22"/>
          <w:szCs w:val="22"/>
        </w:rPr>
        <w:fldChar w:fldCharType="begin"/>
      </w:r>
      <w:r w:rsidRPr="004641B3">
        <w:rPr>
          <w:i w:val="0"/>
          <w:iCs w:val="0"/>
          <w:sz w:val="22"/>
          <w:szCs w:val="22"/>
        </w:rPr>
        <w:instrText xml:space="preserve"> SEQ Tableau \* ARABIC </w:instrText>
      </w:r>
      <w:r w:rsidRPr="004641B3">
        <w:rPr>
          <w:i w:val="0"/>
          <w:iCs w:val="0"/>
          <w:sz w:val="22"/>
          <w:szCs w:val="22"/>
        </w:rPr>
        <w:fldChar w:fldCharType="separate"/>
      </w:r>
      <w:r w:rsidR="0059639C">
        <w:rPr>
          <w:i w:val="0"/>
          <w:iCs w:val="0"/>
          <w:noProof/>
          <w:sz w:val="22"/>
          <w:szCs w:val="22"/>
        </w:rPr>
        <w:t>4</w:t>
      </w:r>
      <w:r w:rsidRPr="004641B3">
        <w:rPr>
          <w:i w:val="0"/>
          <w:iCs w:val="0"/>
          <w:sz w:val="22"/>
          <w:szCs w:val="22"/>
        </w:rPr>
        <w:fldChar w:fldCharType="end"/>
      </w:r>
      <w:r w:rsidRPr="004641B3">
        <w:rPr>
          <w:i w:val="0"/>
          <w:iCs w:val="0"/>
          <w:sz w:val="22"/>
          <w:szCs w:val="22"/>
        </w:rPr>
        <w:t xml:space="preserve"> Synergies et complémentarités</w:t>
      </w:r>
      <w:bookmarkEnd w:id="38"/>
    </w:p>
    <w:tbl>
      <w:tblPr>
        <w:tblStyle w:val="TableauListe3-Accentuation1"/>
        <w:tblW w:w="4608" w:type="pct"/>
        <w:tblLook w:val="04A0" w:firstRow="1" w:lastRow="0" w:firstColumn="1" w:lastColumn="0" w:noHBand="0" w:noVBand="1"/>
      </w:tblPr>
      <w:tblGrid>
        <w:gridCol w:w="1781"/>
        <w:gridCol w:w="965"/>
        <w:gridCol w:w="1086"/>
        <w:gridCol w:w="1290"/>
        <w:gridCol w:w="1233"/>
        <w:gridCol w:w="1733"/>
        <w:gridCol w:w="2115"/>
        <w:gridCol w:w="2692"/>
      </w:tblGrid>
      <w:tr w:rsidR="006D4E01" w:rsidRPr="00B06EE7" w14:paraId="15E472BF" w14:textId="77777777" w:rsidTr="006D4E0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1" w:type="pct"/>
            <w:hideMark/>
          </w:tcPr>
          <w:p w14:paraId="43F55A95" w14:textId="77777777" w:rsidR="006D4E01" w:rsidRPr="00610967" w:rsidRDefault="006D4E01" w:rsidP="005B16B5">
            <w:pPr>
              <w:jc w:val="center"/>
              <w:rPr>
                <w:rFonts w:cstheme="majorHAnsi"/>
                <w:sz w:val="18"/>
                <w:szCs w:val="18"/>
              </w:rPr>
            </w:pPr>
            <w:r w:rsidRPr="00610967">
              <w:rPr>
                <w:rFonts w:cstheme="majorHAnsi"/>
                <w:sz w:val="18"/>
                <w:szCs w:val="18"/>
              </w:rPr>
              <w:t>Nom du projet</w:t>
            </w:r>
          </w:p>
        </w:tc>
        <w:tc>
          <w:tcPr>
            <w:tcW w:w="374" w:type="pct"/>
            <w:hideMark/>
          </w:tcPr>
          <w:p w14:paraId="36A0E118" w14:textId="77777777" w:rsidR="006D4E01" w:rsidRPr="00610967" w:rsidRDefault="006D4E01" w:rsidP="005B16B5">
            <w:pPr>
              <w:jc w:val="cente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610967">
              <w:rPr>
                <w:rFonts w:cstheme="majorHAnsi"/>
                <w:sz w:val="18"/>
                <w:szCs w:val="18"/>
              </w:rPr>
              <w:t>Agence(s) de mise en œuvre</w:t>
            </w:r>
          </w:p>
        </w:tc>
        <w:tc>
          <w:tcPr>
            <w:tcW w:w="421" w:type="pct"/>
          </w:tcPr>
          <w:p w14:paraId="54E81CD3" w14:textId="77777777" w:rsidR="006D4E01" w:rsidRPr="00610967" w:rsidRDefault="006D4E01" w:rsidP="005B16B5">
            <w:pPr>
              <w:jc w:val="cente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610967">
              <w:rPr>
                <w:rFonts w:cstheme="majorHAnsi"/>
                <w:sz w:val="18"/>
                <w:szCs w:val="18"/>
              </w:rPr>
              <w:t>Statut et période de mise en œuvre</w:t>
            </w:r>
          </w:p>
        </w:tc>
        <w:tc>
          <w:tcPr>
            <w:tcW w:w="500" w:type="pct"/>
          </w:tcPr>
          <w:p w14:paraId="67A6B2F3" w14:textId="77777777" w:rsidR="006D4E01" w:rsidRPr="00610967" w:rsidRDefault="006D4E01" w:rsidP="005B16B5">
            <w:pPr>
              <w:jc w:val="cente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610967">
              <w:rPr>
                <w:rFonts w:cstheme="majorHAnsi"/>
                <w:sz w:val="18"/>
                <w:szCs w:val="18"/>
              </w:rPr>
              <w:t>Zone d’intervention</w:t>
            </w:r>
          </w:p>
        </w:tc>
        <w:tc>
          <w:tcPr>
            <w:tcW w:w="478" w:type="pct"/>
          </w:tcPr>
          <w:p w14:paraId="012C0E7D" w14:textId="77777777" w:rsidR="006D4E01" w:rsidRPr="00610967" w:rsidRDefault="006D4E01" w:rsidP="005B16B5">
            <w:pPr>
              <w:jc w:val="cente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610967">
              <w:rPr>
                <w:rFonts w:cstheme="majorHAnsi"/>
                <w:sz w:val="18"/>
                <w:szCs w:val="18"/>
              </w:rPr>
              <w:t xml:space="preserve">Montant des financements </w:t>
            </w:r>
          </w:p>
        </w:tc>
        <w:tc>
          <w:tcPr>
            <w:tcW w:w="672" w:type="pct"/>
          </w:tcPr>
          <w:p w14:paraId="12348EB4" w14:textId="77777777" w:rsidR="006D4E01" w:rsidRPr="00610967" w:rsidRDefault="006D4E01" w:rsidP="005B16B5">
            <w:pPr>
              <w:jc w:val="cente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610967">
              <w:rPr>
                <w:rFonts w:cstheme="majorHAnsi"/>
                <w:sz w:val="18"/>
                <w:szCs w:val="18"/>
              </w:rPr>
              <w:t xml:space="preserve">Objectifs et résultats attendus </w:t>
            </w:r>
          </w:p>
        </w:tc>
        <w:tc>
          <w:tcPr>
            <w:tcW w:w="820" w:type="pct"/>
            <w:hideMark/>
          </w:tcPr>
          <w:p w14:paraId="05535933" w14:textId="77777777" w:rsidR="006D4E01" w:rsidRPr="00610967" w:rsidRDefault="006D4E01" w:rsidP="005B16B5">
            <w:pPr>
              <w:jc w:val="cente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610967">
              <w:rPr>
                <w:rFonts w:cstheme="majorHAnsi"/>
                <w:sz w:val="18"/>
                <w:szCs w:val="18"/>
              </w:rPr>
              <w:t xml:space="preserve">Synergies </w:t>
            </w:r>
            <w:r>
              <w:rPr>
                <w:rFonts w:cstheme="majorHAnsi"/>
                <w:sz w:val="18"/>
                <w:szCs w:val="18"/>
              </w:rPr>
              <w:t>ou</w:t>
            </w:r>
            <w:r w:rsidRPr="00610967">
              <w:rPr>
                <w:rFonts w:cstheme="majorHAnsi"/>
                <w:sz w:val="18"/>
                <w:szCs w:val="18"/>
              </w:rPr>
              <w:t xml:space="preserve"> complémentarités</w:t>
            </w:r>
          </w:p>
        </w:tc>
        <w:tc>
          <w:tcPr>
            <w:tcW w:w="1044" w:type="pct"/>
          </w:tcPr>
          <w:p w14:paraId="6991B548" w14:textId="77777777" w:rsidR="006D4E01" w:rsidRPr="00610967" w:rsidRDefault="006D4E01" w:rsidP="005B16B5">
            <w:pPr>
              <w:jc w:val="center"/>
              <w:cnfStyle w:val="100000000000" w:firstRow="1" w:lastRow="0" w:firstColumn="0" w:lastColumn="0" w:oddVBand="0" w:evenVBand="0" w:oddHBand="0" w:evenHBand="0" w:firstRowFirstColumn="0" w:firstRowLastColumn="0" w:lastRowFirstColumn="0" w:lastRowLastColumn="0"/>
              <w:rPr>
                <w:rFonts w:cstheme="majorHAnsi"/>
                <w:sz w:val="18"/>
                <w:szCs w:val="18"/>
              </w:rPr>
            </w:pPr>
            <w:r w:rsidRPr="00610967">
              <w:rPr>
                <w:rFonts w:cstheme="majorHAnsi"/>
                <w:sz w:val="18"/>
                <w:szCs w:val="18"/>
              </w:rPr>
              <w:t xml:space="preserve">Modalités opérationnelles proposées pour des synergies et complémentarités pertinentes et efficaces </w:t>
            </w:r>
          </w:p>
        </w:tc>
      </w:tr>
      <w:tr w:rsidR="006D4E01" w:rsidRPr="00B06EE7" w14:paraId="074BA6BA" w14:textId="77777777" w:rsidTr="00464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pct"/>
          </w:tcPr>
          <w:p w14:paraId="7812D49D" w14:textId="77777777" w:rsidR="006D4E01" w:rsidRPr="009A36EE" w:rsidRDefault="006D4E01" w:rsidP="005B16B5">
            <w:pPr>
              <w:jc w:val="center"/>
              <w:rPr>
                <w:rFonts w:cstheme="majorHAnsi"/>
                <w:b w:val="0"/>
                <w:bCs w:val="0"/>
                <w:sz w:val="18"/>
                <w:szCs w:val="18"/>
              </w:rPr>
            </w:pPr>
            <w:r w:rsidRPr="009A36EE">
              <w:rPr>
                <w:rFonts w:cstheme="majorHAnsi"/>
                <w:sz w:val="18"/>
                <w:szCs w:val="18"/>
              </w:rPr>
              <w:t xml:space="preserve">Assistance technique pour l’opérationnalisation du contrat d’achat-vente d projet </w:t>
            </w:r>
            <w:proofErr w:type="spellStart"/>
            <w:r w:rsidRPr="009A36EE">
              <w:rPr>
                <w:rFonts w:cstheme="majorHAnsi"/>
                <w:sz w:val="18"/>
                <w:szCs w:val="18"/>
              </w:rPr>
              <w:t>MaÏ-Ndombé</w:t>
            </w:r>
            <w:proofErr w:type="spellEnd"/>
          </w:p>
          <w:p w14:paraId="057372F7" w14:textId="77777777" w:rsidR="006D4E01" w:rsidRPr="009A36EE" w:rsidRDefault="006D4E01" w:rsidP="005B16B5">
            <w:pPr>
              <w:jc w:val="center"/>
              <w:rPr>
                <w:rFonts w:cstheme="majorHAnsi"/>
                <w:sz w:val="18"/>
                <w:szCs w:val="18"/>
              </w:rPr>
            </w:pPr>
          </w:p>
        </w:tc>
        <w:tc>
          <w:tcPr>
            <w:tcW w:w="374" w:type="pct"/>
          </w:tcPr>
          <w:p w14:paraId="390E1ECF" w14:textId="77777777" w:rsidR="006D4E01" w:rsidRPr="009A36EE" w:rsidRDefault="006D4E01" w:rsidP="005B16B5">
            <w:pPr>
              <w:jc w:val="cente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 xml:space="preserve">Banque Mondiale </w:t>
            </w:r>
          </w:p>
        </w:tc>
        <w:tc>
          <w:tcPr>
            <w:tcW w:w="421" w:type="pct"/>
          </w:tcPr>
          <w:p w14:paraId="6DC0C410" w14:textId="77777777" w:rsidR="006D4E01" w:rsidRPr="009A36EE" w:rsidRDefault="006D4E01" w:rsidP="005B16B5">
            <w:pPr>
              <w:jc w:val="cente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 xml:space="preserve">En cours de préparation </w:t>
            </w:r>
          </w:p>
        </w:tc>
        <w:tc>
          <w:tcPr>
            <w:tcW w:w="500" w:type="pct"/>
          </w:tcPr>
          <w:p w14:paraId="172E83FD" w14:textId="77777777" w:rsidR="006D4E01" w:rsidRPr="009A36EE" w:rsidRDefault="006D4E01" w:rsidP="005B16B5">
            <w:pPr>
              <w:jc w:val="cente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Territoire National</w:t>
            </w:r>
          </w:p>
        </w:tc>
        <w:tc>
          <w:tcPr>
            <w:tcW w:w="478" w:type="pct"/>
          </w:tcPr>
          <w:p w14:paraId="6E8A4338" w14:textId="77777777" w:rsidR="006D4E01" w:rsidRPr="009A36EE" w:rsidRDefault="006D4E01" w:rsidP="005B16B5">
            <w:pPr>
              <w:jc w:val="cente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5 millions $USD</w:t>
            </w:r>
          </w:p>
        </w:tc>
        <w:tc>
          <w:tcPr>
            <w:tcW w:w="672" w:type="pct"/>
          </w:tcPr>
          <w:p w14:paraId="4941B208"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Composante renforcement des capacités prend en compte un appui au développement du cadre règlement relatif aux marchés du carbone y compris le cadre de mise en œuvre de l’article 6 au niveau national</w:t>
            </w:r>
          </w:p>
        </w:tc>
        <w:tc>
          <w:tcPr>
            <w:tcW w:w="820" w:type="pct"/>
          </w:tcPr>
          <w:p w14:paraId="7857ABF4"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 xml:space="preserve">Le </w:t>
            </w:r>
            <w:r>
              <w:rPr>
                <w:rFonts w:cstheme="majorHAnsi"/>
                <w:sz w:val="18"/>
                <w:szCs w:val="18"/>
              </w:rPr>
              <w:t xml:space="preserve">présent projet prévoit également dans son produit 02 l’appui à l’élaboration d’une politique nationale sur les marchés du carbone qui prendra en compte, la définition du cadre de mise en œuvre de l’article 6 de l’Accord de Paris ainsi que le développement des procédures opérationnelles y afférentes. </w:t>
            </w:r>
          </w:p>
          <w:p w14:paraId="566CA1AE"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Pr>
                <w:rFonts w:cstheme="majorHAnsi"/>
                <w:sz w:val="18"/>
                <w:szCs w:val="18"/>
              </w:rPr>
              <w:t xml:space="preserve">Le type de synergie à mettre en place dans ce cadre pourrait porter sur la mutualisation des ressources, notamment l’expertise technique et le renforcement des capacités. </w:t>
            </w:r>
          </w:p>
          <w:p w14:paraId="20837BBC"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tc>
        <w:tc>
          <w:tcPr>
            <w:tcW w:w="1044" w:type="pct"/>
          </w:tcPr>
          <w:p w14:paraId="6F2EA7DF"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p w14:paraId="6BEB0846"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p w14:paraId="32A965C8"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p w14:paraId="27B28957"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 xml:space="preserve">Sous réserve de la cohérence du cadre de planification des deux projets, le présent projet pourra se rapprocher de </w:t>
            </w:r>
            <w:r>
              <w:rPr>
                <w:rFonts w:cstheme="majorHAnsi"/>
                <w:sz w:val="18"/>
                <w:szCs w:val="18"/>
              </w:rPr>
              <w:t>la banque mondiale pour mutualiser les ressources notamment dès la préparation des termes de références de cette activité relative à l’élaboration du cadre nationale de mise en œuvre de l’article 6 en précisant les rôles et responsabilités de chaque partenaire dans la mise en œuvre de l’activité.</w:t>
            </w:r>
          </w:p>
        </w:tc>
      </w:tr>
      <w:tr w:rsidR="006D4E01" w:rsidRPr="00B06EE7" w14:paraId="77FC0FA5" w14:textId="77777777" w:rsidTr="004641B3">
        <w:tc>
          <w:tcPr>
            <w:cnfStyle w:val="001000000000" w:firstRow="0" w:lastRow="0" w:firstColumn="1" w:lastColumn="0" w:oddVBand="0" w:evenVBand="0" w:oddHBand="0" w:evenHBand="0" w:firstRowFirstColumn="0" w:firstRowLastColumn="0" w:lastRowFirstColumn="0" w:lastRowLastColumn="0"/>
            <w:tcW w:w="691" w:type="pct"/>
          </w:tcPr>
          <w:p w14:paraId="7C47D20F" w14:textId="77777777" w:rsidR="006D4E01" w:rsidRPr="009A36EE" w:rsidRDefault="006D4E01" w:rsidP="005B16B5">
            <w:pPr>
              <w:rPr>
                <w:rFonts w:cstheme="majorHAnsi"/>
                <w:b w:val="0"/>
                <w:bCs w:val="0"/>
                <w:sz w:val="18"/>
                <w:szCs w:val="18"/>
              </w:rPr>
            </w:pPr>
            <w:r w:rsidRPr="009A36EE">
              <w:rPr>
                <w:rFonts w:cstheme="majorHAnsi"/>
                <w:sz w:val="18"/>
                <w:szCs w:val="18"/>
              </w:rPr>
              <w:lastRenderedPageBreak/>
              <w:t>Projet d’appui à la mise en œuvre de la CDN</w:t>
            </w:r>
          </w:p>
        </w:tc>
        <w:tc>
          <w:tcPr>
            <w:tcW w:w="374" w:type="pct"/>
          </w:tcPr>
          <w:p w14:paraId="6A5274E5"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PNUD</w:t>
            </w:r>
          </w:p>
        </w:tc>
        <w:tc>
          <w:tcPr>
            <w:tcW w:w="421" w:type="pct"/>
          </w:tcPr>
          <w:p w14:paraId="785B614F"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En cours de mise en œuvre</w:t>
            </w:r>
          </w:p>
        </w:tc>
        <w:tc>
          <w:tcPr>
            <w:tcW w:w="500" w:type="pct"/>
          </w:tcPr>
          <w:p w14:paraId="64B11805"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Territoire national</w:t>
            </w:r>
          </w:p>
        </w:tc>
        <w:tc>
          <w:tcPr>
            <w:tcW w:w="478" w:type="pct"/>
          </w:tcPr>
          <w:p w14:paraId="78F36FA0"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1,2 million $USD</w:t>
            </w:r>
          </w:p>
        </w:tc>
        <w:tc>
          <w:tcPr>
            <w:tcW w:w="672" w:type="pct"/>
          </w:tcPr>
          <w:p w14:paraId="2E0E37F9"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 xml:space="preserve">Renforcer le leadership institutionnel, améliorer la gouvernance de l’action climatique, mobiliser les ressources et assurer un meilleur </w:t>
            </w:r>
            <w:proofErr w:type="spellStart"/>
            <w:r w:rsidRPr="009A36EE">
              <w:rPr>
                <w:rFonts w:cstheme="majorHAnsi"/>
                <w:sz w:val="18"/>
                <w:szCs w:val="18"/>
              </w:rPr>
              <w:t>suivi-évaluation</w:t>
            </w:r>
            <w:proofErr w:type="spellEnd"/>
            <w:r w:rsidRPr="009A36EE">
              <w:rPr>
                <w:rFonts w:cstheme="majorHAnsi"/>
                <w:sz w:val="18"/>
                <w:szCs w:val="18"/>
              </w:rPr>
              <w:t xml:space="preserve"> de progrès.</w:t>
            </w:r>
          </w:p>
        </w:tc>
        <w:tc>
          <w:tcPr>
            <w:tcW w:w="820" w:type="pct"/>
          </w:tcPr>
          <w:p w14:paraId="72862631" w14:textId="77777777" w:rsidR="006D4E01"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Pr>
                <w:rFonts w:cstheme="majorHAnsi"/>
                <w:sz w:val="18"/>
                <w:szCs w:val="18"/>
              </w:rPr>
              <w:t xml:space="preserve">Le présent projet envisage dans son produit 01 d’opérationnaliser le Conseil National de l’Environnement et du développement durable tout en renforçant les capacités au niveau sectoriel en vue d’améliorer le suivi des progrès de la CDN et le rapportage. </w:t>
            </w:r>
          </w:p>
          <w:p w14:paraId="1F7424BB"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p>
        </w:tc>
        <w:tc>
          <w:tcPr>
            <w:tcW w:w="1044" w:type="pct"/>
          </w:tcPr>
          <w:p w14:paraId="45B1E862" w14:textId="77777777" w:rsidR="006D4E01"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Pr>
                <w:rFonts w:cstheme="majorHAnsi"/>
                <w:sz w:val="18"/>
                <w:szCs w:val="18"/>
              </w:rPr>
              <w:t xml:space="preserve">Une collaboration sous forme de partage d’expérience sera établie avec les collègues PNUD en charge de la mise en œuvre de ce projet d’appui à la CDN. L’équipe du présent projet devra capitaliser les acquis obtenus dans le cadre ce projet CDN du PNUD afin de mieux orienter ses interventions. </w:t>
            </w:r>
          </w:p>
          <w:p w14:paraId="552CD842" w14:textId="77777777" w:rsidR="006D4E01"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p>
          <w:p w14:paraId="347141F4"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p>
        </w:tc>
      </w:tr>
      <w:tr w:rsidR="006D4E01" w:rsidRPr="00B06EE7" w14:paraId="0085C610" w14:textId="77777777" w:rsidTr="00464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pct"/>
          </w:tcPr>
          <w:p w14:paraId="1BF11D43" w14:textId="77777777" w:rsidR="006D4E01" w:rsidRPr="009A36EE" w:rsidRDefault="006D4E01" w:rsidP="005B16B5">
            <w:pPr>
              <w:rPr>
                <w:rFonts w:cstheme="majorHAnsi"/>
                <w:b w:val="0"/>
                <w:bCs w:val="0"/>
                <w:sz w:val="18"/>
                <w:szCs w:val="18"/>
              </w:rPr>
            </w:pPr>
            <w:r w:rsidRPr="009A36EE">
              <w:rPr>
                <w:rFonts w:cstheme="majorHAnsi"/>
                <w:sz w:val="18"/>
                <w:szCs w:val="18"/>
                <w:lang w:val="fr-CD"/>
              </w:rPr>
              <w:t>Initiatives du Service forestier américain (USFS) pour soutenir le développement du marché carbone en RDC (</w:t>
            </w:r>
            <w:proofErr w:type="spellStart"/>
            <w:r w:rsidRPr="009A36EE">
              <w:rPr>
                <w:rFonts w:cstheme="majorHAnsi"/>
                <w:sz w:val="18"/>
                <w:szCs w:val="18"/>
                <w:lang w:val="fr-CD"/>
              </w:rPr>
              <w:t>SHuFFLE</w:t>
            </w:r>
            <w:proofErr w:type="spellEnd"/>
            <w:r w:rsidRPr="009A36EE">
              <w:rPr>
                <w:rFonts w:cstheme="majorHAnsi"/>
                <w:sz w:val="18"/>
                <w:szCs w:val="18"/>
                <w:lang w:val="fr-CD"/>
              </w:rPr>
              <w:t xml:space="preserve">, ICAPS, </w:t>
            </w:r>
            <w:proofErr w:type="spellStart"/>
            <w:r w:rsidRPr="009A36EE">
              <w:rPr>
                <w:rFonts w:cstheme="majorHAnsi"/>
                <w:sz w:val="18"/>
                <w:szCs w:val="18"/>
                <w:lang w:val="fr-CD"/>
              </w:rPr>
              <w:t>SilvaCarbon</w:t>
            </w:r>
            <w:proofErr w:type="spellEnd"/>
            <w:r w:rsidRPr="009A36EE">
              <w:rPr>
                <w:rFonts w:cstheme="majorHAnsi"/>
                <w:sz w:val="18"/>
                <w:szCs w:val="18"/>
                <w:lang w:val="fr-CD"/>
              </w:rPr>
              <w:t xml:space="preserve"> , </w:t>
            </w:r>
            <w:proofErr w:type="spellStart"/>
            <w:r w:rsidRPr="009A36EE">
              <w:rPr>
                <w:rFonts w:cstheme="majorHAnsi"/>
                <w:sz w:val="18"/>
                <w:szCs w:val="18"/>
                <w:lang w:val="fr-CD"/>
              </w:rPr>
              <w:t>Climate</w:t>
            </w:r>
            <w:proofErr w:type="spellEnd"/>
            <w:r w:rsidRPr="009A36EE">
              <w:rPr>
                <w:rFonts w:cstheme="majorHAnsi"/>
                <w:sz w:val="18"/>
                <w:szCs w:val="18"/>
                <w:lang w:val="fr-CD"/>
              </w:rPr>
              <w:t xml:space="preserve"> </w:t>
            </w:r>
            <w:proofErr w:type="spellStart"/>
            <w:r w:rsidRPr="009A36EE">
              <w:rPr>
                <w:rFonts w:cstheme="majorHAnsi"/>
                <w:sz w:val="18"/>
                <w:szCs w:val="18"/>
                <w:lang w:val="fr-CD"/>
              </w:rPr>
              <w:t>Fellows</w:t>
            </w:r>
            <w:proofErr w:type="spellEnd"/>
            <w:r w:rsidRPr="009A36EE">
              <w:rPr>
                <w:rFonts w:cstheme="majorHAnsi"/>
                <w:sz w:val="18"/>
                <w:szCs w:val="18"/>
                <w:lang w:val="fr-CD"/>
              </w:rPr>
              <w:t>)</w:t>
            </w:r>
          </w:p>
        </w:tc>
        <w:tc>
          <w:tcPr>
            <w:tcW w:w="374" w:type="pct"/>
          </w:tcPr>
          <w:p w14:paraId="0BFC519C"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US Forest</w:t>
            </w:r>
          </w:p>
        </w:tc>
        <w:tc>
          <w:tcPr>
            <w:tcW w:w="421" w:type="pct"/>
          </w:tcPr>
          <w:p w14:paraId="69D37EF9"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En cours de mise en œuvre</w:t>
            </w:r>
          </w:p>
        </w:tc>
        <w:tc>
          <w:tcPr>
            <w:tcW w:w="500" w:type="pct"/>
          </w:tcPr>
          <w:p w14:paraId="71BB0439"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Territoire national</w:t>
            </w:r>
          </w:p>
        </w:tc>
        <w:tc>
          <w:tcPr>
            <w:tcW w:w="478" w:type="pct"/>
          </w:tcPr>
          <w:p w14:paraId="2E9E02E2"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tc>
        <w:tc>
          <w:tcPr>
            <w:tcW w:w="672" w:type="pct"/>
          </w:tcPr>
          <w:p w14:paraId="7EE15B75"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lang w:val="fr-CD"/>
              </w:rPr>
            </w:pPr>
            <w:r w:rsidRPr="009A36EE">
              <w:rPr>
                <w:rFonts w:cstheme="majorHAnsi"/>
                <w:sz w:val="18"/>
                <w:szCs w:val="18"/>
                <w:lang w:val="fr-CD"/>
              </w:rPr>
              <w:t>Appui à l’opérationnalisation de l'ARMCA -Elaboration des textes d’encadrement institutionnel et réglementaire de l’ARMCA</w:t>
            </w:r>
          </w:p>
          <w:p w14:paraId="267EA306"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tc>
        <w:tc>
          <w:tcPr>
            <w:tcW w:w="820" w:type="pct"/>
          </w:tcPr>
          <w:p w14:paraId="6340D90C"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Pr>
                <w:rFonts w:cstheme="majorHAnsi"/>
                <w:sz w:val="18"/>
                <w:szCs w:val="18"/>
              </w:rPr>
              <w:t xml:space="preserve">Le présent projet envisage d’opérationnaliser l’ARMCA à travers des actions de renforcement des capacités et d’assistance technique. L’appui apporté par USFS consiste à définir les textes d’encadrement institutionnel et réglementaire de l’ARMCA. </w:t>
            </w:r>
          </w:p>
          <w:p w14:paraId="49D38038"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p w14:paraId="51EABC89"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tc>
        <w:tc>
          <w:tcPr>
            <w:tcW w:w="1044" w:type="pct"/>
          </w:tcPr>
          <w:p w14:paraId="354FA598" w14:textId="77777777" w:rsidR="006D4E01"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p>
          <w:p w14:paraId="4B90792E"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Pr>
                <w:rFonts w:cstheme="majorHAnsi"/>
                <w:sz w:val="18"/>
                <w:szCs w:val="18"/>
              </w:rPr>
              <w:t xml:space="preserve">Partage </w:t>
            </w:r>
            <w:r w:rsidRPr="009A36EE">
              <w:rPr>
                <w:rFonts w:cstheme="majorHAnsi"/>
                <w:sz w:val="18"/>
                <w:szCs w:val="18"/>
              </w:rPr>
              <w:t xml:space="preserve">de connaissances.  Le projet s’appuiera sur les résultats de l’étude de base portant sur la structuration de l’organisation et du fonctionnement de l’ARMCA pour mieux circonscrire </w:t>
            </w:r>
            <w:r>
              <w:rPr>
                <w:rFonts w:cstheme="majorHAnsi"/>
                <w:sz w:val="18"/>
                <w:szCs w:val="18"/>
              </w:rPr>
              <w:t>l’</w:t>
            </w:r>
            <w:r w:rsidRPr="009A36EE">
              <w:rPr>
                <w:rFonts w:cstheme="majorHAnsi"/>
                <w:sz w:val="18"/>
                <w:szCs w:val="18"/>
              </w:rPr>
              <w:t>appui</w:t>
            </w:r>
            <w:r>
              <w:rPr>
                <w:rFonts w:cstheme="majorHAnsi"/>
                <w:sz w:val="18"/>
                <w:szCs w:val="18"/>
              </w:rPr>
              <w:t xml:space="preserve"> du projet </w:t>
            </w:r>
            <w:r w:rsidRPr="009A36EE">
              <w:rPr>
                <w:rFonts w:cstheme="majorHAnsi"/>
                <w:sz w:val="18"/>
                <w:szCs w:val="18"/>
              </w:rPr>
              <w:t>à l’opérationnalisation de cette structure.</w:t>
            </w:r>
          </w:p>
        </w:tc>
      </w:tr>
      <w:tr w:rsidR="006D4E01" w:rsidRPr="00B06EE7" w14:paraId="46B204B7" w14:textId="77777777" w:rsidTr="004641B3">
        <w:trPr>
          <w:trHeight w:val="2491"/>
        </w:trPr>
        <w:tc>
          <w:tcPr>
            <w:cnfStyle w:val="001000000000" w:firstRow="0" w:lastRow="0" w:firstColumn="1" w:lastColumn="0" w:oddVBand="0" w:evenVBand="0" w:oddHBand="0" w:evenHBand="0" w:firstRowFirstColumn="0" w:firstRowLastColumn="0" w:lastRowFirstColumn="0" w:lastRowLastColumn="0"/>
            <w:tcW w:w="691" w:type="pct"/>
          </w:tcPr>
          <w:p w14:paraId="270BF9F4" w14:textId="77777777" w:rsidR="006D4E01" w:rsidRPr="009A36EE" w:rsidRDefault="006D4E01" w:rsidP="005B16B5">
            <w:pPr>
              <w:rPr>
                <w:rFonts w:cstheme="majorHAnsi"/>
                <w:b w:val="0"/>
                <w:bCs w:val="0"/>
                <w:sz w:val="18"/>
                <w:szCs w:val="18"/>
              </w:rPr>
            </w:pPr>
            <w:r w:rsidRPr="009A36EE">
              <w:rPr>
                <w:rFonts w:cstheme="majorHAnsi"/>
                <w:sz w:val="18"/>
                <w:szCs w:val="18"/>
              </w:rPr>
              <w:lastRenderedPageBreak/>
              <w:t>Action fondée sur la science pour mettre à l’échelle des solutions climatiques naturelles en RDC</w:t>
            </w:r>
          </w:p>
        </w:tc>
        <w:tc>
          <w:tcPr>
            <w:tcW w:w="374" w:type="pct"/>
          </w:tcPr>
          <w:p w14:paraId="1180CA94"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proofErr w:type="spellStart"/>
            <w:r w:rsidRPr="009A36EE">
              <w:rPr>
                <w:rFonts w:cstheme="majorHAnsi"/>
                <w:sz w:val="18"/>
                <w:szCs w:val="18"/>
              </w:rPr>
              <w:t>Woodwell</w:t>
            </w:r>
            <w:proofErr w:type="spellEnd"/>
            <w:r w:rsidRPr="009A36EE">
              <w:rPr>
                <w:rFonts w:cstheme="majorHAnsi"/>
                <w:sz w:val="18"/>
                <w:szCs w:val="18"/>
              </w:rPr>
              <w:t xml:space="preserve"> </w:t>
            </w:r>
            <w:proofErr w:type="spellStart"/>
            <w:r w:rsidRPr="009A36EE">
              <w:rPr>
                <w:rFonts w:cstheme="majorHAnsi"/>
                <w:sz w:val="18"/>
                <w:szCs w:val="18"/>
              </w:rPr>
              <w:t>Climate</w:t>
            </w:r>
            <w:proofErr w:type="spellEnd"/>
            <w:r w:rsidRPr="009A36EE">
              <w:rPr>
                <w:rFonts w:cstheme="majorHAnsi"/>
                <w:sz w:val="18"/>
                <w:szCs w:val="18"/>
              </w:rPr>
              <w:t xml:space="preserve"> Research Centre</w:t>
            </w:r>
          </w:p>
        </w:tc>
        <w:tc>
          <w:tcPr>
            <w:tcW w:w="421" w:type="pct"/>
          </w:tcPr>
          <w:p w14:paraId="14E852F1"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En cours de mise en oeuvre</w:t>
            </w:r>
          </w:p>
        </w:tc>
        <w:tc>
          <w:tcPr>
            <w:tcW w:w="500" w:type="pct"/>
          </w:tcPr>
          <w:p w14:paraId="2FC2A81A"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Territoire national</w:t>
            </w:r>
          </w:p>
        </w:tc>
        <w:tc>
          <w:tcPr>
            <w:tcW w:w="478" w:type="pct"/>
          </w:tcPr>
          <w:p w14:paraId="59B7C6A5"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p>
        </w:tc>
        <w:tc>
          <w:tcPr>
            <w:tcW w:w="672" w:type="pct"/>
          </w:tcPr>
          <w:p w14:paraId="7A4C9E4A"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lang w:val="fr-CD"/>
              </w:rPr>
              <w:t>Renforcer les capacités scientifiques</w:t>
            </w:r>
          </w:p>
        </w:tc>
        <w:tc>
          <w:tcPr>
            <w:tcW w:w="820" w:type="pct"/>
          </w:tcPr>
          <w:p w14:paraId="68616614"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Pr>
                <w:rFonts w:cstheme="majorHAnsi"/>
                <w:sz w:val="18"/>
                <w:szCs w:val="18"/>
              </w:rPr>
              <w:t xml:space="preserve">Le présent projet dispose d’un plan de renforcement des capacités. </w:t>
            </w:r>
          </w:p>
        </w:tc>
        <w:tc>
          <w:tcPr>
            <w:tcW w:w="1044" w:type="pct"/>
          </w:tcPr>
          <w:p w14:paraId="7B960E5D" w14:textId="77777777" w:rsidR="006D4E01" w:rsidRPr="0054323B"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 xml:space="preserve">Sur la base du plan de renforcement des capacités développé dans le cadre du présent projet, un partenariat stratégique sera établi avec le partenaire pour définir l’approche de collaboration. </w:t>
            </w:r>
          </w:p>
        </w:tc>
      </w:tr>
      <w:tr w:rsidR="006D4E01" w:rsidRPr="00B06EE7" w14:paraId="4A59B0B9" w14:textId="77777777" w:rsidTr="004641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pct"/>
          </w:tcPr>
          <w:p w14:paraId="366BAEEE" w14:textId="77777777" w:rsidR="006D4E01" w:rsidRPr="009A36EE" w:rsidRDefault="006D4E01" w:rsidP="005B16B5">
            <w:pPr>
              <w:rPr>
                <w:rFonts w:cstheme="majorHAnsi"/>
                <w:b w:val="0"/>
                <w:bCs w:val="0"/>
                <w:sz w:val="18"/>
                <w:szCs w:val="18"/>
              </w:rPr>
            </w:pPr>
            <w:r w:rsidRPr="009A36EE">
              <w:rPr>
                <w:rFonts w:cstheme="majorHAnsi"/>
                <w:sz w:val="18"/>
                <w:szCs w:val="18"/>
              </w:rPr>
              <w:t>Forest for Future</w:t>
            </w:r>
          </w:p>
        </w:tc>
        <w:tc>
          <w:tcPr>
            <w:tcW w:w="374" w:type="pct"/>
          </w:tcPr>
          <w:p w14:paraId="5C22C11E"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USAID</w:t>
            </w:r>
          </w:p>
        </w:tc>
        <w:tc>
          <w:tcPr>
            <w:tcW w:w="421" w:type="pct"/>
          </w:tcPr>
          <w:p w14:paraId="3C5781E0"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En cours de mise en œuvre</w:t>
            </w:r>
          </w:p>
        </w:tc>
        <w:tc>
          <w:tcPr>
            <w:tcW w:w="500" w:type="pct"/>
          </w:tcPr>
          <w:p w14:paraId="041E5063"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Equateur, Nord-Kivu, Maniema</w:t>
            </w:r>
          </w:p>
        </w:tc>
        <w:tc>
          <w:tcPr>
            <w:tcW w:w="478" w:type="pct"/>
          </w:tcPr>
          <w:p w14:paraId="19FE898F"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4 Millions $USD</w:t>
            </w:r>
          </w:p>
        </w:tc>
        <w:tc>
          <w:tcPr>
            <w:tcW w:w="672" w:type="pct"/>
          </w:tcPr>
          <w:p w14:paraId="54EFF124"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sidRPr="009A36EE">
              <w:rPr>
                <w:rFonts w:cstheme="majorHAnsi"/>
                <w:sz w:val="18"/>
                <w:szCs w:val="18"/>
              </w:rPr>
              <w:t xml:space="preserve">Améliorer les moyens de subsistance et le bien-être des communautés forestières, protéger la biodiversité et réduire la déforestation </w:t>
            </w:r>
          </w:p>
        </w:tc>
        <w:tc>
          <w:tcPr>
            <w:tcW w:w="820" w:type="pct"/>
          </w:tcPr>
          <w:p w14:paraId="1402C2C7"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Pr>
                <w:rFonts w:cstheme="majorHAnsi"/>
                <w:sz w:val="18"/>
                <w:szCs w:val="18"/>
              </w:rPr>
              <w:t xml:space="preserve">Le présent projet prévoit dans son produit 02, de développer un projet juridictionnel REDD+ qui aura des objectifs similaires à ceux du projet mis en œuvre par USAID. </w:t>
            </w:r>
          </w:p>
        </w:tc>
        <w:tc>
          <w:tcPr>
            <w:tcW w:w="1044" w:type="pct"/>
          </w:tcPr>
          <w:p w14:paraId="48F717D2" w14:textId="77777777" w:rsidR="006D4E01" w:rsidRPr="009A36EE" w:rsidRDefault="006D4E01" w:rsidP="005B16B5">
            <w:pPr>
              <w:cnfStyle w:val="000000100000" w:firstRow="0" w:lastRow="0" w:firstColumn="0" w:lastColumn="0" w:oddVBand="0" w:evenVBand="0" w:oddHBand="1" w:evenHBand="0" w:firstRowFirstColumn="0" w:firstRowLastColumn="0" w:lastRowFirstColumn="0" w:lastRowLastColumn="0"/>
              <w:rPr>
                <w:rFonts w:cstheme="majorHAnsi"/>
                <w:sz w:val="18"/>
                <w:szCs w:val="18"/>
              </w:rPr>
            </w:pPr>
            <w:r>
              <w:rPr>
                <w:rFonts w:cstheme="majorHAnsi"/>
                <w:sz w:val="18"/>
                <w:szCs w:val="18"/>
              </w:rPr>
              <w:t xml:space="preserve">Lors de l’élaboration du projet juridictionnel REDD+, l’équipe du PNUD se rapprochera de l’USAID afin de capitaliser sur leur expérience acquise dans le cadre du développement et de la mise en œuvre de leur projet. </w:t>
            </w:r>
          </w:p>
        </w:tc>
      </w:tr>
      <w:tr w:rsidR="006D4E01" w:rsidRPr="00B06EE7" w14:paraId="08AAD4F6" w14:textId="77777777" w:rsidTr="004641B3">
        <w:tc>
          <w:tcPr>
            <w:cnfStyle w:val="001000000000" w:firstRow="0" w:lastRow="0" w:firstColumn="1" w:lastColumn="0" w:oddVBand="0" w:evenVBand="0" w:oddHBand="0" w:evenHBand="0" w:firstRowFirstColumn="0" w:firstRowLastColumn="0" w:lastRowFirstColumn="0" w:lastRowLastColumn="0"/>
            <w:tcW w:w="691" w:type="pct"/>
          </w:tcPr>
          <w:p w14:paraId="6DDD9673" w14:textId="77777777" w:rsidR="006D4E01" w:rsidRPr="009A36EE" w:rsidRDefault="006D4E01" w:rsidP="005B16B5">
            <w:pPr>
              <w:rPr>
                <w:rFonts w:cstheme="majorHAnsi"/>
                <w:b w:val="0"/>
                <w:bCs w:val="0"/>
                <w:sz w:val="18"/>
                <w:szCs w:val="18"/>
              </w:rPr>
            </w:pPr>
            <w:r w:rsidRPr="009A36EE">
              <w:rPr>
                <w:rFonts w:cstheme="majorHAnsi"/>
                <w:sz w:val="18"/>
                <w:szCs w:val="18"/>
              </w:rPr>
              <w:t xml:space="preserve">Programme de réduction d’émissions dans </w:t>
            </w:r>
            <w:proofErr w:type="spellStart"/>
            <w:r w:rsidRPr="009A36EE">
              <w:rPr>
                <w:rFonts w:cstheme="majorHAnsi"/>
                <w:sz w:val="18"/>
                <w:szCs w:val="18"/>
              </w:rPr>
              <w:t>Maindombe</w:t>
            </w:r>
            <w:proofErr w:type="spellEnd"/>
          </w:p>
        </w:tc>
        <w:tc>
          <w:tcPr>
            <w:tcW w:w="374" w:type="pct"/>
          </w:tcPr>
          <w:p w14:paraId="68E1B389"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Banque Mondiale</w:t>
            </w:r>
          </w:p>
        </w:tc>
        <w:tc>
          <w:tcPr>
            <w:tcW w:w="421" w:type="pct"/>
          </w:tcPr>
          <w:p w14:paraId="35B16F0E"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En cours de mise en œuvre</w:t>
            </w:r>
          </w:p>
        </w:tc>
        <w:tc>
          <w:tcPr>
            <w:tcW w:w="500" w:type="pct"/>
          </w:tcPr>
          <w:p w14:paraId="72FE2F38"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Mai-Ndombe</w:t>
            </w:r>
          </w:p>
        </w:tc>
        <w:tc>
          <w:tcPr>
            <w:tcW w:w="478" w:type="pct"/>
          </w:tcPr>
          <w:p w14:paraId="1C666DF5"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p>
        </w:tc>
        <w:tc>
          <w:tcPr>
            <w:tcW w:w="672" w:type="pct"/>
          </w:tcPr>
          <w:p w14:paraId="20951829"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9A36EE">
              <w:rPr>
                <w:rFonts w:cstheme="majorHAnsi"/>
                <w:sz w:val="18"/>
                <w:szCs w:val="18"/>
              </w:rPr>
              <w:t>Réduire les émissions dues à la déforestation</w:t>
            </w:r>
          </w:p>
        </w:tc>
        <w:tc>
          <w:tcPr>
            <w:tcW w:w="820" w:type="pct"/>
          </w:tcPr>
          <w:p w14:paraId="12CCB3AA" w14:textId="77777777" w:rsidR="006D4E01" w:rsidRPr="009A36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Pr>
                <w:rFonts w:cstheme="majorHAnsi"/>
                <w:sz w:val="18"/>
                <w:szCs w:val="18"/>
              </w:rPr>
              <w:t xml:space="preserve">Le présent projet envisage également de développer un projet juridictionnel REDD+. La grande expérience accumulée par la banque mondiale et son partenaire de mise en œuvre sera sollicitée lors de l’élaboration du projet juridictionnel REDD+.  </w:t>
            </w:r>
          </w:p>
        </w:tc>
        <w:tc>
          <w:tcPr>
            <w:tcW w:w="1044" w:type="pct"/>
          </w:tcPr>
          <w:p w14:paraId="52154145" w14:textId="77777777" w:rsidR="006D4E01" w:rsidRPr="00741B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p>
          <w:p w14:paraId="1475DCF8" w14:textId="77777777" w:rsidR="006D4E01" w:rsidRPr="00741BEE" w:rsidRDefault="006D4E01" w:rsidP="005B16B5">
            <w:pPr>
              <w:cnfStyle w:val="000000000000" w:firstRow="0" w:lastRow="0" w:firstColumn="0" w:lastColumn="0" w:oddVBand="0" w:evenVBand="0" w:oddHBand="0" w:evenHBand="0" w:firstRowFirstColumn="0" w:firstRowLastColumn="0" w:lastRowFirstColumn="0" w:lastRowLastColumn="0"/>
              <w:rPr>
                <w:rFonts w:cstheme="majorHAnsi"/>
                <w:sz w:val="18"/>
                <w:szCs w:val="18"/>
              </w:rPr>
            </w:pPr>
            <w:r w:rsidRPr="00741BEE">
              <w:rPr>
                <w:rFonts w:cstheme="majorHAnsi"/>
                <w:sz w:val="18"/>
                <w:szCs w:val="18"/>
              </w:rPr>
              <w:t xml:space="preserve">Sollicitation des documents de capitalisation auprès de la </w:t>
            </w:r>
            <w:r>
              <w:rPr>
                <w:rFonts w:cstheme="majorHAnsi"/>
                <w:sz w:val="18"/>
                <w:szCs w:val="18"/>
              </w:rPr>
              <w:t xml:space="preserve">banque mondiale et de son partenaire de mise en œuvre. Echanges sur des questions techniques et particulièrement celles liées à l’intégrité des projets REDD+ (approche de quantification, sauvegardes sociales et environnementales). </w:t>
            </w:r>
          </w:p>
        </w:tc>
      </w:tr>
    </w:tbl>
    <w:p w14:paraId="3A37C514" w14:textId="77777777" w:rsidR="00A24256" w:rsidRDefault="00A24256" w:rsidP="003A4091">
      <w:pPr>
        <w:spacing w:after="120"/>
        <w:jc w:val="both"/>
        <w:rPr>
          <w:rFonts w:ascii="Avenir Next LT Pro" w:hAnsi="Avenir Next LT Pro"/>
          <w:sz w:val="20"/>
          <w:szCs w:val="20"/>
          <w:highlight w:val="yellow"/>
          <w:lang w:eastAsia="fr-FR"/>
        </w:rPr>
        <w:sectPr w:rsidR="00A24256" w:rsidSect="004641B3">
          <w:pgSz w:w="16838" w:h="11906" w:orient="landscape"/>
          <w:pgMar w:top="1418" w:right="1418" w:bottom="1418" w:left="1418" w:header="709" w:footer="709" w:gutter="0"/>
          <w:cols w:space="708"/>
          <w:docGrid w:linePitch="360"/>
        </w:sectPr>
      </w:pPr>
    </w:p>
    <w:p w14:paraId="337ABC4D" w14:textId="25CAE6B6" w:rsidR="00684E5E" w:rsidRPr="00C345C4" w:rsidRDefault="00684E5E" w:rsidP="00684E5E">
      <w:pPr>
        <w:pStyle w:val="Titre1"/>
        <w:rPr>
          <w:rFonts w:ascii="Avenir Next LT Pro" w:hAnsi="Avenir Next LT Pro"/>
        </w:rPr>
      </w:pPr>
      <w:bookmarkStart w:id="39" w:name="_Toc163230379"/>
      <w:r w:rsidRPr="00C345C4">
        <w:rPr>
          <w:rFonts w:ascii="Avenir Next LT Pro" w:hAnsi="Avenir Next LT Pro"/>
        </w:rPr>
        <w:lastRenderedPageBreak/>
        <w:t xml:space="preserve">Gouvernance du </w:t>
      </w:r>
      <w:r w:rsidR="00C73245" w:rsidRPr="00C345C4">
        <w:rPr>
          <w:rFonts w:ascii="Avenir Next LT Pro" w:hAnsi="Avenir Next LT Pro"/>
        </w:rPr>
        <w:t>projet</w:t>
      </w:r>
      <w:bookmarkEnd w:id="39"/>
    </w:p>
    <w:p w14:paraId="5BC07B9F" w14:textId="35550DB9" w:rsidR="00684E5E" w:rsidRPr="00C345C4" w:rsidRDefault="00684E5E" w:rsidP="003A4091">
      <w:pPr>
        <w:spacing w:after="120"/>
        <w:jc w:val="both"/>
        <w:rPr>
          <w:rFonts w:ascii="Avenir Next LT Pro" w:hAnsi="Avenir Next LT Pro"/>
          <w:sz w:val="20"/>
          <w:szCs w:val="20"/>
          <w:highlight w:val="yellow"/>
          <w:lang w:eastAsia="fr-FR"/>
        </w:rPr>
      </w:pPr>
    </w:p>
    <w:p w14:paraId="0C69DD91" w14:textId="14636208" w:rsidR="0009509B" w:rsidRPr="00C345C4" w:rsidRDefault="006F2528" w:rsidP="000E7FF0">
      <w:pPr>
        <w:pStyle w:val="Titre2"/>
        <w:rPr>
          <w:rStyle w:val="Titre2Car"/>
          <w:rFonts w:ascii="Avenir Next LT Pro" w:hAnsi="Avenir Next LT Pro"/>
          <w:b/>
          <w:bCs/>
        </w:rPr>
      </w:pPr>
      <w:bookmarkStart w:id="40" w:name="_Toc163230380"/>
      <w:r>
        <w:rPr>
          <w:rStyle w:val="Titre2Car"/>
          <w:rFonts w:ascii="Avenir Next LT Pro" w:hAnsi="Avenir Next LT Pro"/>
          <w:b/>
          <w:bCs/>
        </w:rPr>
        <w:t>Organes de gouvernance</w:t>
      </w:r>
      <w:r w:rsidR="0077003B">
        <w:rPr>
          <w:rStyle w:val="Appelnotedebasdep"/>
          <w:rFonts w:ascii="Avenir Next LT Pro" w:hAnsi="Avenir Next LT Pro"/>
        </w:rPr>
        <w:footnoteReference w:id="17"/>
      </w:r>
      <w:bookmarkEnd w:id="40"/>
    </w:p>
    <w:p w14:paraId="4E2B7412" w14:textId="4C882261" w:rsidR="003A4091" w:rsidRPr="00467647" w:rsidRDefault="00B65795" w:rsidP="0069457C">
      <w:pPr>
        <w:spacing w:after="120"/>
        <w:jc w:val="both"/>
        <w:rPr>
          <w:rFonts w:ascii="Avenir Next LT Pro" w:hAnsi="Avenir Next LT Pro"/>
          <w:b/>
          <w:bCs/>
          <w:sz w:val="20"/>
          <w:szCs w:val="20"/>
          <w:u w:val="single"/>
          <w:lang w:eastAsia="fr-FR"/>
        </w:rPr>
      </w:pPr>
      <w:r w:rsidRPr="00467647">
        <w:rPr>
          <w:rFonts w:ascii="Avenir Next LT Pro" w:hAnsi="Avenir Next LT Pro"/>
          <w:b/>
          <w:bCs/>
          <w:sz w:val="20"/>
          <w:szCs w:val="20"/>
          <w:u w:val="single"/>
          <w:lang w:eastAsia="fr-FR"/>
        </w:rPr>
        <w:t>Le Comité de pilotage</w:t>
      </w:r>
      <w:r w:rsidR="00344A86">
        <w:rPr>
          <w:rFonts w:ascii="Avenir Next LT Pro" w:hAnsi="Avenir Next LT Pro"/>
          <w:b/>
          <w:bCs/>
          <w:sz w:val="20"/>
          <w:szCs w:val="20"/>
          <w:u w:val="single"/>
          <w:lang w:eastAsia="fr-FR"/>
        </w:rPr>
        <w:t xml:space="preserve"> (COPIL)</w:t>
      </w:r>
    </w:p>
    <w:p w14:paraId="18F1E35A" w14:textId="0E607FD3" w:rsidR="00D54E7A" w:rsidRPr="00695479" w:rsidRDefault="00D54E7A" w:rsidP="00B71F9E">
      <w:pPr>
        <w:pStyle w:val="Default"/>
        <w:spacing w:after="120"/>
        <w:jc w:val="both"/>
        <w:rPr>
          <w:rFonts w:ascii="Avenir Next LT Pro" w:hAnsi="Avenir Next LT Pro"/>
          <w:i/>
          <w:iCs/>
          <w:sz w:val="20"/>
          <w:szCs w:val="20"/>
        </w:rPr>
      </w:pPr>
      <w:r w:rsidRPr="00695479">
        <w:rPr>
          <w:rFonts w:ascii="Avenir Next LT Pro" w:hAnsi="Avenir Next LT Pro"/>
          <w:i/>
          <w:iCs/>
          <w:sz w:val="20"/>
          <w:szCs w:val="20"/>
        </w:rPr>
        <w:t>Compos</w:t>
      </w:r>
      <w:r w:rsidR="00695479" w:rsidRPr="00695479">
        <w:rPr>
          <w:rFonts w:ascii="Avenir Next LT Pro" w:hAnsi="Avenir Next LT Pro"/>
          <w:i/>
          <w:iCs/>
          <w:sz w:val="20"/>
          <w:szCs w:val="20"/>
        </w:rPr>
        <w:t>ition du COPIL</w:t>
      </w:r>
    </w:p>
    <w:p w14:paraId="2F583CD4" w14:textId="3332C1E7" w:rsidR="005A28E5" w:rsidRPr="00F6644D" w:rsidRDefault="00B37C44" w:rsidP="00B71F9E">
      <w:pPr>
        <w:pStyle w:val="Default"/>
        <w:spacing w:after="120"/>
        <w:jc w:val="both"/>
        <w:rPr>
          <w:rFonts w:ascii="Avenir Next LT Pro" w:hAnsi="Avenir Next LT Pro"/>
          <w:sz w:val="20"/>
          <w:szCs w:val="20"/>
        </w:rPr>
      </w:pPr>
      <w:r w:rsidRPr="00F6644D">
        <w:rPr>
          <w:rFonts w:ascii="Avenir Next LT Pro" w:hAnsi="Avenir Next LT Pro"/>
          <w:sz w:val="20"/>
          <w:szCs w:val="20"/>
        </w:rPr>
        <w:t xml:space="preserve">Un Comité de pilotage du Projet co-présidé par le MEDD et le PNUD sera créé par arrêté ministériel qui fixe ses missions, sa composition et son fonctionnement. </w:t>
      </w:r>
      <w:r w:rsidR="003A1BE7" w:rsidRPr="00F6644D">
        <w:rPr>
          <w:rFonts w:ascii="Avenir Next LT Pro" w:hAnsi="Avenir Next LT Pro"/>
          <w:sz w:val="20"/>
          <w:szCs w:val="20"/>
        </w:rPr>
        <w:t xml:space="preserve">Idéalement, le COPIL sera composé </w:t>
      </w:r>
      <w:r w:rsidR="005A28E5" w:rsidRPr="00F6644D">
        <w:rPr>
          <w:rFonts w:ascii="Avenir Next LT Pro" w:hAnsi="Avenir Next LT Pro"/>
          <w:sz w:val="20"/>
          <w:szCs w:val="20"/>
        </w:rPr>
        <w:t xml:space="preserve">des </w:t>
      </w:r>
      <w:r w:rsidR="00903379" w:rsidRPr="00F6644D">
        <w:rPr>
          <w:rFonts w:ascii="Avenir Next LT Pro" w:hAnsi="Avenir Next LT Pro"/>
          <w:sz w:val="20"/>
          <w:szCs w:val="20"/>
        </w:rPr>
        <w:t xml:space="preserve">institutions suivantes : </w:t>
      </w:r>
      <w:r w:rsidR="005A28E5" w:rsidRPr="00F6644D">
        <w:rPr>
          <w:rFonts w:ascii="Avenir Next LT Pro" w:hAnsi="Avenir Next LT Pro"/>
          <w:sz w:val="20"/>
          <w:szCs w:val="20"/>
        </w:rPr>
        <w:t>MEDD, Ministère des Finances</w:t>
      </w:r>
      <w:r w:rsidR="00140089">
        <w:rPr>
          <w:rFonts w:ascii="Avenir Next LT Pro" w:hAnsi="Avenir Next LT Pro"/>
          <w:sz w:val="20"/>
          <w:szCs w:val="20"/>
        </w:rPr>
        <w:t xml:space="preserve"> représenté notamment par le </w:t>
      </w:r>
      <w:r w:rsidR="00140089" w:rsidRPr="00AE44B9">
        <w:rPr>
          <w:rFonts w:eastAsia="Aptos" w:cs="Times New Roman"/>
          <w:sz w:val="20"/>
          <w:szCs w:val="20"/>
        </w:rPr>
        <w:t>Directeur de Cabinet</w:t>
      </w:r>
      <w:r w:rsidR="00140089">
        <w:rPr>
          <w:rFonts w:eastAsia="Aptos" w:cs="Times New Roman"/>
          <w:sz w:val="20"/>
          <w:szCs w:val="20"/>
        </w:rPr>
        <w:t xml:space="preserve"> du Ministre</w:t>
      </w:r>
      <w:r w:rsidR="005A28E5" w:rsidRPr="00F6644D">
        <w:rPr>
          <w:rFonts w:ascii="Avenir Next LT Pro" w:hAnsi="Avenir Next LT Pro"/>
          <w:sz w:val="20"/>
          <w:szCs w:val="20"/>
        </w:rPr>
        <w:t>, Secrétariat</w:t>
      </w:r>
      <w:r w:rsidR="009779B7" w:rsidRPr="00F6644D">
        <w:rPr>
          <w:rFonts w:ascii="Avenir Next LT Pro" w:hAnsi="Avenir Next LT Pro"/>
          <w:sz w:val="20"/>
          <w:szCs w:val="20"/>
        </w:rPr>
        <w:t xml:space="preserve">s </w:t>
      </w:r>
      <w:r w:rsidR="005A28E5" w:rsidRPr="00F6644D">
        <w:rPr>
          <w:rFonts w:ascii="Avenir Next LT Pro" w:hAnsi="Avenir Next LT Pro"/>
          <w:sz w:val="20"/>
          <w:szCs w:val="20"/>
        </w:rPr>
        <w:t>F</w:t>
      </w:r>
      <w:r w:rsidR="00903379" w:rsidRPr="00F6644D">
        <w:rPr>
          <w:rFonts w:ascii="Avenir Next LT Pro" w:hAnsi="Avenir Next LT Pro"/>
          <w:sz w:val="20"/>
          <w:szCs w:val="20"/>
        </w:rPr>
        <w:t>ONAREDD</w:t>
      </w:r>
      <w:r w:rsidR="009779B7" w:rsidRPr="00F6644D">
        <w:rPr>
          <w:rFonts w:ascii="Avenir Next LT Pro" w:hAnsi="Avenir Next LT Pro"/>
          <w:sz w:val="20"/>
          <w:szCs w:val="20"/>
        </w:rPr>
        <w:t xml:space="preserve"> et </w:t>
      </w:r>
      <w:r w:rsidR="005A28E5" w:rsidRPr="00F6644D">
        <w:rPr>
          <w:rFonts w:ascii="Avenir Next LT Pro" w:hAnsi="Avenir Next LT Pro"/>
          <w:sz w:val="20"/>
          <w:szCs w:val="20"/>
        </w:rPr>
        <w:t xml:space="preserve">CAFI, </w:t>
      </w:r>
      <w:r w:rsidR="009779B7" w:rsidRPr="00F6644D">
        <w:rPr>
          <w:rFonts w:ascii="Avenir Next LT Pro" w:hAnsi="Avenir Next LT Pro"/>
          <w:sz w:val="20"/>
          <w:szCs w:val="20"/>
        </w:rPr>
        <w:t xml:space="preserve">PNUD, </w:t>
      </w:r>
      <w:r w:rsidR="005A28E5" w:rsidRPr="00F6644D">
        <w:rPr>
          <w:rFonts w:ascii="Avenir Next LT Pro" w:hAnsi="Avenir Next LT Pro"/>
          <w:sz w:val="20"/>
          <w:szCs w:val="20"/>
        </w:rPr>
        <w:t>ministères sectoriels (</w:t>
      </w:r>
      <w:r w:rsidR="006B1642" w:rsidRPr="00F6644D">
        <w:rPr>
          <w:rFonts w:ascii="Avenir Next LT Pro" w:hAnsi="Avenir Next LT Pro"/>
          <w:sz w:val="20"/>
          <w:szCs w:val="20"/>
        </w:rPr>
        <w:t xml:space="preserve">ex. </w:t>
      </w:r>
      <w:r w:rsidR="005A28E5" w:rsidRPr="00F6644D">
        <w:rPr>
          <w:rFonts w:ascii="Avenir Next LT Pro" w:hAnsi="Avenir Next LT Pro"/>
          <w:sz w:val="20"/>
          <w:szCs w:val="20"/>
        </w:rPr>
        <w:t>Plan, Budget, Agriculture, Transport, Développement rural, Energie, Coopération internationale, Aménagement du territoire, Genre, etc.) impliqués dans la mise en œuvre de la CDN et le développement des marchés du carbone, institutions spécialisées, notamment l’ARMCA, secteur privé, Partenaires Techniques et Financiers (PTF)</w:t>
      </w:r>
      <w:r w:rsidR="00E8751A" w:rsidRPr="00F6644D">
        <w:rPr>
          <w:rFonts w:ascii="Avenir Next LT Pro" w:hAnsi="Avenir Next LT Pro"/>
          <w:sz w:val="20"/>
          <w:szCs w:val="20"/>
        </w:rPr>
        <w:t> </w:t>
      </w:r>
      <w:r w:rsidR="00B71F9E" w:rsidRPr="00F6644D">
        <w:rPr>
          <w:rFonts w:ascii="Avenir Next LT Pro" w:hAnsi="Avenir Next LT Pro"/>
          <w:sz w:val="20"/>
          <w:szCs w:val="20"/>
        </w:rPr>
        <w:t xml:space="preserve">et </w:t>
      </w:r>
      <w:r w:rsidR="005A28E5" w:rsidRPr="00F6644D">
        <w:rPr>
          <w:rFonts w:ascii="Avenir Next LT Pro" w:hAnsi="Avenir Next LT Pro"/>
          <w:sz w:val="20"/>
          <w:szCs w:val="20"/>
        </w:rPr>
        <w:t>société civile</w:t>
      </w:r>
      <w:r w:rsidR="001113DF">
        <w:rPr>
          <w:rFonts w:ascii="Avenir Next LT Pro" w:hAnsi="Avenir Next LT Pro"/>
          <w:sz w:val="20"/>
          <w:szCs w:val="20"/>
        </w:rPr>
        <w:t xml:space="preserve"> y compris un </w:t>
      </w:r>
      <w:r w:rsidR="00257C70">
        <w:rPr>
          <w:rFonts w:ascii="Avenir Next LT Pro" w:hAnsi="Avenir Next LT Pro"/>
          <w:sz w:val="20"/>
          <w:szCs w:val="20"/>
        </w:rPr>
        <w:t>représentant des peuples autochtone</w:t>
      </w:r>
      <w:r w:rsidR="001113DF">
        <w:rPr>
          <w:rFonts w:ascii="Avenir Next LT Pro" w:hAnsi="Avenir Next LT Pro"/>
          <w:sz w:val="20"/>
          <w:szCs w:val="20"/>
        </w:rPr>
        <w:t>s</w:t>
      </w:r>
      <w:r w:rsidR="005A28E5" w:rsidRPr="00F6644D">
        <w:rPr>
          <w:rFonts w:ascii="Avenir Next LT Pro" w:hAnsi="Avenir Next LT Pro"/>
          <w:sz w:val="20"/>
          <w:szCs w:val="20"/>
        </w:rPr>
        <w:t>.</w:t>
      </w:r>
    </w:p>
    <w:p w14:paraId="5E5729FB" w14:textId="77777777" w:rsidR="008353CC" w:rsidRPr="008353CC" w:rsidRDefault="008353CC" w:rsidP="008353CC">
      <w:pPr>
        <w:pStyle w:val="Default"/>
        <w:spacing w:after="120"/>
        <w:rPr>
          <w:rFonts w:ascii="Avenir Next LT Pro" w:hAnsi="Avenir Next LT Pro"/>
          <w:i/>
          <w:iCs/>
          <w:sz w:val="20"/>
          <w:szCs w:val="20"/>
          <w:u w:val="single"/>
        </w:rPr>
      </w:pPr>
      <w:r w:rsidRPr="008353CC">
        <w:rPr>
          <w:rFonts w:ascii="Avenir Next LT Pro" w:hAnsi="Avenir Next LT Pro"/>
          <w:i/>
          <w:iCs/>
          <w:sz w:val="20"/>
          <w:szCs w:val="20"/>
          <w:u w:val="single"/>
        </w:rPr>
        <w:t>Rôles du COPIL</w:t>
      </w:r>
    </w:p>
    <w:p w14:paraId="50F25F2B" w14:textId="77777777" w:rsidR="008353CC" w:rsidRPr="008353CC" w:rsidRDefault="008353CC" w:rsidP="008353CC">
      <w:pPr>
        <w:pStyle w:val="Default"/>
        <w:spacing w:after="120"/>
        <w:rPr>
          <w:rFonts w:ascii="Avenir Next LT Pro" w:hAnsi="Avenir Next LT Pro"/>
          <w:sz w:val="20"/>
          <w:szCs w:val="20"/>
        </w:rPr>
      </w:pPr>
      <w:r w:rsidRPr="008353CC">
        <w:rPr>
          <w:rFonts w:ascii="Avenir Next LT Pro" w:hAnsi="Avenir Next LT Pro"/>
          <w:sz w:val="20"/>
          <w:szCs w:val="20"/>
        </w:rPr>
        <w:t xml:space="preserve">Les rôles du COPIL sont les suivants : </w:t>
      </w:r>
    </w:p>
    <w:p w14:paraId="7D39DE6B" w14:textId="25769128" w:rsidR="008353CC" w:rsidRPr="008353CC" w:rsidRDefault="008353CC" w:rsidP="008353CC">
      <w:pPr>
        <w:pStyle w:val="Default"/>
        <w:numPr>
          <w:ilvl w:val="0"/>
          <w:numId w:val="38"/>
        </w:numPr>
        <w:jc w:val="both"/>
        <w:rPr>
          <w:rFonts w:ascii="Avenir Next LT Pro" w:hAnsi="Avenir Next LT Pro"/>
          <w:sz w:val="20"/>
          <w:szCs w:val="20"/>
        </w:rPr>
      </w:pPr>
      <w:r w:rsidRPr="008353CC">
        <w:rPr>
          <w:rFonts w:ascii="Avenir Next LT Pro" w:hAnsi="Avenir Next LT Pro"/>
          <w:sz w:val="20"/>
          <w:szCs w:val="20"/>
        </w:rPr>
        <w:t>Approbation des plans de travail et budgets annuels (PTBA)</w:t>
      </w:r>
      <w:r w:rsidR="00FF30C4">
        <w:rPr>
          <w:rFonts w:ascii="Avenir Next LT Pro" w:hAnsi="Avenir Next LT Pro"/>
          <w:sz w:val="20"/>
          <w:szCs w:val="20"/>
          <w:vertAlign w:val="superscript"/>
        </w:rPr>
        <w:t xml:space="preserve"> </w:t>
      </w:r>
      <w:r w:rsidRPr="008353CC">
        <w:rPr>
          <w:rFonts w:ascii="Avenir Next LT Pro" w:hAnsi="Avenir Next LT Pro"/>
          <w:sz w:val="20"/>
          <w:szCs w:val="20"/>
        </w:rPr>
        <w:t xml:space="preserve">; </w:t>
      </w:r>
    </w:p>
    <w:p w14:paraId="30169AFE" w14:textId="77777777" w:rsidR="008353CC" w:rsidRPr="008353CC" w:rsidRDefault="008353CC" w:rsidP="008353CC">
      <w:pPr>
        <w:pStyle w:val="Default"/>
        <w:numPr>
          <w:ilvl w:val="0"/>
          <w:numId w:val="38"/>
        </w:numPr>
        <w:jc w:val="both"/>
        <w:rPr>
          <w:rFonts w:ascii="Avenir Next LT Pro" w:hAnsi="Avenir Next LT Pro"/>
          <w:sz w:val="20"/>
          <w:szCs w:val="20"/>
        </w:rPr>
      </w:pPr>
      <w:r w:rsidRPr="008353CC">
        <w:rPr>
          <w:rFonts w:ascii="Avenir Next LT Pro" w:hAnsi="Avenir Next LT Pro"/>
          <w:sz w:val="20"/>
          <w:szCs w:val="20"/>
        </w:rPr>
        <w:t>Examen et adoption des rapports</w:t>
      </w:r>
      <w:r w:rsidRPr="008353CC">
        <w:rPr>
          <w:rFonts w:ascii="Avenir Next LT Pro" w:hAnsi="Avenir Next LT Pro"/>
          <w:sz w:val="20"/>
          <w:szCs w:val="20"/>
          <w:vertAlign w:val="superscript"/>
        </w:rPr>
        <w:footnoteReference w:id="18"/>
      </w:r>
      <w:r w:rsidRPr="008353CC">
        <w:rPr>
          <w:rFonts w:ascii="Avenir Next LT Pro" w:hAnsi="Avenir Next LT Pro"/>
          <w:sz w:val="20"/>
          <w:szCs w:val="20"/>
        </w:rPr>
        <w:t xml:space="preserve"> semestriels et annuels techniques et financiers ; </w:t>
      </w:r>
    </w:p>
    <w:p w14:paraId="6E44E04E" w14:textId="54BD1729" w:rsidR="008353CC" w:rsidRPr="008353CC" w:rsidRDefault="008353CC" w:rsidP="008353CC">
      <w:pPr>
        <w:pStyle w:val="Default"/>
        <w:numPr>
          <w:ilvl w:val="0"/>
          <w:numId w:val="38"/>
        </w:numPr>
        <w:jc w:val="both"/>
        <w:rPr>
          <w:rFonts w:ascii="Avenir Next LT Pro" w:hAnsi="Avenir Next LT Pro"/>
          <w:sz w:val="20"/>
          <w:szCs w:val="20"/>
        </w:rPr>
      </w:pPr>
      <w:r w:rsidRPr="008353CC">
        <w:rPr>
          <w:rFonts w:ascii="Avenir Next LT Pro" w:hAnsi="Avenir Next LT Pro"/>
          <w:sz w:val="20"/>
          <w:szCs w:val="20"/>
        </w:rPr>
        <w:t xml:space="preserve">Examen de la prise en compte des recommandations du COPIL du projet et des résolutions/décisions des organes de gouvernance du FONAREDD (i.e. Comité de Revue des Projets (CRP) et COPIL du FONAREDD), </w:t>
      </w:r>
      <w:r w:rsidR="00A035C1">
        <w:rPr>
          <w:rFonts w:ascii="Avenir Next LT Pro" w:hAnsi="Avenir Next LT Pro"/>
          <w:sz w:val="20"/>
          <w:szCs w:val="20"/>
        </w:rPr>
        <w:t xml:space="preserve"> y</w:t>
      </w:r>
      <w:r w:rsidRPr="008353CC">
        <w:rPr>
          <w:rFonts w:ascii="Avenir Next LT Pro" w:hAnsi="Avenir Next LT Pro"/>
          <w:sz w:val="20"/>
          <w:szCs w:val="20"/>
        </w:rPr>
        <w:t xml:space="preserve"> compris les conditions suspensives à l’octroi de financement ;</w:t>
      </w:r>
    </w:p>
    <w:p w14:paraId="635E0EF7" w14:textId="77777777" w:rsidR="008353CC" w:rsidRPr="008353CC" w:rsidRDefault="008353CC" w:rsidP="008353CC">
      <w:pPr>
        <w:pStyle w:val="Default"/>
        <w:numPr>
          <w:ilvl w:val="0"/>
          <w:numId w:val="38"/>
        </w:numPr>
        <w:jc w:val="both"/>
        <w:rPr>
          <w:rFonts w:ascii="Avenir Next LT Pro" w:hAnsi="Avenir Next LT Pro"/>
          <w:sz w:val="20"/>
          <w:szCs w:val="20"/>
        </w:rPr>
      </w:pPr>
      <w:r w:rsidRPr="008353CC">
        <w:rPr>
          <w:rFonts w:ascii="Avenir Next LT Pro" w:hAnsi="Avenir Next LT Pro"/>
          <w:sz w:val="20"/>
          <w:szCs w:val="20"/>
        </w:rPr>
        <w:t xml:space="preserve">Examen des problèmes (éventuels) dans la mise en œuvre du projet et adoption d’accords/décisions pour améliorer la mise en œuvre et l’impact du projet ; </w:t>
      </w:r>
    </w:p>
    <w:p w14:paraId="2A70F2AC" w14:textId="1A4A3562" w:rsidR="008353CC" w:rsidRPr="008353CC" w:rsidRDefault="008353CC" w:rsidP="008353CC">
      <w:pPr>
        <w:pStyle w:val="Default"/>
        <w:numPr>
          <w:ilvl w:val="0"/>
          <w:numId w:val="38"/>
        </w:numPr>
        <w:jc w:val="both"/>
        <w:rPr>
          <w:rFonts w:ascii="Avenir Next LT Pro" w:hAnsi="Avenir Next LT Pro"/>
          <w:sz w:val="20"/>
          <w:szCs w:val="20"/>
        </w:rPr>
      </w:pPr>
      <w:r w:rsidRPr="008353CC">
        <w:rPr>
          <w:rFonts w:ascii="Avenir Next LT Pro" w:hAnsi="Avenir Next LT Pro"/>
          <w:sz w:val="20"/>
          <w:szCs w:val="20"/>
        </w:rPr>
        <w:t>Analyse des arrangements institutionnels et opérationnels de mise en œuvre et révision si nécessaire (e.g. demande d'extension du projet, révision des cibles et des budgets</w:t>
      </w:r>
      <w:r w:rsidR="0020163F">
        <w:rPr>
          <w:rFonts w:ascii="Avenir Next LT Pro" w:hAnsi="Avenir Next LT Pro"/>
          <w:sz w:val="20"/>
          <w:szCs w:val="20"/>
        </w:rPr>
        <w:t xml:space="preserve"> </w:t>
      </w:r>
      <w:r w:rsidRPr="008353CC">
        <w:rPr>
          <w:rFonts w:ascii="Avenir Next LT Pro" w:hAnsi="Avenir Next LT Pro"/>
          <w:sz w:val="20"/>
          <w:szCs w:val="20"/>
        </w:rPr>
        <w:t xml:space="preserve">en conformité avec les manuels d’opérations du FONAREDD et de CAFI ; </w:t>
      </w:r>
    </w:p>
    <w:p w14:paraId="4A1A7B43" w14:textId="77777777" w:rsidR="008353CC" w:rsidRPr="008353CC" w:rsidRDefault="008353CC" w:rsidP="00506F1D">
      <w:pPr>
        <w:pStyle w:val="Default"/>
        <w:numPr>
          <w:ilvl w:val="0"/>
          <w:numId w:val="38"/>
        </w:numPr>
        <w:spacing w:after="120"/>
        <w:jc w:val="both"/>
        <w:rPr>
          <w:rFonts w:ascii="Avenir Next LT Pro" w:hAnsi="Avenir Next LT Pro"/>
          <w:sz w:val="20"/>
          <w:szCs w:val="20"/>
        </w:rPr>
      </w:pPr>
      <w:r w:rsidRPr="008353CC">
        <w:rPr>
          <w:rFonts w:ascii="Avenir Next LT Pro" w:hAnsi="Avenir Next LT Pro"/>
          <w:sz w:val="20"/>
          <w:szCs w:val="20"/>
        </w:rPr>
        <w:t>Assurance de l’harmonisation du projet avec les priorités nationales de la RDC et les jalons de la deuxième Lettre d’intention renouvelant le partenariat entre la RDC et CAFI pour la période 2021-2031.</w:t>
      </w:r>
    </w:p>
    <w:p w14:paraId="4F3B50B3" w14:textId="77777777" w:rsidR="00506F1D" w:rsidRPr="00506F1D" w:rsidRDefault="00506F1D" w:rsidP="00506F1D">
      <w:pPr>
        <w:pStyle w:val="Default"/>
        <w:spacing w:after="120"/>
        <w:jc w:val="both"/>
        <w:rPr>
          <w:rFonts w:ascii="Avenir Next LT Pro" w:hAnsi="Avenir Next LT Pro" w:cs="Times New Roman"/>
          <w:i/>
          <w:iCs/>
          <w:sz w:val="20"/>
          <w:szCs w:val="20"/>
          <w:u w:val="single"/>
        </w:rPr>
      </w:pPr>
      <w:r w:rsidRPr="00506F1D">
        <w:rPr>
          <w:rFonts w:ascii="Avenir Next LT Pro" w:hAnsi="Avenir Next LT Pro" w:cs="Times New Roman"/>
          <w:i/>
          <w:iCs/>
          <w:sz w:val="20"/>
          <w:szCs w:val="20"/>
          <w:u w:val="single"/>
        </w:rPr>
        <w:t>Fréquence des réunions du COPIL et délais</w:t>
      </w:r>
    </w:p>
    <w:p w14:paraId="3193CE8D" w14:textId="77777777" w:rsidR="00506F1D" w:rsidRPr="00506F1D" w:rsidRDefault="00506F1D" w:rsidP="00506F1D">
      <w:pPr>
        <w:pStyle w:val="Default"/>
        <w:spacing w:after="120"/>
        <w:jc w:val="both"/>
        <w:rPr>
          <w:rFonts w:ascii="Avenir Next LT Pro" w:hAnsi="Avenir Next LT Pro" w:cs="Times New Roman"/>
          <w:sz w:val="20"/>
          <w:szCs w:val="20"/>
        </w:rPr>
      </w:pPr>
      <w:r w:rsidRPr="00506F1D">
        <w:rPr>
          <w:rFonts w:ascii="Avenir Next LT Pro" w:hAnsi="Avenir Next LT Pro" w:cs="Times New Roman"/>
          <w:sz w:val="20"/>
          <w:szCs w:val="20"/>
        </w:rPr>
        <w:t xml:space="preserve">Le COPIL du projet doit se réunir en session ordinaire au moins deux fois par an pour approuver (i) les rapports semestriels et/ou annuels et (ii) les plans de travail et les budgets annuels, ainsi qu’autant de fois que nécessaire. Les réunions du COPIL sont convoquées par le Président. </w:t>
      </w:r>
    </w:p>
    <w:p w14:paraId="458DF71E" w14:textId="0E67C3CD" w:rsidR="008353CC" w:rsidRPr="00506F1D" w:rsidRDefault="00506F1D" w:rsidP="00506F1D">
      <w:pPr>
        <w:pStyle w:val="Default"/>
        <w:spacing w:after="120"/>
        <w:jc w:val="both"/>
        <w:rPr>
          <w:rFonts w:ascii="Avenir Next LT Pro" w:hAnsi="Avenir Next LT Pro" w:cs="Times New Roman"/>
          <w:sz w:val="20"/>
          <w:szCs w:val="20"/>
        </w:rPr>
      </w:pPr>
      <w:r w:rsidRPr="00506F1D">
        <w:rPr>
          <w:rFonts w:ascii="Avenir Next LT Pro" w:hAnsi="Avenir Next LT Pro" w:cs="Times New Roman"/>
          <w:sz w:val="20"/>
          <w:szCs w:val="20"/>
        </w:rPr>
        <w:t>La convocation est adressée à chaque membre au moins 10 jours ouvrables (2 semaines calendaires) avant la tenue de la réunion et doit comprendre les termes de référence et l’ensemble de la documentation soumise à l’examen du COPIL.</w:t>
      </w:r>
    </w:p>
    <w:p w14:paraId="3CF8085C" w14:textId="0087DD47" w:rsidR="0007339C" w:rsidRPr="00D767CB" w:rsidRDefault="0007339C" w:rsidP="0007339C">
      <w:pPr>
        <w:pStyle w:val="Default"/>
        <w:spacing w:after="60"/>
        <w:jc w:val="both"/>
        <w:rPr>
          <w:rFonts w:ascii="Avenir Next LT Pro" w:hAnsi="Avenir Next LT Pro"/>
          <w:i/>
          <w:iCs/>
          <w:sz w:val="20"/>
          <w:szCs w:val="20"/>
          <w:u w:val="single"/>
        </w:rPr>
      </w:pPr>
      <w:r w:rsidRPr="00D767CB">
        <w:rPr>
          <w:rFonts w:ascii="Avenir Next LT Pro" w:hAnsi="Avenir Next LT Pro"/>
          <w:i/>
          <w:iCs/>
          <w:sz w:val="20"/>
          <w:szCs w:val="20"/>
          <w:u w:val="single"/>
        </w:rPr>
        <w:t>Documents</w:t>
      </w:r>
    </w:p>
    <w:p w14:paraId="12658B44" w14:textId="1DAE0C98" w:rsidR="0007339C" w:rsidRPr="00DD741A" w:rsidRDefault="00304E09" w:rsidP="00D64B44">
      <w:pPr>
        <w:spacing w:after="120" w:line="259" w:lineRule="auto"/>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U</w:t>
      </w:r>
      <w:r w:rsidR="008E0857" w:rsidRPr="00DD741A">
        <w:rPr>
          <w:rFonts w:ascii="Avenir Next LT Pro" w:eastAsia="Aptos" w:hAnsi="Avenir Next LT Pro" w:cs="Calibri"/>
          <w:kern w:val="2"/>
          <w:sz w:val="20"/>
          <w:szCs w:val="20"/>
        </w:rPr>
        <w:t xml:space="preserve">ne Unité de Gestion de Projet </w:t>
      </w:r>
      <w:r w:rsidR="00D22FF9" w:rsidRPr="00DD741A">
        <w:rPr>
          <w:rFonts w:ascii="Avenir Next LT Pro" w:eastAsia="Aptos" w:hAnsi="Avenir Next LT Pro" w:cs="Calibri"/>
          <w:kern w:val="2"/>
          <w:sz w:val="20"/>
          <w:szCs w:val="20"/>
        </w:rPr>
        <w:t xml:space="preserve">placée </w:t>
      </w:r>
      <w:r w:rsidR="0072514E" w:rsidRPr="00DD741A">
        <w:rPr>
          <w:rFonts w:ascii="Avenir Next LT Pro" w:eastAsia="Aptos" w:hAnsi="Avenir Next LT Pro" w:cs="Calibri"/>
          <w:kern w:val="2"/>
          <w:sz w:val="20"/>
          <w:szCs w:val="20"/>
        </w:rPr>
        <w:t xml:space="preserve">sous la supervision d’un Comité de Technique </w:t>
      </w:r>
      <w:r w:rsidR="008E0857" w:rsidRPr="00DD741A">
        <w:rPr>
          <w:rFonts w:ascii="Avenir Next LT Pro" w:eastAsia="Aptos" w:hAnsi="Avenir Next LT Pro" w:cs="Calibri"/>
          <w:kern w:val="2"/>
          <w:sz w:val="20"/>
          <w:szCs w:val="20"/>
        </w:rPr>
        <w:t xml:space="preserve">aura </w:t>
      </w:r>
      <w:r w:rsidR="008D7A2F" w:rsidRPr="00DD741A">
        <w:rPr>
          <w:rFonts w:ascii="Avenir Next LT Pro" w:eastAsia="Aptos" w:hAnsi="Avenir Next LT Pro" w:cs="Calibri"/>
          <w:kern w:val="2"/>
          <w:sz w:val="20"/>
          <w:szCs w:val="20"/>
        </w:rPr>
        <w:t>la</w:t>
      </w:r>
      <w:r w:rsidR="00D767CB" w:rsidRPr="00DD741A">
        <w:rPr>
          <w:rFonts w:ascii="Avenir Next LT Pro" w:eastAsia="Aptos" w:hAnsi="Avenir Next LT Pro" w:cs="Calibri"/>
          <w:kern w:val="2"/>
          <w:sz w:val="20"/>
          <w:szCs w:val="20"/>
        </w:rPr>
        <w:t xml:space="preserve"> </w:t>
      </w:r>
      <w:r w:rsidR="008D7A2F" w:rsidRPr="00DD741A">
        <w:rPr>
          <w:rFonts w:ascii="Avenir Next LT Pro" w:eastAsia="Aptos" w:hAnsi="Avenir Next LT Pro" w:cs="Calibri"/>
          <w:kern w:val="2"/>
          <w:sz w:val="20"/>
          <w:szCs w:val="20"/>
        </w:rPr>
        <w:t xml:space="preserve">responsabilité </w:t>
      </w:r>
      <w:r w:rsidR="00D767CB" w:rsidRPr="00DD741A">
        <w:rPr>
          <w:rFonts w:ascii="Avenir Next LT Pro" w:eastAsia="Aptos" w:hAnsi="Avenir Next LT Pro" w:cs="Calibri"/>
          <w:kern w:val="2"/>
          <w:sz w:val="20"/>
          <w:szCs w:val="20"/>
        </w:rPr>
        <w:t xml:space="preserve">de partager, activement, toute la documentation nécessaire à la tenue des réunions du COPIL du </w:t>
      </w:r>
      <w:r w:rsidR="00120983" w:rsidRPr="00DD741A">
        <w:rPr>
          <w:rFonts w:ascii="Avenir Next LT Pro" w:eastAsia="Aptos" w:hAnsi="Avenir Next LT Pro" w:cs="Calibri"/>
          <w:kern w:val="2"/>
          <w:sz w:val="20"/>
          <w:szCs w:val="20"/>
        </w:rPr>
        <w:t>P</w:t>
      </w:r>
      <w:r w:rsidR="00D767CB" w:rsidRPr="00DD741A">
        <w:rPr>
          <w:rFonts w:ascii="Avenir Next LT Pro" w:eastAsia="Aptos" w:hAnsi="Avenir Next LT Pro" w:cs="Calibri"/>
          <w:kern w:val="2"/>
          <w:sz w:val="20"/>
          <w:szCs w:val="20"/>
        </w:rPr>
        <w:t xml:space="preserve">rojet avec les </w:t>
      </w:r>
      <w:r w:rsidR="00B72BCA" w:rsidRPr="00DD741A">
        <w:rPr>
          <w:rFonts w:ascii="Avenir Next LT Pro" w:eastAsia="Aptos" w:hAnsi="Avenir Next LT Pro" w:cs="Calibri"/>
          <w:kern w:val="2"/>
          <w:sz w:val="20"/>
          <w:szCs w:val="20"/>
        </w:rPr>
        <w:t xml:space="preserve">membres du COPIL </w:t>
      </w:r>
      <w:r w:rsidR="0007339C" w:rsidRPr="00DD741A">
        <w:rPr>
          <w:rFonts w:ascii="Avenir Next LT Pro" w:eastAsia="Aptos" w:hAnsi="Avenir Next LT Pro" w:cs="Calibri"/>
          <w:kern w:val="2"/>
          <w:sz w:val="20"/>
          <w:szCs w:val="20"/>
        </w:rPr>
        <w:t xml:space="preserve">au moins </w:t>
      </w:r>
      <w:r w:rsidR="0007339C" w:rsidRPr="00DD741A">
        <w:rPr>
          <w:rFonts w:ascii="Avenir Next LT Pro" w:eastAsia="Aptos" w:hAnsi="Avenir Next LT Pro" w:cs="Calibri"/>
          <w:b/>
          <w:bCs/>
          <w:kern w:val="2"/>
          <w:sz w:val="20"/>
          <w:szCs w:val="20"/>
          <w:lang w:val="fr-CD"/>
        </w:rPr>
        <w:t>10 jours ouvrables</w:t>
      </w:r>
      <w:r w:rsidR="0007339C" w:rsidRPr="00DD741A">
        <w:rPr>
          <w:rFonts w:ascii="Avenir Next LT Pro" w:eastAsia="Aptos" w:hAnsi="Avenir Next LT Pro" w:cs="Calibri"/>
          <w:kern w:val="2"/>
          <w:sz w:val="20"/>
          <w:szCs w:val="20"/>
          <w:lang w:val="fr-CD"/>
        </w:rPr>
        <w:t xml:space="preserve"> (2 semaines calendaires) avant la tenue de la réunion du </w:t>
      </w:r>
      <w:r w:rsidR="0007339C" w:rsidRPr="00DD741A">
        <w:rPr>
          <w:rFonts w:ascii="Avenir Next LT Pro" w:eastAsia="Aptos" w:hAnsi="Avenir Next LT Pro" w:cs="Calibri"/>
          <w:kern w:val="2"/>
          <w:sz w:val="20"/>
          <w:szCs w:val="20"/>
        </w:rPr>
        <w:t>COPIL</w:t>
      </w:r>
      <w:r w:rsidR="00D64B44" w:rsidRPr="00DD741A">
        <w:rPr>
          <w:rFonts w:ascii="Avenir Next LT Pro" w:eastAsia="Aptos" w:hAnsi="Avenir Next LT Pro" w:cs="Calibri"/>
          <w:kern w:val="2"/>
          <w:sz w:val="20"/>
          <w:szCs w:val="20"/>
        </w:rPr>
        <w:t xml:space="preserve">. Il s’agira de manière non exhaustive des documents </w:t>
      </w:r>
      <w:r w:rsidR="0007339C" w:rsidRPr="00DD741A">
        <w:rPr>
          <w:rFonts w:ascii="Avenir Next LT Pro" w:eastAsia="Aptos" w:hAnsi="Avenir Next LT Pro" w:cs="Calibri"/>
          <w:kern w:val="2"/>
          <w:sz w:val="20"/>
          <w:szCs w:val="20"/>
          <w:lang w:val="fr-CD"/>
        </w:rPr>
        <w:t>suivants :</w:t>
      </w:r>
    </w:p>
    <w:p w14:paraId="5C9C5B03" w14:textId="77777777" w:rsidR="0007339C" w:rsidRPr="00DD741A" w:rsidRDefault="0007339C" w:rsidP="0007339C">
      <w:pPr>
        <w:numPr>
          <w:ilvl w:val="0"/>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b/>
          <w:bCs/>
          <w:kern w:val="2"/>
          <w:sz w:val="20"/>
          <w:szCs w:val="20"/>
        </w:rPr>
        <w:t>Termes de référence</w:t>
      </w:r>
      <w:r w:rsidRPr="00DD741A">
        <w:rPr>
          <w:rFonts w:ascii="Avenir Next LT Pro" w:eastAsia="Aptos" w:hAnsi="Avenir Next LT Pro" w:cs="Calibri"/>
          <w:kern w:val="2"/>
          <w:sz w:val="20"/>
          <w:szCs w:val="20"/>
        </w:rPr>
        <w:t xml:space="preserve"> de la réunion du COPIL (contexte, objectifs, participants, ordre du jour) ;</w:t>
      </w:r>
    </w:p>
    <w:p w14:paraId="755C5B7A" w14:textId="77777777" w:rsidR="0007339C" w:rsidRPr="00DD741A" w:rsidRDefault="0007339C" w:rsidP="0007339C">
      <w:pPr>
        <w:numPr>
          <w:ilvl w:val="0"/>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b/>
          <w:bCs/>
          <w:kern w:val="2"/>
          <w:sz w:val="20"/>
          <w:szCs w:val="20"/>
        </w:rPr>
        <w:lastRenderedPageBreak/>
        <w:t>Mandat et mode de fonctionnement</w:t>
      </w:r>
      <w:r w:rsidRPr="00DD741A">
        <w:rPr>
          <w:rFonts w:ascii="Avenir Next LT Pro" w:eastAsia="Aptos" w:hAnsi="Avenir Next LT Pro" w:cs="Calibri"/>
          <w:kern w:val="2"/>
          <w:sz w:val="20"/>
          <w:szCs w:val="20"/>
        </w:rPr>
        <w:t xml:space="preserve"> (règlement d’ordre intérieur) du COPIL ;</w:t>
      </w:r>
    </w:p>
    <w:p w14:paraId="732E4BE8" w14:textId="77777777" w:rsidR="0007339C" w:rsidRPr="00DD741A" w:rsidRDefault="0007339C" w:rsidP="0007339C">
      <w:pPr>
        <w:numPr>
          <w:ilvl w:val="0"/>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b/>
          <w:bCs/>
          <w:kern w:val="2"/>
          <w:sz w:val="20"/>
          <w:szCs w:val="20"/>
        </w:rPr>
        <w:t>Documentation technique</w:t>
      </w:r>
      <w:r w:rsidRPr="00DD741A">
        <w:rPr>
          <w:rFonts w:ascii="Avenir Next LT Pro" w:eastAsia="Aptos" w:hAnsi="Avenir Next LT Pro" w:cs="Calibri"/>
          <w:kern w:val="2"/>
          <w:sz w:val="20"/>
          <w:szCs w:val="20"/>
        </w:rPr>
        <w:t xml:space="preserve"> comprenant :</w:t>
      </w:r>
    </w:p>
    <w:p w14:paraId="5222F565" w14:textId="77777777" w:rsidR="0007339C" w:rsidRPr="00DD741A" w:rsidRDefault="0007339C" w:rsidP="0007339C">
      <w:pPr>
        <w:numPr>
          <w:ilvl w:val="1"/>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 xml:space="preserve">Prise en considération des </w:t>
      </w:r>
      <w:r w:rsidRPr="00DD741A">
        <w:rPr>
          <w:rFonts w:ascii="Avenir Next LT Pro" w:eastAsia="Aptos" w:hAnsi="Avenir Next LT Pro" w:cs="Calibri"/>
          <w:b/>
          <w:bCs/>
          <w:kern w:val="2"/>
          <w:sz w:val="20"/>
          <w:szCs w:val="20"/>
        </w:rPr>
        <w:t>recommandations</w:t>
      </w:r>
      <w:r w:rsidRPr="00DD741A">
        <w:rPr>
          <w:rFonts w:ascii="Avenir Next LT Pro" w:eastAsia="Aptos" w:hAnsi="Avenir Next LT Pro" w:cs="Calibri"/>
          <w:kern w:val="2"/>
          <w:sz w:val="20"/>
          <w:szCs w:val="20"/>
        </w:rPr>
        <w:t xml:space="preserve"> des précédentes réunions du COPIL et, le cas échéant, du CRP du FONAREDD (en ce compris les conditions suspensives au décaissement des tranches de financement) ;</w:t>
      </w:r>
    </w:p>
    <w:p w14:paraId="222D161C" w14:textId="77777777" w:rsidR="0007339C" w:rsidRPr="00DD741A" w:rsidRDefault="0007339C" w:rsidP="0007339C">
      <w:pPr>
        <w:numPr>
          <w:ilvl w:val="1"/>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b/>
          <w:bCs/>
          <w:kern w:val="2"/>
          <w:sz w:val="20"/>
          <w:szCs w:val="20"/>
        </w:rPr>
        <w:t>Etat de mise en œuvre des activités du projet</w:t>
      </w:r>
      <w:r w:rsidRPr="00DD741A">
        <w:rPr>
          <w:rFonts w:ascii="Avenir Next LT Pro" w:eastAsia="Aptos" w:hAnsi="Avenir Next LT Pro" w:cs="Calibri"/>
          <w:kern w:val="2"/>
          <w:sz w:val="20"/>
          <w:szCs w:val="20"/>
        </w:rPr>
        <w:t> :</w:t>
      </w:r>
    </w:p>
    <w:p w14:paraId="36B5F1A9" w14:textId="77777777" w:rsidR="0007339C" w:rsidRPr="00DD741A" w:rsidRDefault="0007339C" w:rsidP="0007339C">
      <w:pPr>
        <w:numPr>
          <w:ilvl w:val="2"/>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Atteinte des principaux résultats/livrables par rapport aux objectifs fixés dans le Prodoc et dans le PTBA ;</w:t>
      </w:r>
    </w:p>
    <w:p w14:paraId="7D04B0CA" w14:textId="77777777" w:rsidR="0007339C" w:rsidRPr="00DD741A" w:rsidRDefault="0007339C" w:rsidP="0007339C">
      <w:pPr>
        <w:numPr>
          <w:ilvl w:val="2"/>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Liens avec les jalons visés dans la lettre d’intention entre la RDC et le CAFI</w:t>
      </w:r>
    </w:p>
    <w:p w14:paraId="37FF31C4" w14:textId="77777777" w:rsidR="0007339C" w:rsidRPr="00DD741A" w:rsidRDefault="0007339C" w:rsidP="0007339C">
      <w:pPr>
        <w:numPr>
          <w:ilvl w:val="2"/>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Bilan sur la mise en œuvre des activités (appréciation globale, difficultés rencontrées, points à améliorer, etc.) ;</w:t>
      </w:r>
    </w:p>
    <w:p w14:paraId="5424F3C2" w14:textId="77777777" w:rsidR="0007339C" w:rsidRPr="00DD741A" w:rsidRDefault="0007339C" w:rsidP="0007339C">
      <w:pPr>
        <w:numPr>
          <w:ilvl w:val="1"/>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b/>
          <w:bCs/>
          <w:kern w:val="2"/>
          <w:sz w:val="20"/>
          <w:szCs w:val="20"/>
        </w:rPr>
        <w:t>Etat de l’utilisation du budget du Projet</w:t>
      </w:r>
      <w:r w:rsidRPr="00DD741A">
        <w:rPr>
          <w:rFonts w:ascii="Avenir Next LT Pro" w:eastAsia="Aptos" w:hAnsi="Avenir Next LT Pro" w:cs="Calibri"/>
          <w:kern w:val="2"/>
          <w:sz w:val="20"/>
          <w:szCs w:val="20"/>
        </w:rPr>
        <w:t xml:space="preserve"> (au regard des objectifs fixés et des résultats attendus) ;</w:t>
      </w:r>
    </w:p>
    <w:p w14:paraId="28A8453A" w14:textId="77777777" w:rsidR="0007339C" w:rsidRPr="00DD741A" w:rsidRDefault="0007339C" w:rsidP="0007339C">
      <w:pPr>
        <w:numPr>
          <w:ilvl w:val="1"/>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Ebauche du</w:t>
      </w:r>
      <w:r w:rsidRPr="00DD741A">
        <w:rPr>
          <w:rFonts w:ascii="Avenir Next LT Pro" w:eastAsia="Aptos" w:hAnsi="Avenir Next LT Pro" w:cs="Calibri"/>
          <w:b/>
          <w:bCs/>
          <w:kern w:val="2"/>
          <w:sz w:val="20"/>
          <w:szCs w:val="20"/>
        </w:rPr>
        <w:t xml:space="preserve"> rapport narratif </w:t>
      </w:r>
      <w:r w:rsidRPr="00DD741A">
        <w:rPr>
          <w:rFonts w:ascii="Avenir Next LT Pro" w:eastAsia="Aptos" w:hAnsi="Avenir Next LT Pro" w:cs="Calibri"/>
          <w:kern w:val="2"/>
          <w:sz w:val="20"/>
          <w:szCs w:val="20"/>
        </w:rPr>
        <w:t>(annuel ou semestriel) et du</w:t>
      </w:r>
      <w:r w:rsidRPr="00DD741A">
        <w:rPr>
          <w:rFonts w:ascii="Avenir Next LT Pro" w:eastAsia="Aptos" w:hAnsi="Avenir Next LT Pro" w:cs="Calibri"/>
          <w:b/>
          <w:bCs/>
          <w:kern w:val="2"/>
          <w:sz w:val="20"/>
          <w:szCs w:val="20"/>
        </w:rPr>
        <w:t xml:space="preserve"> rapport financier </w:t>
      </w:r>
      <w:r w:rsidRPr="00DD741A">
        <w:rPr>
          <w:rFonts w:ascii="Avenir Next LT Pro" w:eastAsia="Aptos" w:hAnsi="Avenir Next LT Pro" w:cs="Calibri"/>
          <w:kern w:val="2"/>
          <w:sz w:val="20"/>
          <w:szCs w:val="20"/>
        </w:rPr>
        <w:t>(annuel ou trimestriel selon le type d’organisation de mise en œuvre) ;</w:t>
      </w:r>
    </w:p>
    <w:p w14:paraId="5A747D30" w14:textId="77777777" w:rsidR="0007339C" w:rsidRPr="00DD741A" w:rsidRDefault="0007339C" w:rsidP="0007339C">
      <w:pPr>
        <w:numPr>
          <w:ilvl w:val="1"/>
          <w:numId w:val="39"/>
        </w:numPr>
        <w:spacing w:after="160" w:line="259" w:lineRule="auto"/>
        <w:contextualSpacing/>
        <w:jc w:val="both"/>
        <w:rPr>
          <w:rFonts w:ascii="Avenir Next LT Pro" w:eastAsia="Aptos" w:hAnsi="Avenir Next LT Pro" w:cs="Calibri"/>
          <w:b/>
          <w:bCs/>
          <w:kern w:val="2"/>
          <w:sz w:val="20"/>
          <w:szCs w:val="20"/>
        </w:rPr>
      </w:pPr>
      <w:r w:rsidRPr="00DD741A">
        <w:rPr>
          <w:rFonts w:ascii="Avenir Next LT Pro" w:eastAsia="Aptos" w:hAnsi="Avenir Next LT Pro" w:cs="Calibri"/>
          <w:b/>
          <w:bCs/>
          <w:kern w:val="2"/>
          <w:sz w:val="20"/>
          <w:szCs w:val="20"/>
        </w:rPr>
        <w:t>Rapport de suivi-évaluation du projet ;</w:t>
      </w:r>
    </w:p>
    <w:p w14:paraId="41F38057" w14:textId="77777777" w:rsidR="0007339C" w:rsidRPr="00DD741A" w:rsidRDefault="0007339C" w:rsidP="0007339C">
      <w:pPr>
        <w:numPr>
          <w:ilvl w:val="1"/>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b/>
          <w:bCs/>
          <w:kern w:val="2"/>
          <w:sz w:val="20"/>
          <w:szCs w:val="20"/>
        </w:rPr>
        <w:t>PTBA</w:t>
      </w:r>
      <w:r w:rsidRPr="00DD741A">
        <w:rPr>
          <w:rFonts w:ascii="Avenir Next LT Pro" w:eastAsia="Aptos" w:hAnsi="Avenir Next LT Pro" w:cs="Calibri"/>
          <w:kern w:val="2"/>
          <w:sz w:val="20"/>
          <w:szCs w:val="20"/>
        </w:rPr>
        <w:t xml:space="preserve"> avec les considérations suivantes :</w:t>
      </w:r>
    </w:p>
    <w:p w14:paraId="358F64A5" w14:textId="4F761F31" w:rsidR="0007339C" w:rsidRPr="00DD741A" w:rsidRDefault="0007339C" w:rsidP="0007339C">
      <w:pPr>
        <w:numPr>
          <w:ilvl w:val="2"/>
          <w:numId w:val="39"/>
        </w:numPr>
        <w:spacing w:after="160" w:line="259" w:lineRule="auto"/>
        <w:contextualSpacing/>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En plus des activités budgétisées et planifiées dans le temps, le PTBA fe</w:t>
      </w:r>
      <w:r w:rsidR="00C150BC" w:rsidRPr="00DD741A">
        <w:rPr>
          <w:rFonts w:ascii="Avenir Next LT Pro" w:eastAsia="Aptos" w:hAnsi="Avenir Next LT Pro" w:cs="Calibri"/>
          <w:kern w:val="2"/>
          <w:sz w:val="20"/>
          <w:szCs w:val="20"/>
        </w:rPr>
        <w:t>ra</w:t>
      </w:r>
      <w:r w:rsidRPr="00DD741A">
        <w:rPr>
          <w:rFonts w:ascii="Avenir Next LT Pro" w:eastAsia="Aptos" w:hAnsi="Avenir Next LT Pro" w:cs="Calibri"/>
          <w:kern w:val="2"/>
          <w:sz w:val="20"/>
          <w:szCs w:val="20"/>
        </w:rPr>
        <w:t xml:space="preserve"> le lien entre les activités, les budgets et les indicateurs/résultats (cibles annuelles quantifiées) du </w:t>
      </w:r>
      <w:r w:rsidR="00C150BC" w:rsidRPr="00DD741A">
        <w:rPr>
          <w:rFonts w:ascii="Avenir Next LT Pro" w:eastAsia="Aptos" w:hAnsi="Avenir Next LT Pro" w:cs="Calibri"/>
          <w:kern w:val="2"/>
          <w:sz w:val="20"/>
          <w:szCs w:val="20"/>
        </w:rPr>
        <w:t>Prodoc</w:t>
      </w:r>
      <w:r w:rsidRPr="00DD741A">
        <w:rPr>
          <w:rFonts w:ascii="Avenir Next LT Pro" w:eastAsia="Aptos" w:hAnsi="Avenir Next LT Pro" w:cs="Calibri"/>
          <w:kern w:val="2"/>
          <w:sz w:val="20"/>
          <w:szCs w:val="20"/>
        </w:rPr>
        <w:t xml:space="preserve"> qui sont attendus ;</w:t>
      </w:r>
    </w:p>
    <w:p w14:paraId="5914DC04" w14:textId="0002A260" w:rsidR="0007339C" w:rsidRPr="00DD741A" w:rsidRDefault="00121550" w:rsidP="0007339C">
      <w:pPr>
        <w:numPr>
          <w:ilvl w:val="2"/>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L</w:t>
      </w:r>
      <w:r w:rsidR="0007339C" w:rsidRPr="00DD741A">
        <w:rPr>
          <w:rFonts w:ascii="Avenir Next LT Pro" w:eastAsia="Aptos" w:hAnsi="Avenir Next LT Pro" w:cs="Calibri"/>
          <w:kern w:val="2"/>
          <w:sz w:val="20"/>
          <w:szCs w:val="20"/>
        </w:rPr>
        <w:t>e cas échéant, fournir</w:t>
      </w:r>
      <w:r w:rsidR="00C150BC" w:rsidRPr="00DD741A">
        <w:rPr>
          <w:rFonts w:ascii="Avenir Next LT Pro" w:eastAsia="Aptos" w:hAnsi="Avenir Next LT Pro" w:cs="Calibri"/>
          <w:kern w:val="2"/>
          <w:sz w:val="20"/>
          <w:szCs w:val="20"/>
        </w:rPr>
        <w:t>a</w:t>
      </w:r>
      <w:r w:rsidR="0007339C" w:rsidRPr="00DD741A">
        <w:rPr>
          <w:rFonts w:ascii="Avenir Next LT Pro" w:eastAsia="Aptos" w:hAnsi="Avenir Next LT Pro" w:cs="Calibri"/>
          <w:kern w:val="2"/>
          <w:sz w:val="20"/>
          <w:szCs w:val="20"/>
        </w:rPr>
        <w:t xml:space="preserve"> des explications sur les ajustements techniques et/ou budgétaires par rapport au </w:t>
      </w:r>
      <w:r w:rsidR="00C150BC" w:rsidRPr="00DD741A">
        <w:rPr>
          <w:rFonts w:ascii="Avenir Next LT Pro" w:eastAsia="Aptos" w:hAnsi="Avenir Next LT Pro" w:cs="Calibri"/>
          <w:kern w:val="2"/>
          <w:sz w:val="20"/>
          <w:szCs w:val="20"/>
        </w:rPr>
        <w:t>Prodoc</w:t>
      </w:r>
      <w:r w:rsidR="0007339C" w:rsidRPr="00DD741A">
        <w:rPr>
          <w:rFonts w:ascii="Avenir Next LT Pro" w:eastAsia="Aptos" w:hAnsi="Avenir Next LT Pro" w:cs="Calibri"/>
          <w:kern w:val="2"/>
          <w:sz w:val="20"/>
          <w:szCs w:val="20"/>
        </w:rPr>
        <w:t> ;</w:t>
      </w:r>
    </w:p>
    <w:p w14:paraId="6B664012" w14:textId="2AD3DAA3" w:rsidR="0007339C" w:rsidRPr="00DD741A" w:rsidRDefault="0007339C" w:rsidP="0007339C">
      <w:pPr>
        <w:numPr>
          <w:ilvl w:val="2"/>
          <w:numId w:val="39"/>
        </w:numPr>
        <w:spacing w:after="160" w:line="259" w:lineRule="auto"/>
        <w:contextualSpacing/>
        <w:jc w:val="both"/>
        <w:rPr>
          <w:rFonts w:ascii="Avenir Next LT Pro" w:eastAsia="Aptos" w:hAnsi="Avenir Next LT Pro" w:cs="Calibri"/>
          <w:kern w:val="2"/>
          <w:sz w:val="20"/>
          <w:szCs w:val="20"/>
        </w:rPr>
      </w:pPr>
      <w:r w:rsidRPr="00DD741A">
        <w:rPr>
          <w:rFonts w:ascii="Avenir Next LT Pro" w:eastAsia="Aptos" w:hAnsi="Avenir Next LT Pro" w:cs="Calibri"/>
          <w:kern w:val="2"/>
          <w:sz w:val="20"/>
          <w:szCs w:val="20"/>
        </w:rPr>
        <w:t xml:space="preserve">L'état d'avancement de la mise en œuvre des PTBA </w:t>
      </w:r>
      <w:r w:rsidR="00B5109A" w:rsidRPr="00DD741A">
        <w:rPr>
          <w:rFonts w:ascii="Avenir Next LT Pro" w:eastAsia="Aptos" w:hAnsi="Avenir Next LT Pro" w:cs="Calibri"/>
          <w:kern w:val="2"/>
          <w:sz w:val="20"/>
          <w:szCs w:val="20"/>
        </w:rPr>
        <w:t xml:space="preserve">sera </w:t>
      </w:r>
      <w:r w:rsidRPr="00DD741A">
        <w:rPr>
          <w:rFonts w:ascii="Avenir Next LT Pro" w:eastAsia="Aptos" w:hAnsi="Avenir Next LT Pro" w:cs="Calibri"/>
          <w:kern w:val="2"/>
          <w:sz w:val="20"/>
          <w:szCs w:val="20"/>
        </w:rPr>
        <w:t xml:space="preserve">examiné au moins une fois par an par le COPIL du </w:t>
      </w:r>
      <w:r w:rsidR="00EF4A1D" w:rsidRPr="00DD741A">
        <w:rPr>
          <w:rFonts w:ascii="Avenir Next LT Pro" w:eastAsia="Aptos" w:hAnsi="Avenir Next LT Pro" w:cs="Calibri"/>
          <w:kern w:val="2"/>
          <w:sz w:val="20"/>
          <w:szCs w:val="20"/>
        </w:rPr>
        <w:t>P</w:t>
      </w:r>
      <w:r w:rsidRPr="00DD741A">
        <w:rPr>
          <w:rFonts w:ascii="Avenir Next LT Pro" w:eastAsia="Aptos" w:hAnsi="Avenir Next LT Pro" w:cs="Calibri"/>
          <w:kern w:val="2"/>
          <w:sz w:val="20"/>
          <w:szCs w:val="20"/>
        </w:rPr>
        <w:t>rojet</w:t>
      </w:r>
      <w:r w:rsidR="00E21D0A" w:rsidRPr="00DD741A">
        <w:rPr>
          <w:rFonts w:ascii="Avenir Next LT Pro" w:eastAsia="Aptos" w:hAnsi="Avenir Next LT Pro" w:cs="Calibri"/>
          <w:kern w:val="2"/>
          <w:sz w:val="20"/>
          <w:szCs w:val="20"/>
        </w:rPr>
        <w:t xml:space="preserve"> en vue de s’assurer </w:t>
      </w:r>
      <w:r w:rsidRPr="00DD741A">
        <w:rPr>
          <w:rFonts w:ascii="Avenir Next LT Pro" w:eastAsia="Aptos" w:hAnsi="Avenir Next LT Pro" w:cs="Calibri"/>
          <w:kern w:val="2"/>
          <w:sz w:val="20"/>
          <w:szCs w:val="20"/>
        </w:rPr>
        <w:t>de</w:t>
      </w:r>
      <w:r w:rsidR="00E21D0A" w:rsidRPr="00DD741A">
        <w:rPr>
          <w:rFonts w:ascii="Avenir Next LT Pro" w:eastAsia="Aptos" w:hAnsi="Avenir Next LT Pro" w:cs="Calibri"/>
          <w:kern w:val="2"/>
          <w:sz w:val="20"/>
          <w:szCs w:val="20"/>
        </w:rPr>
        <w:t xml:space="preserve"> l’</w:t>
      </w:r>
      <w:r w:rsidRPr="00DD741A">
        <w:rPr>
          <w:rFonts w:ascii="Avenir Next LT Pro" w:eastAsia="Aptos" w:hAnsi="Avenir Next LT Pro" w:cs="Calibri"/>
          <w:kern w:val="2"/>
          <w:sz w:val="20"/>
          <w:szCs w:val="20"/>
        </w:rPr>
        <w:t xml:space="preserve">état d’avancement du </w:t>
      </w:r>
      <w:r w:rsidR="00E21D0A" w:rsidRPr="00DD741A">
        <w:rPr>
          <w:rFonts w:ascii="Avenir Next LT Pro" w:eastAsia="Aptos" w:hAnsi="Avenir Next LT Pro" w:cs="Calibri"/>
          <w:kern w:val="2"/>
          <w:sz w:val="20"/>
          <w:szCs w:val="20"/>
        </w:rPr>
        <w:t>P</w:t>
      </w:r>
      <w:r w:rsidRPr="00DD741A">
        <w:rPr>
          <w:rFonts w:ascii="Avenir Next LT Pro" w:eastAsia="Aptos" w:hAnsi="Avenir Next LT Pro" w:cs="Calibri"/>
          <w:kern w:val="2"/>
          <w:sz w:val="20"/>
          <w:szCs w:val="20"/>
        </w:rPr>
        <w:t>rojet ;</w:t>
      </w:r>
    </w:p>
    <w:p w14:paraId="2EDE1C19" w14:textId="77777777" w:rsidR="0007339C" w:rsidRPr="00D767CB" w:rsidRDefault="0007339C" w:rsidP="0007339C">
      <w:pPr>
        <w:pStyle w:val="Default"/>
        <w:spacing w:after="60"/>
        <w:jc w:val="both"/>
        <w:rPr>
          <w:rFonts w:ascii="Avenir Next LT Pro" w:hAnsi="Avenir Next LT Pro"/>
          <w:i/>
          <w:iCs/>
          <w:sz w:val="20"/>
          <w:szCs w:val="20"/>
          <w:u w:val="single"/>
        </w:rPr>
      </w:pPr>
      <w:r w:rsidRPr="00D767CB">
        <w:rPr>
          <w:rFonts w:ascii="Avenir Next LT Pro" w:hAnsi="Avenir Next LT Pro"/>
          <w:i/>
          <w:iCs/>
          <w:sz w:val="20"/>
          <w:szCs w:val="20"/>
          <w:u w:val="single"/>
        </w:rPr>
        <w:t xml:space="preserve">Procès-verbal </w:t>
      </w:r>
    </w:p>
    <w:p w14:paraId="19E8B111" w14:textId="7D778E53" w:rsidR="0007339C" w:rsidRPr="00D767CB" w:rsidRDefault="0007339C" w:rsidP="0007339C">
      <w:pPr>
        <w:spacing w:after="120"/>
        <w:jc w:val="both"/>
        <w:rPr>
          <w:rFonts w:ascii="Avenir Next LT Pro" w:hAnsi="Avenir Next LT Pro"/>
          <w:sz w:val="20"/>
          <w:szCs w:val="20"/>
        </w:rPr>
      </w:pPr>
      <w:r w:rsidRPr="00D767CB">
        <w:rPr>
          <w:rFonts w:ascii="Avenir Next LT Pro" w:hAnsi="Avenir Next LT Pro"/>
          <w:sz w:val="20"/>
          <w:szCs w:val="20"/>
        </w:rPr>
        <w:t xml:space="preserve">Pour un suivi efficace des recommandations et délibérations du COPIL, un procès-verbal </w:t>
      </w:r>
      <w:r w:rsidR="00BB6884">
        <w:rPr>
          <w:rFonts w:ascii="Avenir Next LT Pro" w:hAnsi="Avenir Next LT Pro"/>
          <w:sz w:val="20"/>
          <w:szCs w:val="20"/>
        </w:rPr>
        <w:t>sera</w:t>
      </w:r>
      <w:r w:rsidRPr="00D767CB">
        <w:rPr>
          <w:rFonts w:ascii="Avenir Next LT Pro" w:hAnsi="Avenir Next LT Pro"/>
          <w:sz w:val="20"/>
          <w:szCs w:val="20"/>
        </w:rPr>
        <w:t xml:space="preserve"> partagé avec les membres du COPIL dans un délai de </w:t>
      </w:r>
      <w:r w:rsidRPr="00D767CB">
        <w:rPr>
          <w:rFonts w:ascii="Avenir Next LT Pro" w:hAnsi="Avenir Next LT Pro"/>
          <w:b/>
          <w:bCs/>
          <w:sz w:val="20"/>
          <w:szCs w:val="20"/>
        </w:rPr>
        <w:t>5 jours ouvrables</w:t>
      </w:r>
      <w:r w:rsidRPr="00D767CB">
        <w:rPr>
          <w:rFonts w:ascii="Avenir Next LT Pro" w:hAnsi="Avenir Next LT Pro"/>
          <w:sz w:val="20"/>
          <w:szCs w:val="20"/>
        </w:rPr>
        <w:t xml:space="preserve"> (une semaine calendaire) après la tenue de la réunion du COPIL. Ledit procès-verbal consigne</w:t>
      </w:r>
      <w:r w:rsidR="00BB6884">
        <w:rPr>
          <w:rFonts w:ascii="Avenir Next LT Pro" w:hAnsi="Avenir Next LT Pro"/>
          <w:sz w:val="20"/>
          <w:szCs w:val="20"/>
        </w:rPr>
        <w:t>ra</w:t>
      </w:r>
      <w:r w:rsidRPr="00D767CB">
        <w:rPr>
          <w:rFonts w:ascii="Avenir Next LT Pro" w:hAnsi="Avenir Next LT Pro"/>
          <w:sz w:val="20"/>
          <w:szCs w:val="20"/>
        </w:rPr>
        <w:t xml:space="preserve"> l’ensemble des orientations et recommandations émises avec des moyens de vérification, les délais escomptés pour y répondre et identifie</w:t>
      </w:r>
      <w:r w:rsidR="00BB6884">
        <w:rPr>
          <w:rFonts w:ascii="Avenir Next LT Pro" w:hAnsi="Avenir Next LT Pro"/>
          <w:sz w:val="20"/>
          <w:szCs w:val="20"/>
        </w:rPr>
        <w:t>ra</w:t>
      </w:r>
      <w:r w:rsidRPr="00D767CB">
        <w:rPr>
          <w:rFonts w:ascii="Avenir Next LT Pro" w:hAnsi="Avenir Next LT Pro"/>
          <w:sz w:val="20"/>
          <w:szCs w:val="20"/>
        </w:rPr>
        <w:t xml:space="preserve"> les structures et organisations à qui elles ont été adressées. Les membres du COPIL pourront faire part de leurs observations afin de finaliser le procès-verbal sous 5 jours ouvrables après réception.</w:t>
      </w:r>
    </w:p>
    <w:p w14:paraId="0EDDA5AE" w14:textId="69BB9EC0" w:rsidR="0007339C" w:rsidRPr="00D767CB" w:rsidRDefault="0007339C" w:rsidP="0007339C">
      <w:pPr>
        <w:spacing w:after="120"/>
        <w:jc w:val="both"/>
        <w:rPr>
          <w:rFonts w:ascii="Avenir Next LT Pro" w:hAnsi="Avenir Next LT Pro"/>
          <w:sz w:val="20"/>
          <w:szCs w:val="20"/>
        </w:rPr>
      </w:pPr>
      <w:r w:rsidRPr="00D767CB">
        <w:rPr>
          <w:rFonts w:ascii="Avenir Next LT Pro" w:hAnsi="Avenir Next LT Pro"/>
          <w:sz w:val="20"/>
          <w:szCs w:val="20"/>
        </w:rPr>
        <w:t xml:space="preserve">Le Procès-verbal final, signé par le président du Comité de pilotage, </w:t>
      </w:r>
      <w:r w:rsidR="00762739">
        <w:rPr>
          <w:rFonts w:ascii="Avenir Next LT Pro" w:hAnsi="Avenir Next LT Pro"/>
          <w:sz w:val="20"/>
          <w:szCs w:val="20"/>
        </w:rPr>
        <w:t>sera</w:t>
      </w:r>
      <w:r w:rsidRPr="00D767CB">
        <w:rPr>
          <w:rFonts w:ascii="Avenir Next LT Pro" w:hAnsi="Avenir Next LT Pro"/>
          <w:sz w:val="20"/>
          <w:szCs w:val="20"/>
        </w:rPr>
        <w:t xml:space="preserve"> transmis au Secrétariat général du M</w:t>
      </w:r>
      <w:r w:rsidR="00762739">
        <w:rPr>
          <w:rFonts w:ascii="Avenir Next LT Pro" w:hAnsi="Avenir Next LT Pro"/>
          <w:sz w:val="20"/>
          <w:szCs w:val="20"/>
        </w:rPr>
        <w:t>EDD</w:t>
      </w:r>
      <w:r w:rsidRPr="00D767CB">
        <w:rPr>
          <w:rFonts w:ascii="Avenir Next LT Pro" w:hAnsi="Avenir Next LT Pro"/>
          <w:sz w:val="20"/>
          <w:szCs w:val="20"/>
        </w:rPr>
        <w:t>, au FONAREDD et au CAFI ainsi qu’à tous ses membres dans un délai maximum de quinze jours ouvrables suivant la date de clôture du Comité de pilotage concerné.</w:t>
      </w:r>
    </w:p>
    <w:p w14:paraId="6829C925" w14:textId="1B42C7F6" w:rsidR="0007339C" w:rsidRDefault="007B7A47" w:rsidP="0007339C">
      <w:pPr>
        <w:spacing w:after="120"/>
        <w:jc w:val="both"/>
        <w:rPr>
          <w:rFonts w:ascii="Avenir Next LT Pro" w:hAnsi="Avenir Next LT Pro"/>
          <w:b/>
          <w:bCs/>
          <w:sz w:val="20"/>
          <w:szCs w:val="20"/>
          <w:u w:val="single"/>
        </w:rPr>
      </w:pPr>
      <w:r w:rsidRPr="007B7A47">
        <w:rPr>
          <w:rFonts w:ascii="Avenir Next LT Pro" w:hAnsi="Avenir Next LT Pro"/>
          <w:b/>
          <w:bCs/>
          <w:sz w:val="20"/>
          <w:szCs w:val="20"/>
          <w:u w:val="single"/>
        </w:rPr>
        <w:t xml:space="preserve">Le Comité </w:t>
      </w:r>
      <w:r>
        <w:rPr>
          <w:rFonts w:ascii="Avenir Next LT Pro" w:hAnsi="Avenir Next LT Pro"/>
          <w:b/>
          <w:bCs/>
          <w:sz w:val="20"/>
          <w:szCs w:val="20"/>
          <w:u w:val="single"/>
        </w:rPr>
        <w:t xml:space="preserve">Technique </w:t>
      </w:r>
      <w:r w:rsidRPr="007B7A47">
        <w:rPr>
          <w:rFonts w:ascii="Avenir Next LT Pro" w:hAnsi="Avenir Next LT Pro"/>
          <w:b/>
          <w:bCs/>
          <w:sz w:val="20"/>
          <w:szCs w:val="20"/>
          <w:u w:val="single"/>
        </w:rPr>
        <w:t>(C</w:t>
      </w:r>
      <w:r w:rsidR="00F955E9">
        <w:rPr>
          <w:rFonts w:ascii="Avenir Next LT Pro" w:hAnsi="Avenir Next LT Pro"/>
          <w:b/>
          <w:bCs/>
          <w:sz w:val="20"/>
          <w:szCs w:val="20"/>
          <w:u w:val="single"/>
        </w:rPr>
        <w:t>O</w:t>
      </w:r>
      <w:r w:rsidR="00925D25">
        <w:rPr>
          <w:rFonts w:ascii="Avenir Next LT Pro" w:hAnsi="Avenir Next LT Pro"/>
          <w:b/>
          <w:bCs/>
          <w:sz w:val="20"/>
          <w:szCs w:val="20"/>
          <w:u w:val="single"/>
        </w:rPr>
        <w:t>T</w:t>
      </w:r>
      <w:r w:rsidR="00F955E9">
        <w:rPr>
          <w:rFonts w:ascii="Avenir Next LT Pro" w:hAnsi="Avenir Next LT Pro"/>
          <w:b/>
          <w:bCs/>
          <w:sz w:val="20"/>
          <w:szCs w:val="20"/>
          <w:u w:val="single"/>
        </w:rPr>
        <w:t>EC</w:t>
      </w:r>
      <w:r w:rsidR="00796BC4">
        <w:rPr>
          <w:rFonts w:ascii="Avenir Next LT Pro" w:hAnsi="Avenir Next LT Pro"/>
          <w:b/>
          <w:bCs/>
          <w:sz w:val="20"/>
          <w:szCs w:val="20"/>
          <w:u w:val="single"/>
        </w:rPr>
        <w:t>H</w:t>
      </w:r>
      <w:r w:rsidRPr="007B7A47">
        <w:rPr>
          <w:rFonts w:ascii="Avenir Next LT Pro" w:hAnsi="Avenir Next LT Pro"/>
          <w:b/>
          <w:bCs/>
          <w:sz w:val="20"/>
          <w:szCs w:val="20"/>
          <w:u w:val="single"/>
        </w:rPr>
        <w:t>)</w:t>
      </w:r>
    </w:p>
    <w:p w14:paraId="12144DDA" w14:textId="1956DA13" w:rsidR="00AD5F88" w:rsidRPr="001B4288" w:rsidRDefault="001B4288" w:rsidP="0007339C">
      <w:pPr>
        <w:spacing w:after="120"/>
        <w:jc w:val="both"/>
        <w:rPr>
          <w:rFonts w:ascii="Avenir Next LT Pro" w:hAnsi="Avenir Next LT Pro"/>
          <w:i/>
          <w:iCs/>
          <w:sz w:val="20"/>
          <w:szCs w:val="20"/>
        </w:rPr>
      </w:pPr>
      <w:r w:rsidRPr="001B4288">
        <w:rPr>
          <w:rFonts w:ascii="Avenir Next LT Pro" w:hAnsi="Avenir Next LT Pro"/>
          <w:i/>
          <w:iCs/>
          <w:sz w:val="20"/>
          <w:szCs w:val="20"/>
        </w:rPr>
        <w:t>Composition</w:t>
      </w:r>
      <w:r w:rsidR="00662159">
        <w:rPr>
          <w:rFonts w:ascii="Avenir Next LT Pro" w:hAnsi="Avenir Next LT Pro"/>
          <w:i/>
          <w:iCs/>
          <w:sz w:val="20"/>
          <w:szCs w:val="20"/>
        </w:rPr>
        <w:t xml:space="preserve"> et fonctionnement</w:t>
      </w:r>
    </w:p>
    <w:p w14:paraId="35E4C107" w14:textId="6C754B25" w:rsidR="00EA774A" w:rsidRDefault="00796BC4" w:rsidP="00D610F0">
      <w:pPr>
        <w:spacing w:after="120"/>
        <w:jc w:val="both"/>
        <w:rPr>
          <w:rFonts w:ascii="Avenir Next LT Pro" w:hAnsi="Avenir Next LT Pro"/>
          <w:sz w:val="20"/>
          <w:szCs w:val="20"/>
        </w:rPr>
      </w:pPr>
      <w:r w:rsidRPr="00796BC4">
        <w:rPr>
          <w:rFonts w:ascii="Avenir Next LT Pro" w:hAnsi="Avenir Next LT Pro"/>
          <w:sz w:val="20"/>
          <w:szCs w:val="20"/>
        </w:rPr>
        <w:t>Un Comit</w:t>
      </w:r>
      <w:r>
        <w:rPr>
          <w:rFonts w:ascii="Avenir Next LT Pro" w:hAnsi="Avenir Next LT Pro"/>
          <w:sz w:val="20"/>
          <w:szCs w:val="20"/>
        </w:rPr>
        <w:t>é</w:t>
      </w:r>
      <w:r w:rsidRPr="00796BC4">
        <w:rPr>
          <w:rFonts w:ascii="Avenir Next LT Pro" w:hAnsi="Avenir Next LT Pro"/>
          <w:sz w:val="20"/>
          <w:szCs w:val="20"/>
        </w:rPr>
        <w:t xml:space="preserve"> </w:t>
      </w:r>
      <w:r>
        <w:rPr>
          <w:rFonts w:ascii="Avenir Next LT Pro" w:hAnsi="Avenir Next LT Pro"/>
          <w:sz w:val="20"/>
          <w:szCs w:val="20"/>
        </w:rPr>
        <w:t>T</w:t>
      </w:r>
      <w:r w:rsidRPr="00796BC4">
        <w:rPr>
          <w:rFonts w:ascii="Avenir Next LT Pro" w:hAnsi="Avenir Next LT Pro"/>
          <w:sz w:val="20"/>
          <w:szCs w:val="20"/>
        </w:rPr>
        <w:t>echnique</w:t>
      </w:r>
      <w:r>
        <w:rPr>
          <w:rFonts w:ascii="Avenir Next LT Pro" w:hAnsi="Avenir Next LT Pro"/>
          <w:sz w:val="20"/>
          <w:szCs w:val="20"/>
        </w:rPr>
        <w:t xml:space="preserve"> du Projet sera établi avec pour </w:t>
      </w:r>
      <w:r w:rsidR="000717AF">
        <w:rPr>
          <w:rFonts w:ascii="Avenir Next LT Pro" w:hAnsi="Avenir Next LT Pro"/>
          <w:sz w:val="20"/>
          <w:szCs w:val="20"/>
        </w:rPr>
        <w:t>objectif principal</w:t>
      </w:r>
      <w:r>
        <w:rPr>
          <w:rFonts w:ascii="Avenir Next LT Pro" w:hAnsi="Avenir Next LT Pro"/>
          <w:sz w:val="20"/>
          <w:szCs w:val="20"/>
        </w:rPr>
        <w:t xml:space="preserve"> </w:t>
      </w:r>
      <w:r w:rsidR="0016601A">
        <w:rPr>
          <w:rFonts w:ascii="Avenir Next LT Pro" w:hAnsi="Avenir Next LT Pro"/>
          <w:sz w:val="20"/>
          <w:szCs w:val="20"/>
        </w:rPr>
        <w:t xml:space="preserve">d’assurer un rôle consultatif, et d’orientation sur le plan </w:t>
      </w:r>
      <w:r w:rsidR="00C8251E">
        <w:rPr>
          <w:rFonts w:ascii="Avenir Next LT Pro" w:hAnsi="Avenir Next LT Pro"/>
          <w:sz w:val="20"/>
          <w:szCs w:val="20"/>
        </w:rPr>
        <w:t xml:space="preserve">technique </w:t>
      </w:r>
      <w:r w:rsidR="00F25097">
        <w:rPr>
          <w:rFonts w:ascii="Avenir Next LT Pro" w:hAnsi="Avenir Next LT Pro"/>
          <w:sz w:val="20"/>
          <w:szCs w:val="20"/>
        </w:rPr>
        <w:t xml:space="preserve">et </w:t>
      </w:r>
      <w:r w:rsidR="0016601A">
        <w:rPr>
          <w:rFonts w:ascii="Avenir Next LT Pro" w:hAnsi="Avenir Next LT Pro"/>
          <w:sz w:val="20"/>
          <w:szCs w:val="20"/>
        </w:rPr>
        <w:t>notamment en matière de</w:t>
      </w:r>
      <w:r w:rsidR="00137E4D">
        <w:rPr>
          <w:rFonts w:ascii="Avenir Next LT Pro" w:hAnsi="Avenir Next LT Pro"/>
          <w:sz w:val="20"/>
          <w:szCs w:val="20"/>
        </w:rPr>
        <w:t xml:space="preserve"> </w:t>
      </w:r>
      <w:r w:rsidR="00F62E2A">
        <w:rPr>
          <w:rFonts w:ascii="Avenir Next LT Pro" w:hAnsi="Avenir Next LT Pro"/>
          <w:sz w:val="20"/>
          <w:szCs w:val="20"/>
        </w:rPr>
        <w:t xml:space="preserve">coordination de </w:t>
      </w:r>
      <w:r w:rsidR="00137E4D">
        <w:rPr>
          <w:rFonts w:ascii="Avenir Next LT Pro" w:hAnsi="Avenir Next LT Pro"/>
          <w:sz w:val="20"/>
          <w:szCs w:val="20"/>
        </w:rPr>
        <w:t xml:space="preserve">la mise en œuvre </w:t>
      </w:r>
      <w:r w:rsidR="00D948C7">
        <w:rPr>
          <w:rFonts w:ascii="Avenir Next LT Pro" w:hAnsi="Avenir Next LT Pro"/>
          <w:sz w:val="20"/>
          <w:szCs w:val="20"/>
        </w:rPr>
        <w:t>effective des activités du Projet</w:t>
      </w:r>
      <w:r w:rsidR="00140B94">
        <w:rPr>
          <w:rFonts w:ascii="Avenir Next LT Pro" w:hAnsi="Avenir Next LT Pro"/>
          <w:sz w:val="20"/>
          <w:szCs w:val="20"/>
        </w:rPr>
        <w:t xml:space="preserve"> </w:t>
      </w:r>
      <w:r w:rsidR="00F62E2A">
        <w:rPr>
          <w:rFonts w:ascii="Avenir Next LT Pro" w:hAnsi="Avenir Next LT Pro"/>
          <w:sz w:val="20"/>
          <w:szCs w:val="20"/>
        </w:rPr>
        <w:t xml:space="preserve">par les agences gouvernementales </w:t>
      </w:r>
      <w:r w:rsidR="00140B94">
        <w:rPr>
          <w:rFonts w:ascii="Avenir Next LT Pro" w:hAnsi="Avenir Next LT Pro"/>
          <w:sz w:val="20"/>
          <w:szCs w:val="20"/>
        </w:rPr>
        <w:t xml:space="preserve">en appui </w:t>
      </w:r>
      <w:r w:rsidR="00140B94" w:rsidRPr="00140B94">
        <w:rPr>
          <w:rFonts w:ascii="Avenir Next LT Pro" w:hAnsi="Avenir Next LT Pro"/>
          <w:sz w:val="20"/>
          <w:szCs w:val="20"/>
        </w:rPr>
        <w:t xml:space="preserve">à </w:t>
      </w:r>
      <w:r w:rsidR="00140B94">
        <w:rPr>
          <w:rFonts w:ascii="Avenir Next LT Pro" w:hAnsi="Avenir Next LT Pro"/>
          <w:sz w:val="20"/>
          <w:szCs w:val="20"/>
        </w:rPr>
        <w:t>l’Unité de Gestion du Projet (UGP).</w:t>
      </w:r>
      <w:r w:rsidR="009B7C07">
        <w:rPr>
          <w:rFonts w:ascii="Avenir Next LT Pro" w:hAnsi="Avenir Next LT Pro"/>
          <w:sz w:val="20"/>
          <w:szCs w:val="20"/>
        </w:rPr>
        <w:t xml:space="preserve"> Le COTECH sera </w:t>
      </w:r>
      <w:r w:rsidR="00C92BBF">
        <w:rPr>
          <w:rFonts w:ascii="Avenir Next LT Pro" w:hAnsi="Avenir Next LT Pro"/>
          <w:sz w:val="20"/>
          <w:szCs w:val="20"/>
        </w:rPr>
        <w:t>co-présidé par le MEDD</w:t>
      </w:r>
      <w:r w:rsidR="00A86EF4">
        <w:rPr>
          <w:rFonts w:ascii="Avenir Next LT Pro" w:hAnsi="Avenir Next LT Pro"/>
          <w:sz w:val="20"/>
          <w:szCs w:val="20"/>
        </w:rPr>
        <w:t xml:space="preserve">, le </w:t>
      </w:r>
      <w:proofErr w:type="spellStart"/>
      <w:r w:rsidR="00A86EF4">
        <w:rPr>
          <w:rFonts w:ascii="Avenir Next LT Pro" w:hAnsi="Avenir Next LT Pro"/>
          <w:sz w:val="20"/>
          <w:szCs w:val="20"/>
        </w:rPr>
        <w:t>MinFi</w:t>
      </w:r>
      <w:r w:rsidR="00C1756A">
        <w:rPr>
          <w:rFonts w:ascii="Avenir Next LT Pro" w:hAnsi="Avenir Next LT Pro"/>
          <w:sz w:val="20"/>
          <w:szCs w:val="20"/>
        </w:rPr>
        <w:t>n</w:t>
      </w:r>
      <w:proofErr w:type="spellEnd"/>
      <w:r w:rsidR="00A86EF4">
        <w:rPr>
          <w:rFonts w:ascii="Avenir Next LT Pro" w:hAnsi="Avenir Next LT Pro"/>
          <w:sz w:val="20"/>
          <w:szCs w:val="20"/>
        </w:rPr>
        <w:t xml:space="preserve"> et le PNU</w:t>
      </w:r>
      <w:r w:rsidR="00C218E0">
        <w:rPr>
          <w:rFonts w:ascii="Avenir Next LT Pro" w:hAnsi="Avenir Next LT Pro"/>
          <w:sz w:val="20"/>
          <w:szCs w:val="20"/>
        </w:rPr>
        <w:t xml:space="preserve">D </w:t>
      </w:r>
      <w:r w:rsidR="00A86EF4">
        <w:rPr>
          <w:rFonts w:ascii="Avenir Next LT Pro" w:hAnsi="Avenir Next LT Pro"/>
          <w:sz w:val="20"/>
          <w:szCs w:val="20"/>
        </w:rPr>
        <w:t>et composé</w:t>
      </w:r>
      <w:r w:rsidR="00D610F0">
        <w:rPr>
          <w:rFonts w:ascii="Avenir Next LT Pro" w:hAnsi="Avenir Next LT Pro"/>
          <w:sz w:val="20"/>
          <w:szCs w:val="20"/>
        </w:rPr>
        <w:t xml:space="preserve"> </w:t>
      </w:r>
      <w:r w:rsidR="00C218E0">
        <w:rPr>
          <w:rFonts w:ascii="Avenir Next LT Pro" w:hAnsi="Avenir Next LT Pro"/>
          <w:sz w:val="20"/>
          <w:szCs w:val="20"/>
        </w:rPr>
        <w:t>de l’Unité de Gestion du Projet (</w:t>
      </w:r>
      <w:r w:rsidR="005E0B54">
        <w:rPr>
          <w:rFonts w:ascii="Avenir Next LT Pro" w:hAnsi="Avenir Next LT Pro"/>
          <w:sz w:val="20"/>
          <w:szCs w:val="20"/>
        </w:rPr>
        <w:t>Coordonnateur de Projet</w:t>
      </w:r>
      <w:r w:rsidR="00C218E0">
        <w:rPr>
          <w:rFonts w:ascii="Avenir Next LT Pro" w:hAnsi="Avenir Next LT Pro"/>
          <w:sz w:val="20"/>
          <w:szCs w:val="20"/>
        </w:rPr>
        <w:t xml:space="preserve">), </w:t>
      </w:r>
      <w:r w:rsidR="00D610F0">
        <w:rPr>
          <w:rFonts w:ascii="Avenir Next LT Pro" w:hAnsi="Avenir Next LT Pro"/>
          <w:sz w:val="20"/>
          <w:szCs w:val="20"/>
        </w:rPr>
        <w:t xml:space="preserve">des </w:t>
      </w:r>
      <w:r w:rsidR="00D610F0" w:rsidRPr="00D610F0">
        <w:rPr>
          <w:rFonts w:ascii="Avenir Next LT Pro" w:hAnsi="Avenir Next LT Pro"/>
          <w:sz w:val="20"/>
          <w:szCs w:val="20"/>
        </w:rPr>
        <w:t>représentants des entités gouvernementales</w:t>
      </w:r>
      <w:r w:rsidR="00D610F0">
        <w:rPr>
          <w:rFonts w:ascii="Avenir Next LT Pro" w:hAnsi="Avenir Next LT Pro"/>
          <w:sz w:val="20"/>
          <w:szCs w:val="20"/>
        </w:rPr>
        <w:t xml:space="preserve"> </w:t>
      </w:r>
      <w:r w:rsidR="00DD54B9">
        <w:rPr>
          <w:rFonts w:ascii="Avenir Next LT Pro" w:hAnsi="Avenir Next LT Pro"/>
          <w:sz w:val="20"/>
          <w:szCs w:val="20"/>
        </w:rPr>
        <w:t xml:space="preserve">directement </w:t>
      </w:r>
      <w:r w:rsidR="007B48E8">
        <w:rPr>
          <w:rFonts w:ascii="Avenir Next LT Pro" w:hAnsi="Avenir Next LT Pro"/>
          <w:sz w:val="20"/>
          <w:szCs w:val="20"/>
        </w:rPr>
        <w:t xml:space="preserve">responsables de la mise en œuvre </w:t>
      </w:r>
      <w:r w:rsidR="00DD54B9">
        <w:rPr>
          <w:rFonts w:ascii="Avenir Next LT Pro" w:hAnsi="Avenir Next LT Pro"/>
          <w:sz w:val="20"/>
          <w:szCs w:val="20"/>
        </w:rPr>
        <w:t xml:space="preserve">des activités du </w:t>
      </w:r>
      <w:r w:rsidR="00807BA1">
        <w:rPr>
          <w:rFonts w:ascii="Avenir Next LT Pro" w:hAnsi="Avenir Next LT Pro"/>
          <w:sz w:val="20"/>
          <w:szCs w:val="20"/>
        </w:rPr>
        <w:t>Projet</w:t>
      </w:r>
      <w:r w:rsidR="008A2C4A">
        <w:rPr>
          <w:rFonts w:ascii="Avenir Next LT Pro" w:hAnsi="Avenir Next LT Pro"/>
          <w:sz w:val="20"/>
          <w:szCs w:val="20"/>
        </w:rPr>
        <w:t xml:space="preserve"> (</w:t>
      </w:r>
      <w:r w:rsidR="000C37A6">
        <w:rPr>
          <w:rFonts w:ascii="Avenir Next LT Pro" w:hAnsi="Avenir Next LT Pro"/>
          <w:sz w:val="20"/>
          <w:szCs w:val="20"/>
        </w:rPr>
        <w:t>Direction du Développement Durable, ARMCA, CT-CDN, CTR</w:t>
      </w:r>
      <w:r w:rsidR="00AF72AD">
        <w:rPr>
          <w:rFonts w:ascii="Avenir Next LT Pro" w:hAnsi="Avenir Next LT Pro"/>
          <w:sz w:val="20"/>
          <w:szCs w:val="20"/>
        </w:rPr>
        <w:t xml:space="preserve">, </w:t>
      </w:r>
      <w:r w:rsidR="000C37A6">
        <w:rPr>
          <w:rFonts w:ascii="Avenir Next LT Pro" w:hAnsi="Avenir Next LT Pro"/>
          <w:sz w:val="20"/>
          <w:szCs w:val="20"/>
        </w:rPr>
        <w:t>etc.)</w:t>
      </w:r>
      <w:r w:rsidR="00D610F0" w:rsidRPr="00D610F0">
        <w:rPr>
          <w:rFonts w:ascii="Avenir Next LT Pro" w:hAnsi="Avenir Next LT Pro"/>
          <w:sz w:val="20"/>
          <w:szCs w:val="20"/>
        </w:rPr>
        <w:t>.</w:t>
      </w:r>
      <w:r w:rsidR="00807BA1">
        <w:rPr>
          <w:rFonts w:ascii="Avenir Next LT Pro" w:hAnsi="Avenir Next LT Pro"/>
          <w:sz w:val="20"/>
          <w:szCs w:val="20"/>
        </w:rPr>
        <w:t xml:space="preserve"> En cas de nécessité, </w:t>
      </w:r>
      <w:r w:rsidR="00C61AA4">
        <w:rPr>
          <w:rFonts w:ascii="Avenir Next LT Pro" w:hAnsi="Avenir Next LT Pro"/>
          <w:sz w:val="20"/>
          <w:szCs w:val="20"/>
        </w:rPr>
        <w:t xml:space="preserve">des </w:t>
      </w:r>
      <w:r w:rsidR="00D610F0" w:rsidRPr="00D610F0">
        <w:rPr>
          <w:rFonts w:ascii="Avenir Next LT Pro" w:hAnsi="Avenir Next LT Pro"/>
          <w:sz w:val="20"/>
          <w:szCs w:val="20"/>
        </w:rPr>
        <w:t>représentants des partenaires au développement, des ONG, des institutions de recherche et de la société civile</w:t>
      </w:r>
      <w:r w:rsidR="001113DF">
        <w:rPr>
          <w:rFonts w:ascii="Avenir Next LT Pro" w:hAnsi="Avenir Next LT Pro"/>
          <w:sz w:val="20"/>
          <w:szCs w:val="20"/>
        </w:rPr>
        <w:t xml:space="preserve"> y compris d</w:t>
      </w:r>
      <w:r w:rsidR="00257C70">
        <w:rPr>
          <w:rFonts w:ascii="Avenir Next LT Pro" w:hAnsi="Avenir Next LT Pro"/>
          <w:sz w:val="20"/>
          <w:szCs w:val="20"/>
        </w:rPr>
        <w:t xml:space="preserve">es représentants de peuples autochtones </w:t>
      </w:r>
      <w:r w:rsidR="00D610F0" w:rsidRPr="00D610F0">
        <w:rPr>
          <w:rFonts w:ascii="Avenir Next LT Pro" w:hAnsi="Avenir Next LT Pro"/>
          <w:sz w:val="20"/>
          <w:szCs w:val="20"/>
        </w:rPr>
        <w:t xml:space="preserve">seront invités à assister </w:t>
      </w:r>
      <w:r w:rsidR="00C61AA4">
        <w:rPr>
          <w:rFonts w:ascii="Avenir Next LT Pro" w:hAnsi="Avenir Next LT Pro"/>
          <w:sz w:val="20"/>
          <w:szCs w:val="20"/>
        </w:rPr>
        <w:t>aux</w:t>
      </w:r>
      <w:r w:rsidR="00D610F0" w:rsidRPr="00D610F0">
        <w:rPr>
          <w:rFonts w:ascii="Avenir Next LT Pro" w:hAnsi="Avenir Next LT Pro"/>
          <w:sz w:val="20"/>
          <w:szCs w:val="20"/>
        </w:rPr>
        <w:t xml:space="preserve"> réunions </w:t>
      </w:r>
      <w:r w:rsidR="00C61AA4">
        <w:rPr>
          <w:rFonts w:ascii="Avenir Next LT Pro" w:hAnsi="Avenir Next LT Pro"/>
          <w:sz w:val="20"/>
          <w:szCs w:val="20"/>
        </w:rPr>
        <w:t xml:space="preserve">du COTECH </w:t>
      </w:r>
      <w:r w:rsidR="00D610F0" w:rsidRPr="00D610F0">
        <w:rPr>
          <w:rFonts w:ascii="Avenir Next LT Pro" w:hAnsi="Avenir Next LT Pro"/>
          <w:sz w:val="20"/>
          <w:szCs w:val="20"/>
        </w:rPr>
        <w:t xml:space="preserve">pour consolider la solidité technique du </w:t>
      </w:r>
      <w:r w:rsidR="00EA774A">
        <w:rPr>
          <w:rFonts w:ascii="Avenir Next LT Pro" w:hAnsi="Avenir Next LT Pro"/>
          <w:sz w:val="20"/>
          <w:szCs w:val="20"/>
        </w:rPr>
        <w:t>P</w:t>
      </w:r>
      <w:r w:rsidR="00D610F0" w:rsidRPr="00D610F0">
        <w:rPr>
          <w:rFonts w:ascii="Avenir Next LT Pro" w:hAnsi="Avenir Next LT Pro"/>
          <w:sz w:val="20"/>
          <w:szCs w:val="20"/>
        </w:rPr>
        <w:t xml:space="preserve">rojet. </w:t>
      </w:r>
    </w:p>
    <w:p w14:paraId="3F2ADA34" w14:textId="3F21F264" w:rsidR="00796BC4" w:rsidRPr="00796BC4" w:rsidRDefault="00D610F0" w:rsidP="00D610F0">
      <w:pPr>
        <w:spacing w:after="120"/>
        <w:jc w:val="both"/>
        <w:rPr>
          <w:rFonts w:ascii="Avenir Next LT Pro" w:hAnsi="Avenir Next LT Pro"/>
          <w:sz w:val="20"/>
          <w:szCs w:val="20"/>
        </w:rPr>
      </w:pPr>
      <w:r w:rsidRPr="00D610F0">
        <w:rPr>
          <w:rFonts w:ascii="Avenir Next LT Pro" w:hAnsi="Avenir Next LT Pro"/>
          <w:sz w:val="20"/>
          <w:szCs w:val="20"/>
        </w:rPr>
        <w:lastRenderedPageBreak/>
        <w:t>Le C</w:t>
      </w:r>
      <w:r w:rsidR="00662159">
        <w:rPr>
          <w:rFonts w:ascii="Avenir Next LT Pro" w:hAnsi="Avenir Next LT Pro"/>
          <w:sz w:val="20"/>
          <w:szCs w:val="20"/>
        </w:rPr>
        <w:t>OTECH</w:t>
      </w:r>
      <w:r w:rsidRPr="00D610F0">
        <w:rPr>
          <w:rFonts w:ascii="Avenir Next LT Pro" w:hAnsi="Avenir Next LT Pro"/>
          <w:sz w:val="20"/>
          <w:szCs w:val="20"/>
        </w:rPr>
        <w:t xml:space="preserve"> se réuni</w:t>
      </w:r>
      <w:r w:rsidR="00662159">
        <w:rPr>
          <w:rFonts w:ascii="Avenir Next LT Pro" w:hAnsi="Avenir Next LT Pro"/>
          <w:sz w:val="20"/>
          <w:szCs w:val="20"/>
        </w:rPr>
        <w:t>ra</w:t>
      </w:r>
      <w:r w:rsidRPr="00D610F0">
        <w:rPr>
          <w:rFonts w:ascii="Avenir Next LT Pro" w:hAnsi="Avenir Next LT Pro"/>
          <w:sz w:val="20"/>
          <w:szCs w:val="20"/>
        </w:rPr>
        <w:t xml:space="preserve"> </w:t>
      </w:r>
      <w:r w:rsidR="00C05F79">
        <w:rPr>
          <w:rFonts w:ascii="Avenir Next LT Pro" w:hAnsi="Avenir Next LT Pro"/>
          <w:sz w:val="20"/>
          <w:szCs w:val="20"/>
        </w:rPr>
        <w:t xml:space="preserve">au moins </w:t>
      </w:r>
      <w:r w:rsidRPr="00D610F0">
        <w:rPr>
          <w:rFonts w:ascii="Avenir Next LT Pro" w:hAnsi="Avenir Next LT Pro"/>
          <w:sz w:val="20"/>
          <w:szCs w:val="20"/>
        </w:rPr>
        <w:t xml:space="preserve">4 fois par an, </w:t>
      </w:r>
      <w:r w:rsidR="00C05F79">
        <w:rPr>
          <w:rFonts w:ascii="Avenir Next LT Pro" w:hAnsi="Avenir Next LT Pro"/>
          <w:sz w:val="20"/>
          <w:szCs w:val="20"/>
        </w:rPr>
        <w:t xml:space="preserve">soit </w:t>
      </w:r>
      <w:r w:rsidRPr="00D610F0">
        <w:rPr>
          <w:rFonts w:ascii="Avenir Next LT Pro" w:hAnsi="Avenir Next LT Pro"/>
          <w:sz w:val="20"/>
          <w:szCs w:val="20"/>
        </w:rPr>
        <w:t>une fois par trimestre.</w:t>
      </w:r>
      <w:r w:rsidR="00D948C7">
        <w:rPr>
          <w:rFonts w:ascii="Avenir Next LT Pro" w:hAnsi="Avenir Next LT Pro"/>
          <w:sz w:val="20"/>
          <w:szCs w:val="20"/>
        </w:rPr>
        <w:t xml:space="preserve"> </w:t>
      </w:r>
      <w:r w:rsidR="005B5717">
        <w:rPr>
          <w:rFonts w:ascii="Avenir Next LT Pro" w:hAnsi="Avenir Next LT Pro"/>
          <w:sz w:val="20"/>
          <w:szCs w:val="20"/>
        </w:rPr>
        <w:t xml:space="preserve">Les décisions du COTECH se feront </w:t>
      </w:r>
      <w:r w:rsidR="00467758">
        <w:rPr>
          <w:rFonts w:ascii="Avenir Next LT Pro" w:hAnsi="Avenir Next LT Pro"/>
          <w:sz w:val="20"/>
          <w:szCs w:val="20"/>
        </w:rPr>
        <w:t xml:space="preserve">de préférence </w:t>
      </w:r>
      <w:r w:rsidR="005B5717">
        <w:rPr>
          <w:rFonts w:ascii="Avenir Next LT Pro" w:hAnsi="Avenir Next LT Pro"/>
          <w:sz w:val="20"/>
          <w:szCs w:val="20"/>
        </w:rPr>
        <w:t xml:space="preserve">par consensus </w:t>
      </w:r>
      <w:r w:rsidR="00467758">
        <w:rPr>
          <w:rFonts w:ascii="Avenir Next LT Pro" w:hAnsi="Avenir Next LT Pro"/>
          <w:sz w:val="20"/>
          <w:szCs w:val="20"/>
        </w:rPr>
        <w:t xml:space="preserve">ou </w:t>
      </w:r>
      <w:r w:rsidR="002748FB" w:rsidRPr="002748FB">
        <w:rPr>
          <w:rFonts w:ascii="Avenir Next LT Pro" w:hAnsi="Avenir Next LT Pro"/>
          <w:sz w:val="20"/>
          <w:szCs w:val="20"/>
        </w:rPr>
        <w:t xml:space="preserve">à </w:t>
      </w:r>
      <w:r w:rsidR="002748FB">
        <w:rPr>
          <w:rFonts w:ascii="Avenir Next LT Pro" w:hAnsi="Avenir Next LT Pro"/>
          <w:sz w:val="20"/>
          <w:szCs w:val="20"/>
        </w:rPr>
        <w:t>la majorité de ses membres.</w:t>
      </w:r>
      <w:r w:rsidR="00467758">
        <w:rPr>
          <w:rFonts w:ascii="Avenir Next LT Pro" w:hAnsi="Avenir Next LT Pro"/>
          <w:sz w:val="20"/>
          <w:szCs w:val="20"/>
        </w:rPr>
        <w:t xml:space="preserve"> </w:t>
      </w:r>
      <w:r w:rsidR="00514204">
        <w:rPr>
          <w:rFonts w:ascii="Avenir Next LT Pro" w:hAnsi="Avenir Next LT Pro"/>
          <w:sz w:val="20"/>
          <w:szCs w:val="20"/>
        </w:rPr>
        <w:t xml:space="preserve">L’avis du PNUD sera requis pour toutes décisions du COTECH. </w:t>
      </w:r>
      <w:r w:rsidR="002748FB">
        <w:rPr>
          <w:rFonts w:ascii="Avenir Next LT Pro" w:hAnsi="Avenir Next LT Pro"/>
          <w:sz w:val="20"/>
          <w:szCs w:val="20"/>
        </w:rPr>
        <w:t xml:space="preserve"> </w:t>
      </w:r>
      <w:r w:rsidR="00796BC4">
        <w:rPr>
          <w:rFonts w:ascii="Avenir Next LT Pro" w:hAnsi="Avenir Next LT Pro"/>
          <w:sz w:val="20"/>
          <w:szCs w:val="20"/>
        </w:rPr>
        <w:t xml:space="preserve"> </w:t>
      </w:r>
      <w:r w:rsidR="00796BC4" w:rsidRPr="00796BC4">
        <w:rPr>
          <w:rFonts w:ascii="Avenir Next LT Pro" w:hAnsi="Avenir Next LT Pro"/>
          <w:sz w:val="20"/>
          <w:szCs w:val="20"/>
        </w:rPr>
        <w:t xml:space="preserve"> </w:t>
      </w:r>
    </w:p>
    <w:p w14:paraId="7ACDBE12" w14:textId="23A3C17C" w:rsidR="00A92547" w:rsidRPr="00A92547" w:rsidRDefault="00A92547" w:rsidP="00A92547">
      <w:pPr>
        <w:spacing w:after="120"/>
        <w:jc w:val="both"/>
        <w:rPr>
          <w:rFonts w:ascii="Avenir Next LT Pro" w:hAnsi="Avenir Next LT Pro"/>
          <w:i/>
          <w:iCs/>
          <w:sz w:val="20"/>
          <w:szCs w:val="20"/>
          <w:u w:val="single"/>
          <w:lang w:val="fr-CH"/>
        </w:rPr>
      </w:pPr>
      <w:r w:rsidRPr="00A92547">
        <w:rPr>
          <w:rFonts w:ascii="Avenir Next LT Pro" w:hAnsi="Avenir Next LT Pro"/>
          <w:i/>
          <w:iCs/>
          <w:sz w:val="20"/>
          <w:szCs w:val="20"/>
          <w:u w:val="single"/>
          <w:lang w:val="fr-CH"/>
        </w:rPr>
        <w:t>Rôles du CO</w:t>
      </w:r>
      <w:r w:rsidR="00662159">
        <w:rPr>
          <w:rFonts w:ascii="Avenir Next LT Pro" w:hAnsi="Avenir Next LT Pro"/>
          <w:i/>
          <w:iCs/>
          <w:sz w:val="20"/>
          <w:szCs w:val="20"/>
          <w:u w:val="single"/>
          <w:lang w:val="fr-CH"/>
        </w:rPr>
        <w:t>TECH</w:t>
      </w:r>
    </w:p>
    <w:p w14:paraId="4201AD81" w14:textId="2AA53016" w:rsidR="00A92547" w:rsidRPr="00A92547" w:rsidRDefault="00A92547" w:rsidP="00A92547">
      <w:pPr>
        <w:spacing w:after="120"/>
        <w:jc w:val="both"/>
        <w:rPr>
          <w:rFonts w:ascii="Avenir Next LT Pro" w:hAnsi="Avenir Next LT Pro"/>
          <w:sz w:val="20"/>
          <w:szCs w:val="20"/>
          <w:lang w:val="fr-CH"/>
        </w:rPr>
      </w:pPr>
      <w:r w:rsidRPr="00A92547">
        <w:rPr>
          <w:rFonts w:ascii="Avenir Next LT Pro" w:hAnsi="Avenir Next LT Pro"/>
          <w:sz w:val="20"/>
          <w:szCs w:val="20"/>
          <w:lang w:val="fr-CH"/>
        </w:rPr>
        <w:t xml:space="preserve">Les rôles du </w:t>
      </w:r>
      <w:r w:rsidR="0067553A">
        <w:rPr>
          <w:rFonts w:ascii="Avenir Next LT Pro" w:hAnsi="Avenir Next LT Pro"/>
          <w:sz w:val="20"/>
          <w:szCs w:val="20"/>
          <w:lang w:val="fr-CH"/>
        </w:rPr>
        <w:t>COTECH</w:t>
      </w:r>
      <w:r w:rsidRPr="00A92547">
        <w:rPr>
          <w:rFonts w:ascii="Avenir Next LT Pro" w:hAnsi="Avenir Next LT Pro"/>
          <w:sz w:val="20"/>
          <w:szCs w:val="20"/>
          <w:lang w:val="fr-CH"/>
        </w:rPr>
        <w:t xml:space="preserve"> sont les suivants : </w:t>
      </w:r>
    </w:p>
    <w:p w14:paraId="6C6D9701" w14:textId="67E5E141" w:rsidR="00380C15" w:rsidRPr="00380C15" w:rsidRDefault="00380C15" w:rsidP="007477A9">
      <w:pPr>
        <w:numPr>
          <w:ilvl w:val="0"/>
          <w:numId w:val="38"/>
        </w:numPr>
        <w:spacing w:after="0"/>
        <w:jc w:val="both"/>
        <w:rPr>
          <w:rFonts w:ascii="Avenir Next LT Pro" w:hAnsi="Avenir Next LT Pro"/>
          <w:sz w:val="20"/>
          <w:szCs w:val="20"/>
          <w:lang w:val="fr-CH"/>
        </w:rPr>
      </w:pPr>
      <w:r>
        <w:rPr>
          <w:rFonts w:ascii="Avenir Next LT Pro" w:hAnsi="Avenir Next LT Pro"/>
          <w:sz w:val="20"/>
          <w:szCs w:val="20"/>
          <w:lang w:val="fr-CH"/>
        </w:rPr>
        <w:t>D</w:t>
      </w:r>
      <w:r w:rsidRPr="00380C15">
        <w:rPr>
          <w:rFonts w:ascii="Avenir Next LT Pro" w:hAnsi="Avenir Next LT Pro"/>
          <w:sz w:val="20"/>
          <w:szCs w:val="20"/>
          <w:lang w:val="fr-CH"/>
        </w:rPr>
        <w:t>onner des orientations techniques à l’UGP ;</w:t>
      </w:r>
    </w:p>
    <w:p w14:paraId="4346F3EE" w14:textId="5B4BA88E" w:rsidR="00380C15" w:rsidRPr="00380C15" w:rsidRDefault="00380C15" w:rsidP="007477A9">
      <w:pPr>
        <w:numPr>
          <w:ilvl w:val="0"/>
          <w:numId w:val="38"/>
        </w:numPr>
        <w:spacing w:after="0"/>
        <w:jc w:val="both"/>
        <w:rPr>
          <w:rFonts w:ascii="Avenir Next LT Pro" w:hAnsi="Avenir Next LT Pro"/>
          <w:sz w:val="20"/>
          <w:szCs w:val="20"/>
          <w:lang w:val="fr-CH"/>
        </w:rPr>
      </w:pPr>
      <w:r>
        <w:rPr>
          <w:rFonts w:ascii="Avenir Next LT Pro" w:hAnsi="Avenir Next LT Pro"/>
          <w:sz w:val="20"/>
          <w:szCs w:val="20"/>
          <w:lang w:val="fr-CH"/>
        </w:rPr>
        <w:t>V</w:t>
      </w:r>
      <w:r w:rsidRPr="00380C15">
        <w:rPr>
          <w:rFonts w:ascii="Avenir Next LT Pro" w:hAnsi="Avenir Next LT Pro"/>
          <w:sz w:val="20"/>
          <w:szCs w:val="20"/>
          <w:lang w:val="fr-CH"/>
        </w:rPr>
        <w:t xml:space="preserve">alider le plan d’actions trimestriel </w:t>
      </w:r>
      <w:r w:rsidR="00704DB0">
        <w:rPr>
          <w:rFonts w:ascii="Avenir Next LT Pro" w:hAnsi="Avenir Next LT Pro"/>
          <w:sz w:val="20"/>
          <w:szCs w:val="20"/>
          <w:lang w:val="fr-CH"/>
        </w:rPr>
        <w:t>du Projet</w:t>
      </w:r>
      <w:r w:rsidRPr="00380C15">
        <w:rPr>
          <w:rFonts w:ascii="Avenir Next LT Pro" w:hAnsi="Avenir Next LT Pro"/>
          <w:sz w:val="20"/>
          <w:szCs w:val="20"/>
          <w:lang w:val="fr-CH"/>
        </w:rPr>
        <w:t>;</w:t>
      </w:r>
    </w:p>
    <w:p w14:paraId="1408C0F6" w14:textId="47B3AD99" w:rsidR="00380C15" w:rsidRPr="00704DB0" w:rsidRDefault="00704DB0" w:rsidP="007477A9">
      <w:pPr>
        <w:numPr>
          <w:ilvl w:val="0"/>
          <w:numId w:val="38"/>
        </w:numPr>
        <w:spacing w:after="0"/>
        <w:jc w:val="both"/>
        <w:rPr>
          <w:rFonts w:ascii="Avenir Next LT Pro" w:hAnsi="Avenir Next LT Pro"/>
          <w:sz w:val="20"/>
          <w:szCs w:val="20"/>
        </w:rPr>
      </w:pPr>
      <w:r w:rsidRPr="00704DB0">
        <w:rPr>
          <w:rFonts w:ascii="Avenir Next LT Pro" w:hAnsi="Avenir Next LT Pro"/>
          <w:sz w:val="20"/>
          <w:szCs w:val="20"/>
        </w:rPr>
        <w:t>Préparer</w:t>
      </w:r>
      <w:r w:rsidR="00380C15" w:rsidRPr="00704DB0">
        <w:rPr>
          <w:rFonts w:ascii="Avenir Next LT Pro" w:hAnsi="Avenir Next LT Pro"/>
          <w:sz w:val="20"/>
          <w:szCs w:val="20"/>
        </w:rPr>
        <w:t xml:space="preserve"> les </w:t>
      </w:r>
      <w:r w:rsidRPr="00704DB0">
        <w:rPr>
          <w:rFonts w:ascii="Avenir Next LT Pro" w:hAnsi="Avenir Next LT Pro"/>
          <w:sz w:val="20"/>
          <w:szCs w:val="20"/>
        </w:rPr>
        <w:t>réunions</w:t>
      </w:r>
      <w:r w:rsidR="00380C15" w:rsidRPr="00704DB0">
        <w:rPr>
          <w:rFonts w:ascii="Avenir Next LT Pro" w:hAnsi="Avenir Next LT Pro"/>
          <w:sz w:val="20"/>
          <w:szCs w:val="20"/>
        </w:rPr>
        <w:t xml:space="preserve"> du </w:t>
      </w:r>
      <w:r w:rsidRPr="00704DB0">
        <w:rPr>
          <w:rFonts w:ascii="Avenir Next LT Pro" w:hAnsi="Avenir Next LT Pro"/>
          <w:sz w:val="20"/>
          <w:szCs w:val="20"/>
        </w:rPr>
        <w:t>C</w:t>
      </w:r>
      <w:r>
        <w:rPr>
          <w:rFonts w:ascii="Avenir Next LT Pro" w:hAnsi="Avenir Next LT Pro"/>
          <w:sz w:val="20"/>
          <w:szCs w:val="20"/>
        </w:rPr>
        <w:t>OPI</w:t>
      </w:r>
      <w:r w:rsidR="00323FF7">
        <w:rPr>
          <w:rFonts w:ascii="Avenir Next LT Pro" w:hAnsi="Avenir Next LT Pro"/>
          <w:sz w:val="20"/>
          <w:szCs w:val="20"/>
        </w:rPr>
        <w:t xml:space="preserve">L </w:t>
      </w:r>
      <w:r w:rsidR="00380C15" w:rsidRPr="00704DB0">
        <w:rPr>
          <w:rFonts w:ascii="Avenir Next LT Pro" w:hAnsi="Avenir Next LT Pro"/>
          <w:sz w:val="20"/>
          <w:szCs w:val="20"/>
        </w:rPr>
        <w:t xml:space="preserve">et d’en assurer le </w:t>
      </w:r>
      <w:r w:rsidR="00323FF7" w:rsidRPr="00704DB0">
        <w:rPr>
          <w:rFonts w:ascii="Avenir Next LT Pro" w:hAnsi="Avenir Next LT Pro"/>
          <w:sz w:val="20"/>
          <w:szCs w:val="20"/>
        </w:rPr>
        <w:t>Secrétariat</w:t>
      </w:r>
      <w:r w:rsidR="00380C15" w:rsidRPr="00704DB0">
        <w:rPr>
          <w:rFonts w:ascii="Avenir Next LT Pro" w:hAnsi="Avenir Next LT Pro"/>
          <w:sz w:val="20"/>
          <w:szCs w:val="20"/>
        </w:rPr>
        <w:t xml:space="preserve"> </w:t>
      </w:r>
      <w:r w:rsidR="00323FF7">
        <w:rPr>
          <w:rFonts w:ascii="Avenir Next LT Pro" w:hAnsi="Avenir Next LT Pro"/>
          <w:sz w:val="20"/>
          <w:szCs w:val="20"/>
        </w:rPr>
        <w:t xml:space="preserve">à travers </w:t>
      </w:r>
      <w:r w:rsidR="00380C15" w:rsidRPr="00704DB0">
        <w:rPr>
          <w:rFonts w:ascii="Avenir Next LT Pro" w:hAnsi="Avenir Next LT Pro"/>
          <w:sz w:val="20"/>
          <w:szCs w:val="20"/>
        </w:rPr>
        <w:t>l’UGP ;</w:t>
      </w:r>
    </w:p>
    <w:p w14:paraId="2EDF6C7E" w14:textId="086FB0A7" w:rsidR="00380C15" w:rsidRPr="00380C15" w:rsidRDefault="00323FF7" w:rsidP="007477A9">
      <w:pPr>
        <w:numPr>
          <w:ilvl w:val="0"/>
          <w:numId w:val="38"/>
        </w:numPr>
        <w:spacing w:after="0"/>
        <w:jc w:val="both"/>
        <w:rPr>
          <w:rFonts w:ascii="Avenir Next LT Pro" w:hAnsi="Avenir Next LT Pro"/>
          <w:sz w:val="20"/>
          <w:szCs w:val="20"/>
          <w:lang w:val="fr-CH"/>
        </w:rPr>
      </w:pPr>
      <w:r>
        <w:rPr>
          <w:rFonts w:ascii="Avenir Next LT Pro" w:hAnsi="Avenir Next LT Pro"/>
          <w:sz w:val="20"/>
          <w:szCs w:val="20"/>
          <w:lang w:val="fr-CH"/>
        </w:rPr>
        <w:t>E</w:t>
      </w:r>
      <w:r w:rsidR="00380C15" w:rsidRPr="00380C15">
        <w:rPr>
          <w:rFonts w:ascii="Avenir Next LT Pro" w:hAnsi="Avenir Next LT Pro"/>
          <w:sz w:val="20"/>
          <w:szCs w:val="20"/>
          <w:lang w:val="fr-CH"/>
        </w:rPr>
        <w:t>xaminer les rapports d’</w:t>
      </w:r>
      <w:r w:rsidRPr="00380C15">
        <w:rPr>
          <w:rFonts w:ascii="Avenir Next LT Pro" w:hAnsi="Avenir Next LT Pro"/>
          <w:sz w:val="20"/>
          <w:szCs w:val="20"/>
          <w:lang w:val="fr-CH"/>
        </w:rPr>
        <w:t>activités</w:t>
      </w:r>
      <w:r w:rsidR="00380C15" w:rsidRPr="00380C15">
        <w:rPr>
          <w:rFonts w:ascii="Avenir Next LT Pro" w:hAnsi="Avenir Next LT Pro"/>
          <w:sz w:val="20"/>
          <w:szCs w:val="20"/>
          <w:lang w:val="fr-CH"/>
        </w:rPr>
        <w:t xml:space="preserve"> et formuler des recommandations le cas </w:t>
      </w:r>
      <w:r w:rsidRPr="00380C15">
        <w:rPr>
          <w:rFonts w:ascii="Avenir Next LT Pro" w:hAnsi="Avenir Next LT Pro"/>
          <w:sz w:val="20"/>
          <w:szCs w:val="20"/>
          <w:lang w:val="fr-CH"/>
        </w:rPr>
        <w:t>échéant</w:t>
      </w:r>
      <w:r w:rsidR="00380C15" w:rsidRPr="00380C15">
        <w:rPr>
          <w:rFonts w:ascii="Avenir Next LT Pro" w:hAnsi="Avenir Next LT Pro"/>
          <w:sz w:val="20"/>
          <w:szCs w:val="20"/>
          <w:lang w:val="fr-CH"/>
        </w:rPr>
        <w:t xml:space="preserve"> ;</w:t>
      </w:r>
    </w:p>
    <w:p w14:paraId="1F913C08" w14:textId="494508B9" w:rsidR="00380C15" w:rsidRDefault="00323FF7" w:rsidP="007D39CD">
      <w:pPr>
        <w:numPr>
          <w:ilvl w:val="0"/>
          <w:numId w:val="38"/>
        </w:numPr>
        <w:spacing w:after="240"/>
        <w:jc w:val="both"/>
        <w:rPr>
          <w:rFonts w:ascii="Avenir Next LT Pro" w:hAnsi="Avenir Next LT Pro"/>
          <w:sz w:val="20"/>
          <w:szCs w:val="20"/>
          <w:lang w:val="fr-CH"/>
        </w:rPr>
      </w:pPr>
      <w:r>
        <w:rPr>
          <w:rFonts w:ascii="Avenir Next LT Pro" w:hAnsi="Avenir Next LT Pro"/>
          <w:sz w:val="20"/>
          <w:szCs w:val="20"/>
          <w:lang w:val="fr-CH"/>
        </w:rPr>
        <w:t>A</w:t>
      </w:r>
      <w:r w:rsidR="00380C15" w:rsidRPr="00380C15">
        <w:rPr>
          <w:rFonts w:ascii="Avenir Next LT Pro" w:hAnsi="Avenir Next LT Pro"/>
          <w:sz w:val="20"/>
          <w:szCs w:val="20"/>
          <w:lang w:val="fr-CH"/>
        </w:rPr>
        <w:t xml:space="preserve">ider dans la planification des </w:t>
      </w:r>
      <w:r w:rsidRPr="00380C15">
        <w:rPr>
          <w:rFonts w:ascii="Avenir Next LT Pro" w:hAnsi="Avenir Next LT Pro"/>
          <w:sz w:val="20"/>
          <w:szCs w:val="20"/>
          <w:lang w:val="fr-CH"/>
        </w:rPr>
        <w:t>activités</w:t>
      </w:r>
      <w:r w:rsidR="00380C15" w:rsidRPr="00380C15">
        <w:rPr>
          <w:rFonts w:ascii="Avenir Next LT Pro" w:hAnsi="Avenir Next LT Pro"/>
          <w:sz w:val="20"/>
          <w:szCs w:val="20"/>
          <w:lang w:val="fr-CH"/>
        </w:rPr>
        <w:t xml:space="preserve"> et les questions </w:t>
      </w:r>
      <w:r w:rsidRPr="00380C15">
        <w:rPr>
          <w:rFonts w:ascii="Avenir Next LT Pro" w:hAnsi="Avenir Next LT Pro"/>
          <w:sz w:val="20"/>
          <w:szCs w:val="20"/>
          <w:lang w:val="fr-CH"/>
        </w:rPr>
        <w:t>liées</w:t>
      </w:r>
      <w:r w:rsidR="00380C15" w:rsidRPr="00380C15">
        <w:rPr>
          <w:rFonts w:ascii="Avenir Next LT Pro" w:hAnsi="Avenir Next LT Pro"/>
          <w:sz w:val="20"/>
          <w:szCs w:val="20"/>
          <w:lang w:val="fr-CH"/>
        </w:rPr>
        <w:t xml:space="preserve"> au suivi</w:t>
      </w:r>
      <w:r>
        <w:rPr>
          <w:rFonts w:ascii="Avenir Next LT Pro" w:hAnsi="Avenir Next LT Pro"/>
          <w:sz w:val="20"/>
          <w:szCs w:val="20"/>
          <w:lang w:val="fr-CH"/>
        </w:rPr>
        <w:t>-</w:t>
      </w:r>
      <w:r w:rsidRPr="00380C15">
        <w:rPr>
          <w:rFonts w:ascii="Avenir Next LT Pro" w:hAnsi="Avenir Next LT Pro"/>
          <w:sz w:val="20"/>
          <w:szCs w:val="20"/>
          <w:lang w:val="fr-CH"/>
        </w:rPr>
        <w:t>évaluation</w:t>
      </w:r>
      <w:r w:rsidR="00DD2C29">
        <w:rPr>
          <w:rFonts w:ascii="Avenir Next LT Pro" w:hAnsi="Avenir Next LT Pro"/>
          <w:sz w:val="20"/>
          <w:szCs w:val="20"/>
          <w:lang w:val="fr-CH"/>
        </w:rPr>
        <w:t>.</w:t>
      </w:r>
    </w:p>
    <w:p w14:paraId="6FC59F9D" w14:textId="1E762DCD" w:rsidR="007D39CD" w:rsidRDefault="007D39CD" w:rsidP="007D39CD">
      <w:pPr>
        <w:spacing w:after="120"/>
        <w:jc w:val="both"/>
        <w:rPr>
          <w:rFonts w:ascii="Avenir Next LT Pro" w:hAnsi="Avenir Next LT Pro"/>
          <w:b/>
          <w:bCs/>
          <w:sz w:val="20"/>
          <w:szCs w:val="20"/>
          <w:u w:val="single"/>
        </w:rPr>
      </w:pPr>
      <w:r>
        <w:rPr>
          <w:rFonts w:ascii="Avenir Next LT Pro" w:hAnsi="Avenir Next LT Pro"/>
          <w:b/>
          <w:bCs/>
          <w:sz w:val="20"/>
          <w:szCs w:val="20"/>
          <w:u w:val="single"/>
        </w:rPr>
        <w:t xml:space="preserve">Unité de Gestion du Projet </w:t>
      </w:r>
      <w:r w:rsidRPr="007B7A47">
        <w:rPr>
          <w:rFonts w:ascii="Avenir Next LT Pro" w:hAnsi="Avenir Next LT Pro"/>
          <w:b/>
          <w:bCs/>
          <w:sz w:val="20"/>
          <w:szCs w:val="20"/>
          <w:u w:val="single"/>
        </w:rPr>
        <w:t>(</w:t>
      </w:r>
      <w:r>
        <w:rPr>
          <w:rFonts w:ascii="Avenir Next LT Pro" w:hAnsi="Avenir Next LT Pro"/>
          <w:b/>
          <w:bCs/>
          <w:sz w:val="20"/>
          <w:szCs w:val="20"/>
          <w:u w:val="single"/>
        </w:rPr>
        <w:t>UGP</w:t>
      </w:r>
      <w:r w:rsidRPr="007B7A47">
        <w:rPr>
          <w:rFonts w:ascii="Avenir Next LT Pro" w:hAnsi="Avenir Next LT Pro"/>
          <w:b/>
          <w:bCs/>
          <w:sz w:val="20"/>
          <w:szCs w:val="20"/>
          <w:u w:val="single"/>
        </w:rPr>
        <w:t>)</w:t>
      </w:r>
    </w:p>
    <w:p w14:paraId="5EA5EC0E" w14:textId="4006DFBA" w:rsidR="00DD2C29" w:rsidRPr="001B376F" w:rsidRDefault="001B376F" w:rsidP="005777CF">
      <w:pPr>
        <w:spacing w:after="240"/>
        <w:jc w:val="both"/>
        <w:rPr>
          <w:rFonts w:ascii="Avenir Next LT Pro" w:hAnsi="Avenir Next LT Pro"/>
          <w:sz w:val="20"/>
          <w:szCs w:val="20"/>
        </w:rPr>
      </w:pPr>
      <w:r w:rsidRPr="001B376F">
        <w:rPr>
          <w:rFonts w:ascii="Avenir Next LT Pro" w:hAnsi="Avenir Next LT Pro"/>
          <w:sz w:val="20"/>
          <w:szCs w:val="20"/>
        </w:rPr>
        <w:t xml:space="preserve">Une </w:t>
      </w:r>
      <w:r w:rsidR="00E750EC">
        <w:rPr>
          <w:rFonts w:ascii="Avenir Next LT Pro" w:hAnsi="Avenir Next LT Pro"/>
          <w:sz w:val="20"/>
          <w:szCs w:val="20"/>
        </w:rPr>
        <w:t xml:space="preserve">petite </w:t>
      </w:r>
      <w:r w:rsidR="00611BD6">
        <w:rPr>
          <w:rFonts w:ascii="Avenir Next LT Pro" w:hAnsi="Avenir Next LT Pro"/>
          <w:sz w:val="20"/>
          <w:szCs w:val="20"/>
        </w:rPr>
        <w:t>Unité</w:t>
      </w:r>
      <w:r w:rsidR="00E750EC">
        <w:rPr>
          <w:rFonts w:ascii="Avenir Next LT Pro" w:hAnsi="Avenir Next LT Pro"/>
          <w:sz w:val="20"/>
          <w:szCs w:val="20"/>
        </w:rPr>
        <w:t xml:space="preserve"> de Gestion du Projet </w:t>
      </w:r>
      <w:r w:rsidR="00611BD6">
        <w:rPr>
          <w:rFonts w:ascii="Avenir Next LT Pro" w:hAnsi="Avenir Next LT Pro"/>
          <w:sz w:val="20"/>
          <w:szCs w:val="20"/>
        </w:rPr>
        <w:t xml:space="preserve">sera responsable </w:t>
      </w:r>
      <w:r w:rsidR="000F342F" w:rsidRPr="000F342F">
        <w:rPr>
          <w:rFonts w:ascii="Avenir Next LT Pro" w:hAnsi="Avenir Next LT Pro"/>
          <w:sz w:val="20"/>
          <w:szCs w:val="20"/>
        </w:rPr>
        <w:t>de la gestion quotidienne du Projet</w:t>
      </w:r>
      <w:r w:rsidR="003C23C3">
        <w:rPr>
          <w:rFonts w:ascii="Avenir Next LT Pro" w:hAnsi="Avenir Next LT Pro"/>
          <w:sz w:val="20"/>
          <w:szCs w:val="20"/>
        </w:rPr>
        <w:t xml:space="preserve">, ainsi que de la </w:t>
      </w:r>
      <w:r w:rsidR="003C23C3" w:rsidRPr="003C23C3">
        <w:rPr>
          <w:rFonts w:ascii="Avenir Next LT Pro" w:hAnsi="Avenir Next LT Pro"/>
          <w:sz w:val="20"/>
          <w:szCs w:val="20"/>
        </w:rPr>
        <w:t xml:space="preserve">coordination harmonieuse des différentes interventions des partenaires du </w:t>
      </w:r>
      <w:r w:rsidR="004E49B5">
        <w:rPr>
          <w:rFonts w:ascii="Avenir Next LT Pro" w:hAnsi="Avenir Next LT Pro"/>
          <w:sz w:val="20"/>
          <w:szCs w:val="20"/>
        </w:rPr>
        <w:t>P</w:t>
      </w:r>
      <w:r w:rsidR="003C23C3" w:rsidRPr="003C23C3">
        <w:rPr>
          <w:rFonts w:ascii="Avenir Next LT Pro" w:hAnsi="Avenir Next LT Pro"/>
          <w:sz w:val="20"/>
          <w:szCs w:val="20"/>
        </w:rPr>
        <w:t>rojet.</w:t>
      </w:r>
      <w:r w:rsidR="000F342F">
        <w:rPr>
          <w:rFonts w:ascii="Avenir Next LT Pro" w:hAnsi="Avenir Next LT Pro"/>
          <w:sz w:val="20"/>
          <w:szCs w:val="20"/>
        </w:rPr>
        <w:t xml:space="preserve"> </w:t>
      </w:r>
      <w:r w:rsidR="00EE1AE6">
        <w:rPr>
          <w:rFonts w:ascii="Avenir Next LT Pro" w:hAnsi="Avenir Next LT Pro"/>
          <w:sz w:val="20"/>
          <w:szCs w:val="20"/>
        </w:rPr>
        <w:t xml:space="preserve">L’UGP sera </w:t>
      </w:r>
      <w:r w:rsidR="007B080B">
        <w:rPr>
          <w:rFonts w:ascii="Avenir Next LT Pro" w:hAnsi="Avenir Next LT Pro"/>
          <w:sz w:val="20"/>
          <w:szCs w:val="20"/>
        </w:rPr>
        <w:t xml:space="preserve">dirigée par </w:t>
      </w:r>
      <w:r w:rsidR="00EE1AE6">
        <w:rPr>
          <w:rFonts w:ascii="Avenir Next LT Pro" w:hAnsi="Avenir Next LT Pro"/>
          <w:sz w:val="20"/>
          <w:szCs w:val="20"/>
        </w:rPr>
        <w:t>un Coordonnateur de Projet</w:t>
      </w:r>
      <w:r w:rsidR="00797977">
        <w:rPr>
          <w:rFonts w:ascii="Avenir Next LT Pro" w:hAnsi="Avenir Next LT Pro"/>
          <w:sz w:val="20"/>
          <w:szCs w:val="20"/>
        </w:rPr>
        <w:t xml:space="preserve"> qui </w:t>
      </w:r>
      <w:r w:rsidR="00CA298D" w:rsidRPr="00CA298D">
        <w:rPr>
          <w:rFonts w:ascii="Avenir Next LT Pro" w:hAnsi="Avenir Next LT Pro"/>
          <w:sz w:val="20"/>
          <w:szCs w:val="20"/>
        </w:rPr>
        <w:t>sera soutenu dans ses tâches quotidiennes par une équipe d’appui stratégique et opérationnel</w:t>
      </w:r>
      <w:r w:rsidR="00797977">
        <w:rPr>
          <w:rFonts w:ascii="Avenir Next LT Pro" w:hAnsi="Avenir Next LT Pro"/>
          <w:sz w:val="20"/>
          <w:szCs w:val="20"/>
        </w:rPr>
        <w:t xml:space="preserve"> du PNUD. </w:t>
      </w:r>
      <w:r w:rsidR="009E5526" w:rsidRPr="009E5526">
        <w:rPr>
          <w:rFonts w:ascii="Avenir Next LT Pro" w:hAnsi="Avenir Next LT Pro"/>
          <w:sz w:val="20"/>
          <w:szCs w:val="20"/>
        </w:rPr>
        <w:t>L'UGP travaillera en étroite collaboration avec divers ministères et agences gouvernementales, qui ont un rôle clé à jouer dans la mise en œuvre de</w:t>
      </w:r>
      <w:r w:rsidR="009E5526">
        <w:rPr>
          <w:rFonts w:ascii="Avenir Next LT Pro" w:hAnsi="Avenir Next LT Pro"/>
          <w:sz w:val="20"/>
          <w:szCs w:val="20"/>
        </w:rPr>
        <w:t xml:space="preserve">s </w:t>
      </w:r>
      <w:r w:rsidR="009E5526" w:rsidRPr="009E5526">
        <w:rPr>
          <w:rFonts w:ascii="Avenir Next LT Pro" w:hAnsi="Avenir Next LT Pro"/>
          <w:sz w:val="20"/>
          <w:szCs w:val="20"/>
        </w:rPr>
        <w:t xml:space="preserve">activités du </w:t>
      </w:r>
      <w:r w:rsidR="009E5526">
        <w:rPr>
          <w:rFonts w:ascii="Avenir Next LT Pro" w:hAnsi="Avenir Next LT Pro"/>
          <w:sz w:val="20"/>
          <w:szCs w:val="20"/>
        </w:rPr>
        <w:t>P</w:t>
      </w:r>
      <w:r w:rsidR="009E5526" w:rsidRPr="009E5526">
        <w:rPr>
          <w:rFonts w:ascii="Avenir Next LT Pro" w:hAnsi="Avenir Next LT Pro"/>
          <w:sz w:val="20"/>
          <w:szCs w:val="20"/>
        </w:rPr>
        <w:t>rojet</w:t>
      </w:r>
      <w:r w:rsidR="005777CF">
        <w:rPr>
          <w:rFonts w:ascii="Avenir Next LT Pro" w:hAnsi="Avenir Next LT Pro"/>
          <w:sz w:val="20"/>
          <w:szCs w:val="20"/>
        </w:rPr>
        <w:t xml:space="preserve">. </w:t>
      </w:r>
      <w:r w:rsidRPr="001B376F">
        <w:rPr>
          <w:rFonts w:ascii="Avenir Next LT Pro" w:hAnsi="Avenir Next LT Pro"/>
          <w:sz w:val="20"/>
          <w:szCs w:val="20"/>
        </w:rPr>
        <w:t>Elle contribuera à l’assurance qualité quant à la planification de leurs activités, l’élaboration et l’exécution cohérente des Plans de travail, y compris le suivi et l’évaluation des interventions, l’utilisation efficace des ressources.</w:t>
      </w:r>
    </w:p>
    <w:p w14:paraId="7344BCB8" w14:textId="3EEF79CA" w:rsidR="0009509B" w:rsidRPr="00C345C4" w:rsidRDefault="00684E5E" w:rsidP="000E7FF0">
      <w:pPr>
        <w:pStyle w:val="Titre2"/>
        <w:rPr>
          <w:rFonts w:ascii="Avenir Next LT Pro" w:hAnsi="Avenir Next LT Pro"/>
        </w:rPr>
      </w:pPr>
      <w:bookmarkStart w:id="41" w:name="_Toc163230381"/>
      <w:r w:rsidRPr="00C345C4">
        <w:rPr>
          <w:rFonts w:ascii="Avenir Next LT Pro" w:hAnsi="Avenir Next LT Pro"/>
        </w:rPr>
        <w:t xml:space="preserve">Gestion </w:t>
      </w:r>
      <w:r w:rsidR="00C73245" w:rsidRPr="00C345C4">
        <w:rPr>
          <w:rFonts w:ascii="Avenir Next LT Pro" w:hAnsi="Avenir Next LT Pro"/>
        </w:rPr>
        <w:t xml:space="preserve">et exécution </w:t>
      </w:r>
      <w:r w:rsidRPr="00C345C4">
        <w:rPr>
          <w:rFonts w:ascii="Avenir Next LT Pro" w:hAnsi="Avenir Next LT Pro"/>
        </w:rPr>
        <w:t>du pro</w:t>
      </w:r>
      <w:r w:rsidR="00C73245" w:rsidRPr="00C345C4">
        <w:rPr>
          <w:rFonts w:ascii="Avenir Next LT Pro" w:hAnsi="Avenir Next LT Pro"/>
        </w:rPr>
        <w:t>jet</w:t>
      </w:r>
      <w:bookmarkEnd w:id="41"/>
    </w:p>
    <w:p w14:paraId="5C67578F" w14:textId="2DF4A9DA" w:rsidR="000A7185" w:rsidRPr="00B85501" w:rsidRDefault="005C663A" w:rsidP="001B1119">
      <w:pPr>
        <w:spacing w:after="120"/>
        <w:jc w:val="both"/>
        <w:rPr>
          <w:rFonts w:ascii="Avenir Next LT Pro" w:hAnsi="Avenir Next LT Pro"/>
          <w:color w:val="000000" w:themeColor="text1"/>
          <w:sz w:val="20"/>
          <w:szCs w:val="20"/>
          <w:lang w:eastAsia="fr-FR"/>
        </w:rPr>
      </w:pPr>
      <w:bookmarkStart w:id="42" w:name="_Hlk149658902"/>
      <w:r w:rsidRPr="00573730">
        <w:rPr>
          <w:rFonts w:ascii="Avenir Next LT Pro" w:hAnsi="Avenir Next LT Pro"/>
          <w:color w:val="000000" w:themeColor="text1"/>
          <w:sz w:val="20"/>
          <w:szCs w:val="20"/>
          <w:lang w:eastAsia="fr-FR"/>
        </w:rPr>
        <w:t xml:space="preserve">Le Projet sera mis en œuvre sur une période de 36 mois à travers la Modalité d’exécution </w:t>
      </w:r>
      <w:r w:rsidR="000A7185" w:rsidRPr="00B85501">
        <w:rPr>
          <w:rFonts w:ascii="Avenir Next LT Pro" w:hAnsi="Avenir Next LT Pro"/>
          <w:color w:val="000000" w:themeColor="text1"/>
          <w:sz w:val="20"/>
          <w:szCs w:val="20"/>
          <w:lang w:eastAsia="fr-FR"/>
        </w:rPr>
        <w:t xml:space="preserve">directe </w:t>
      </w:r>
      <w:r w:rsidR="000A7185" w:rsidRPr="00573730">
        <w:rPr>
          <w:rFonts w:ascii="Avenir Next LT Pro" w:hAnsi="Avenir Next LT Pro"/>
          <w:color w:val="000000" w:themeColor="text1"/>
          <w:sz w:val="20"/>
          <w:szCs w:val="20"/>
          <w:lang w:eastAsia="fr-FR"/>
        </w:rPr>
        <w:t xml:space="preserve">avec des parties responsables (RP) identifiées pour des activités spécifiques du Plan de Travail. A terme, l’objectif visé est d’assurer le renforcement des capacités et une meilleure appropriation nationale. Les responsabilités programmatiques et financières, bien qu’étant celles de l’Agent d’Exécution dans la mise en œuvre du Projet, gestion dans le cadre des accords signés avec le MPTF, seront partiellement déléguées à la DDD, à l’ARMCA et l’entité désignée par le ministère des Finances, qui agiront comme RP et qu’à ce titre, ces dernières rendront compte au PNUD. </w:t>
      </w:r>
      <w:r w:rsidR="001B1119" w:rsidRPr="00B85501">
        <w:rPr>
          <w:rFonts w:ascii="Avenir Next LT Pro" w:hAnsi="Avenir Next LT Pro"/>
          <w:color w:val="000000" w:themeColor="text1"/>
          <w:sz w:val="20"/>
          <w:szCs w:val="20"/>
          <w:lang w:eastAsia="fr-FR"/>
        </w:rPr>
        <w:t xml:space="preserve">Ces structures nationales partenaires de mise en œuvre désignées devront faire l’objet d’une </w:t>
      </w:r>
      <w:r w:rsidR="00107995" w:rsidRPr="00B85501">
        <w:rPr>
          <w:rFonts w:ascii="Avenir Next LT Pro" w:hAnsi="Avenir Next LT Pro"/>
          <w:color w:val="000000" w:themeColor="text1"/>
          <w:sz w:val="20"/>
          <w:szCs w:val="20"/>
          <w:lang w:eastAsia="fr-FR"/>
        </w:rPr>
        <w:t xml:space="preserve">évaluation préalable </w:t>
      </w:r>
      <w:r w:rsidR="001B1119" w:rsidRPr="00B85501">
        <w:rPr>
          <w:rFonts w:ascii="Avenir Next LT Pro" w:hAnsi="Avenir Next LT Pro"/>
          <w:color w:val="000000" w:themeColor="text1"/>
          <w:sz w:val="20"/>
          <w:szCs w:val="20"/>
          <w:lang w:eastAsia="fr-FR"/>
        </w:rPr>
        <w:t xml:space="preserve">dans le cadre de l’approche harmonisée des transferts d’espèces (HACT) avant tout démarrage des activités qui leur seront confiées et ce conformément aux dispositions en vigueur. Ils seront donc responsables vis-à-vis du PNUD des risques de </w:t>
      </w:r>
      <w:r w:rsidR="000322A3" w:rsidRPr="00B85501">
        <w:rPr>
          <w:rFonts w:ascii="Avenir Next LT Pro" w:hAnsi="Avenir Next LT Pro"/>
          <w:color w:val="000000" w:themeColor="text1"/>
          <w:sz w:val="20"/>
          <w:szCs w:val="20"/>
          <w:lang w:eastAsia="fr-FR"/>
        </w:rPr>
        <w:t>gestion fiduciaire</w:t>
      </w:r>
      <w:r w:rsidR="001B1119" w:rsidRPr="00B85501">
        <w:rPr>
          <w:rFonts w:ascii="Avenir Next LT Pro" w:hAnsi="Avenir Next LT Pro"/>
          <w:color w:val="000000" w:themeColor="text1"/>
          <w:sz w:val="20"/>
          <w:szCs w:val="20"/>
          <w:lang w:eastAsia="fr-FR"/>
        </w:rPr>
        <w:t xml:space="preserve"> liés à leur mise en œuvre. </w:t>
      </w:r>
      <w:r w:rsidR="000A7185" w:rsidRPr="00573730">
        <w:rPr>
          <w:rFonts w:ascii="Avenir Next LT Pro" w:hAnsi="Avenir Next LT Pro"/>
          <w:color w:val="000000" w:themeColor="text1"/>
          <w:sz w:val="20"/>
          <w:szCs w:val="20"/>
          <w:lang w:eastAsia="fr-FR"/>
        </w:rPr>
        <w:t>Quant au PNUD, il jouera un rôle de supervision générale des procédures, d’assurance qualité à tous les niveaux (techniques et financiers) et de rapportage, à travers une équipe légère qui sera mobilisée pour fournir l’appui nécessaire à la coordination et la mise en œuvre cohérente des activités du Projet.</w:t>
      </w:r>
    </w:p>
    <w:bookmarkEnd w:id="42"/>
    <w:p w14:paraId="63408588" w14:textId="3925816D" w:rsidR="005C663A" w:rsidRPr="005C663A" w:rsidRDefault="005C663A" w:rsidP="005C663A">
      <w:pPr>
        <w:spacing w:after="120"/>
        <w:jc w:val="both"/>
        <w:rPr>
          <w:rFonts w:ascii="Avenir Next LT Pro" w:hAnsi="Avenir Next LT Pro"/>
          <w:color w:val="000000" w:themeColor="text1"/>
          <w:sz w:val="20"/>
          <w:szCs w:val="20"/>
          <w:lang w:eastAsia="fr-FR"/>
        </w:rPr>
      </w:pPr>
      <w:r w:rsidRPr="00573730">
        <w:rPr>
          <w:rFonts w:ascii="Avenir Next LT Pro" w:hAnsi="Avenir Next LT Pro"/>
          <w:color w:val="000000" w:themeColor="text1"/>
          <w:sz w:val="20"/>
          <w:szCs w:val="20"/>
          <w:lang w:eastAsia="fr-FR"/>
        </w:rPr>
        <w:t>Il fournira également tout le soutien nécessaire en matière d’orientation stratégique aux structures et organisations partenaires opérationnelles du Projet. Une approche intégrée sera adoptée pour l’élaboration de Plans opérationnels conjoints en vue de consolider les synergies et les complémentarités d’actions entre les partenaires et à assurer un suivi concerté et coordonné avec l’ensemble des parties prenantes des progrès vers l’atteinte des résultats. Par ailleurs, le PNUD fournira si besoin un appui au Projet dans le cadre d’un recrutement de personnel et de consultants, de la passation des marchés, notamment pour les marchés pour lesquels le PNUD a une valeur ajoutée certaine et il existe des accords à Long Terme avec des fournisseurs, et d’un paiement direct pour le compte d’un partenaire de mise en œuvre.</w:t>
      </w:r>
      <w:r w:rsidRPr="005C663A">
        <w:rPr>
          <w:rFonts w:ascii="Avenir Next LT Pro" w:hAnsi="Avenir Next LT Pro"/>
          <w:color w:val="000000" w:themeColor="text1"/>
          <w:sz w:val="20"/>
          <w:szCs w:val="20"/>
          <w:lang w:eastAsia="fr-FR"/>
        </w:rPr>
        <w:t xml:space="preserve"> </w:t>
      </w:r>
    </w:p>
    <w:p w14:paraId="3D4FAA84" w14:textId="77777777" w:rsidR="005C663A" w:rsidRPr="005C663A" w:rsidRDefault="005C663A" w:rsidP="005C663A">
      <w:pPr>
        <w:spacing w:after="120"/>
        <w:jc w:val="both"/>
        <w:rPr>
          <w:rFonts w:ascii="Avenir Next LT Pro" w:hAnsi="Avenir Next LT Pro"/>
          <w:color w:val="000000" w:themeColor="text1"/>
          <w:sz w:val="20"/>
          <w:szCs w:val="20"/>
          <w:lang w:eastAsia="fr-FR"/>
        </w:rPr>
      </w:pPr>
      <w:r w:rsidRPr="005C663A">
        <w:rPr>
          <w:rFonts w:ascii="Avenir Next LT Pro" w:hAnsi="Avenir Next LT Pro"/>
          <w:color w:val="000000" w:themeColor="text1"/>
          <w:sz w:val="20"/>
          <w:szCs w:val="20"/>
          <w:lang w:eastAsia="fr-FR"/>
        </w:rPr>
        <w:t xml:space="preserve">Le montage de gestion se présentera ainsi comme suit : </w:t>
      </w:r>
    </w:p>
    <w:p w14:paraId="344D6A50" w14:textId="6EE3058A" w:rsidR="005C663A" w:rsidRPr="005C663A" w:rsidRDefault="005C663A" w:rsidP="005C663A">
      <w:pPr>
        <w:numPr>
          <w:ilvl w:val="0"/>
          <w:numId w:val="40"/>
        </w:numPr>
        <w:spacing w:after="120"/>
        <w:jc w:val="both"/>
        <w:rPr>
          <w:rFonts w:ascii="Avenir Next LT Pro" w:hAnsi="Avenir Next LT Pro"/>
          <w:color w:val="000000" w:themeColor="text1"/>
          <w:sz w:val="20"/>
          <w:szCs w:val="20"/>
          <w:lang w:eastAsia="fr-FR"/>
        </w:rPr>
      </w:pPr>
      <w:r w:rsidRPr="005C663A">
        <w:rPr>
          <w:rFonts w:ascii="Avenir Next LT Pro" w:hAnsi="Avenir Next LT Pro"/>
          <w:color w:val="000000" w:themeColor="text1"/>
          <w:sz w:val="20"/>
          <w:szCs w:val="20"/>
          <w:lang w:eastAsia="fr-FR"/>
        </w:rPr>
        <w:t xml:space="preserve">Le PNUD travaillera étroitement avec la Direction de Développement Durable (DDD) et la nouvelle Autorité de Régulation du Marché du Carbone (ARMCA) </w:t>
      </w:r>
      <w:r w:rsidR="006F0FCC">
        <w:rPr>
          <w:rFonts w:ascii="Avenir Next LT Pro" w:hAnsi="Avenir Next LT Pro"/>
          <w:color w:val="000000" w:themeColor="text1"/>
          <w:sz w:val="20"/>
          <w:szCs w:val="20"/>
          <w:lang w:eastAsia="fr-FR"/>
        </w:rPr>
        <w:t xml:space="preserve">du </w:t>
      </w:r>
      <w:bookmarkStart w:id="43" w:name="_Hlk170116295"/>
      <w:r w:rsidR="00C23DEB">
        <w:rPr>
          <w:rFonts w:ascii="Avenir Next LT Pro" w:hAnsi="Avenir Next LT Pro"/>
          <w:color w:val="000000" w:themeColor="text1"/>
          <w:sz w:val="20"/>
          <w:szCs w:val="20"/>
          <w:lang w:eastAsia="fr-FR"/>
        </w:rPr>
        <w:t>côté</w:t>
      </w:r>
      <w:r w:rsidR="006F0FCC">
        <w:rPr>
          <w:rFonts w:ascii="Avenir Next LT Pro" w:hAnsi="Avenir Next LT Pro"/>
          <w:color w:val="000000" w:themeColor="text1"/>
          <w:sz w:val="20"/>
          <w:szCs w:val="20"/>
          <w:lang w:eastAsia="fr-FR"/>
        </w:rPr>
        <w:t xml:space="preserve"> </w:t>
      </w:r>
      <w:bookmarkEnd w:id="43"/>
      <w:r w:rsidR="006F0FCC">
        <w:rPr>
          <w:rFonts w:ascii="Avenir Next LT Pro" w:hAnsi="Avenir Next LT Pro"/>
          <w:color w:val="000000" w:themeColor="text1"/>
          <w:sz w:val="20"/>
          <w:szCs w:val="20"/>
          <w:lang w:eastAsia="fr-FR"/>
        </w:rPr>
        <w:t>du MEDD</w:t>
      </w:r>
      <w:r w:rsidR="00C23DEB">
        <w:rPr>
          <w:rFonts w:ascii="Avenir Next LT Pro" w:hAnsi="Avenir Next LT Pro"/>
          <w:color w:val="000000" w:themeColor="text1"/>
          <w:sz w:val="20"/>
          <w:szCs w:val="20"/>
          <w:lang w:eastAsia="fr-FR"/>
        </w:rPr>
        <w:t xml:space="preserve">, ainsi qu’une entité désignée du </w:t>
      </w:r>
      <w:r w:rsidR="00C23DEB" w:rsidRPr="00C23DEB">
        <w:rPr>
          <w:rFonts w:ascii="Avenir Next LT Pro" w:hAnsi="Avenir Next LT Pro"/>
          <w:color w:val="000000" w:themeColor="text1"/>
          <w:sz w:val="20"/>
          <w:szCs w:val="20"/>
          <w:lang w:eastAsia="fr-FR"/>
        </w:rPr>
        <w:t xml:space="preserve">côté </w:t>
      </w:r>
      <w:r w:rsidR="00C23DEB">
        <w:rPr>
          <w:rFonts w:ascii="Avenir Next LT Pro" w:hAnsi="Avenir Next LT Pro"/>
          <w:color w:val="000000" w:themeColor="text1"/>
          <w:sz w:val="20"/>
          <w:szCs w:val="20"/>
          <w:lang w:eastAsia="fr-FR"/>
        </w:rPr>
        <w:t>du Min</w:t>
      </w:r>
      <w:r w:rsidR="00CF51D6">
        <w:rPr>
          <w:rFonts w:ascii="Avenir Next LT Pro" w:hAnsi="Avenir Next LT Pro"/>
          <w:color w:val="000000" w:themeColor="text1"/>
          <w:sz w:val="20"/>
          <w:szCs w:val="20"/>
          <w:lang w:eastAsia="fr-FR"/>
        </w:rPr>
        <w:t xml:space="preserve">istère des </w:t>
      </w:r>
      <w:r w:rsidR="00C23DEB">
        <w:rPr>
          <w:rFonts w:ascii="Avenir Next LT Pro" w:hAnsi="Avenir Next LT Pro"/>
          <w:color w:val="000000" w:themeColor="text1"/>
          <w:sz w:val="20"/>
          <w:szCs w:val="20"/>
          <w:lang w:eastAsia="fr-FR"/>
        </w:rPr>
        <w:t>Fi</w:t>
      </w:r>
      <w:r w:rsidR="00CF51D6">
        <w:rPr>
          <w:rFonts w:ascii="Avenir Next LT Pro" w:hAnsi="Avenir Next LT Pro"/>
          <w:color w:val="000000" w:themeColor="text1"/>
          <w:sz w:val="20"/>
          <w:szCs w:val="20"/>
          <w:lang w:eastAsia="fr-FR"/>
        </w:rPr>
        <w:t>nances</w:t>
      </w:r>
      <w:r w:rsidR="00C23DEB">
        <w:rPr>
          <w:rFonts w:ascii="Avenir Next LT Pro" w:hAnsi="Avenir Next LT Pro"/>
          <w:color w:val="000000" w:themeColor="text1"/>
          <w:sz w:val="20"/>
          <w:szCs w:val="20"/>
          <w:lang w:eastAsia="fr-FR"/>
        </w:rPr>
        <w:t xml:space="preserve"> </w:t>
      </w:r>
      <w:r w:rsidRPr="005C663A">
        <w:rPr>
          <w:rFonts w:ascii="Avenir Next LT Pro" w:hAnsi="Avenir Next LT Pro"/>
          <w:color w:val="000000" w:themeColor="text1"/>
          <w:sz w:val="20"/>
          <w:szCs w:val="20"/>
          <w:lang w:eastAsia="fr-FR"/>
        </w:rPr>
        <w:t xml:space="preserve">qui agiront comme parties </w:t>
      </w:r>
      <w:r w:rsidRPr="005C663A">
        <w:rPr>
          <w:rFonts w:ascii="Avenir Next LT Pro" w:hAnsi="Avenir Next LT Pro"/>
          <w:color w:val="000000" w:themeColor="text1"/>
          <w:sz w:val="20"/>
          <w:szCs w:val="20"/>
          <w:lang w:eastAsia="fr-FR"/>
        </w:rPr>
        <w:lastRenderedPageBreak/>
        <w:t>responsables, partenaires de mise en œuvre du Projet. Le PNUD contractera ces entités une fois l’évaluation usuelle et mandataire réalisée dans le cadre du HACT. En fonction des risques de mégestion qu’elles présentent, la modalité adéquate de collaboration sera définie. Et le PNUD développera en parallèle un plan de renforcement des capacités techniques et/ou fiduciaire dans le cas ou des points d’attention particulier sont soulevés lors de ces évaluations. Il convient de noter que le Projet s’appuiera sur le cadre de collaboration exist</w:t>
      </w:r>
      <w:r w:rsidR="00C23DEB">
        <w:rPr>
          <w:rFonts w:ascii="Avenir Next LT Pro" w:hAnsi="Avenir Next LT Pro"/>
          <w:color w:val="000000" w:themeColor="text1"/>
          <w:sz w:val="20"/>
          <w:szCs w:val="20"/>
          <w:lang w:eastAsia="fr-FR"/>
        </w:rPr>
        <w:t>a</w:t>
      </w:r>
      <w:r w:rsidRPr="005C663A">
        <w:rPr>
          <w:rFonts w:ascii="Avenir Next LT Pro" w:hAnsi="Avenir Next LT Pro"/>
          <w:color w:val="000000" w:themeColor="text1"/>
          <w:sz w:val="20"/>
          <w:szCs w:val="20"/>
          <w:lang w:eastAsia="fr-FR"/>
        </w:rPr>
        <w:t xml:space="preserve">nt notamment avec la DDD avec lequel le PNUD a déjà signé un accord de partenariat pour exécuter un projet. En ce qui concerne l’ARMCA, les services d’appui </w:t>
      </w:r>
      <w:r w:rsidR="001B381D">
        <w:rPr>
          <w:rFonts w:ascii="Avenir Next LT Pro" w:hAnsi="Avenir Next LT Pro"/>
          <w:color w:val="000000" w:themeColor="text1"/>
          <w:sz w:val="20"/>
          <w:szCs w:val="20"/>
          <w:lang w:eastAsia="fr-FR"/>
        </w:rPr>
        <w:t xml:space="preserve">se feront </w:t>
      </w:r>
      <w:r w:rsidRPr="005C663A">
        <w:rPr>
          <w:rFonts w:ascii="Avenir Next LT Pro" w:hAnsi="Avenir Next LT Pro"/>
          <w:color w:val="000000" w:themeColor="text1"/>
          <w:sz w:val="20"/>
          <w:szCs w:val="20"/>
          <w:lang w:eastAsia="fr-FR"/>
        </w:rPr>
        <w:t xml:space="preserve">par le PNUD y compris les paiements directs aux prestataires seront, </w:t>
      </w:r>
      <w:r w:rsidR="001B381D">
        <w:rPr>
          <w:rFonts w:ascii="Avenir Next LT Pro" w:hAnsi="Avenir Next LT Pro"/>
          <w:color w:val="000000" w:themeColor="text1"/>
          <w:sz w:val="20"/>
          <w:szCs w:val="20"/>
          <w:lang w:eastAsia="fr-FR"/>
        </w:rPr>
        <w:t xml:space="preserve">en attendant son </w:t>
      </w:r>
      <w:r w:rsidR="001F7206">
        <w:rPr>
          <w:rFonts w:ascii="Avenir Next LT Pro" w:hAnsi="Avenir Next LT Pro"/>
          <w:color w:val="000000" w:themeColor="text1"/>
          <w:sz w:val="20"/>
          <w:szCs w:val="20"/>
          <w:lang w:eastAsia="fr-FR"/>
        </w:rPr>
        <w:t>opérationnalisation effective</w:t>
      </w:r>
      <w:r w:rsidRPr="005C663A">
        <w:rPr>
          <w:rFonts w:ascii="Avenir Next LT Pro" w:hAnsi="Avenir Next LT Pro"/>
          <w:color w:val="000000" w:themeColor="text1"/>
          <w:sz w:val="20"/>
          <w:szCs w:val="20"/>
          <w:lang w:eastAsia="fr-FR"/>
        </w:rPr>
        <w:t xml:space="preserve">. Cette modalité fera plus tard l’objet d’ajustement une fois la mise en place de l’Autorité est effective et ce en fonction du niveau de risque. </w:t>
      </w:r>
      <w:r w:rsidR="00C23DEB">
        <w:rPr>
          <w:rFonts w:ascii="Avenir Next LT Pro" w:hAnsi="Avenir Next LT Pro"/>
          <w:color w:val="000000" w:themeColor="text1"/>
          <w:sz w:val="20"/>
          <w:szCs w:val="20"/>
          <w:lang w:eastAsia="fr-FR"/>
        </w:rPr>
        <w:t xml:space="preserve"> </w:t>
      </w:r>
      <w:r w:rsidRPr="005C663A">
        <w:rPr>
          <w:rFonts w:ascii="Avenir Next LT Pro" w:hAnsi="Avenir Next LT Pro"/>
          <w:color w:val="000000" w:themeColor="text1"/>
          <w:sz w:val="20"/>
          <w:szCs w:val="20"/>
          <w:lang w:eastAsia="fr-FR"/>
        </w:rPr>
        <w:t xml:space="preserve"> </w:t>
      </w:r>
    </w:p>
    <w:p w14:paraId="18F4492B" w14:textId="4271F3F8" w:rsidR="005C663A" w:rsidRPr="005C663A" w:rsidRDefault="005C663A" w:rsidP="005C663A">
      <w:pPr>
        <w:numPr>
          <w:ilvl w:val="0"/>
          <w:numId w:val="40"/>
        </w:numPr>
        <w:spacing w:after="120"/>
        <w:jc w:val="both"/>
        <w:rPr>
          <w:rFonts w:ascii="Avenir Next LT Pro" w:hAnsi="Avenir Next LT Pro"/>
          <w:color w:val="000000" w:themeColor="text1"/>
          <w:sz w:val="20"/>
          <w:szCs w:val="20"/>
          <w:lang w:eastAsia="fr-FR"/>
        </w:rPr>
      </w:pPr>
      <w:r w:rsidRPr="005C663A">
        <w:rPr>
          <w:rFonts w:ascii="Avenir Next LT Pro" w:hAnsi="Avenir Next LT Pro"/>
          <w:color w:val="000000" w:themeColor="text1"/>
          <w:sz w:val="20"/>
          <w:szCs w:val="20"/>
          <w:lang w:eastAsia="fr-FR"/>
        </w:rPr>
        <w:t>La DDD</w:t>
      </w:r>
      <w:r w:rsidR="00B85B73">
        <w:rPr>
          <w:rFonts w:ascii="Avenir Next LT Pro" w:hAnsi="Avenir Next LT Pro"/>
          <w:color w:val="000000" w:themeColor="text1"/>
          <w:sz w:val="20"/>
          <w:szCs w:val="20"/>
          <w:lang w:eastAsia="fr-FR"/>
        </w:rPr>
        <w:t xml:space="preserve">, </w:t>
      </w:r>
      <w:r w:rsidRPr="005C663A">
        <w:rPr>
          <w:rFonts w:ascii="Avenir Next LT Pro" w:hAnsi="Avenir Next LT Pro"/>
          <w:color w:val="000000" w:themeColor="text1"/>
          <w:sz w:val="20"/>
          <w:szCs w:val="20"/>
          <w:lang w:eastAsia="fr-FR"/>
        </w:rPr>
        <w:t>l’ARMCA</w:t>
      </w:r>
      <w:r w:rsidR="00B85B73">
        <w:rPr>
          <w:rFonts w:ascii="Avenir Next LT Pro" w:hAnsi="Avenir Next LT Pro"/>
          <w:color w:val="000000" w:themeColor="text1"/>
          <w:sz w:val="20"/>
          <w:szCs w:val="20"/>
          <w:lang w:eastAsia="fr-FR"/>
        </w:rPr>
        <w:t xml:space="preserve"> et l</w:t>
      </w:r>
      <w:r w:rsidR="007A5388">
        <w:rPr>
          <w:rFonts w:ascii="Avenir Next LT Pro" w:hAnsi="Avenir Next LT Pro"/>
          <w:color w:val="000000" w:themeColor="text1"/>
          <w:sz w:val="20"/>
          <w:szCs w:val="20"/>
          <w:lang w:eastAsia="fr-FR"/>
        </w:rPr>
        <w:t>’entité désignée par le M</w:t>
      </w:r>
      <w:r w:rsidR="00CF51D6" w:rsidRPr="00CF51D6">
        <w:rPr>
          <w:rFonts w:ascii="Avenir Next LT Pro" w:hAnsi="Avenir Next LT Pro"/>
          <w:color w:val="000000" w:themeColor="text1"/>
          <w:sz w:val="20"/>
          <w:szCs w:val="20"/>
          <w:lang w:eastAsia="fr-FR"/>
        </w:rPr>
        <w:t>inistère des Finances</w:t>
      </w:r>
      <w:r w:rsidRPr="005C663A">
        <w:rPr>
          <w:rFonts w:ascii="Avenir Next LT Pro" w:hAnsi="Avenir Next LT Pro"/>
          <w:color w:val="000000" w:themeColor="text1"/>
          <w:sz w:val="20"/>
          <w:szCs w:val="20"/>
          <w:lang w:eastAsia="fr-FR"/>
        </w:rPr>
        <w:t xml:space="preserve">, une fois contractées auront donc, vis-à-vis du PNUD qui a reçu le Mandat du Gouvernement à travers le MPTF/O, la charge d’assurer la mise en œuvre des activités, de produire les rapports programmatiques et financiers pour les responsabilités qui leur seront confiées. Une </w:t>
      </w:r>
      <w:r w:rsidR="00EC12A1">
        <w:rPr>
          <w:rFonts w:ascii="Avenir Next LT Pro" w:hAnsi="Avenir Next LT Pro"/>
          <w:color w:val="000000" w:themeColor="text1"/>
          <w:sz w:val="20"/>
          <w:szCs w:val="20"/>
          <w:lang w:eastAsia="fr-FR"/>
        </w:rPr>
        <w:t>petite Unité de Gestion du Projet</w:t>
      </w:r>
      <w:r w:rsidRPr="005C663A">
        <w:rPr>
          <w:rFonts w:ascii="Avenir Next LT Pro" w:hAnsi="Avenir Next LT Pro"/>
          <w:color w:val="000000" w:themeColor="text1"/>
          <w:sz w:val="20"/>
          <w:szCs w:val="20"/>
          <w:lang w:eastAsia="fr-FR"/>
        </w:rPr>
        <w:t xml:space="preserve"> composée de personnel sous contrat PNUD dédié strictement à la coordination de la mise en œuvre des activités du Projet (coordonnateur de projet et expert en administration et finances) sera mise en place et travaillera étroitement avec le MEDD</w:t>
      </w:r>
      <w:r w:rsidR="00B85B73">
        <w:rPr>
          <w:rFonts w:ascii="Avenir Next LT Pro" w:hAnsi="Avenir Next LT Pro"/>
          <w:color w:val="000000" w:themeColor="text1"/>
          <w:sz w:val="20"/>
          <w:szCs w:val="20"/>
          <w:lang w:eastAsia="fr-FR"/>
        </w:rPr>
        <w:t xml:space="preserve">, le </w:t>
      </w:r>
      <w:r w:rsidR="00CF51D6" w:rsidRPr="00CF51D6">
        <w:rPr>
          <w:rFonts w:ascii="Avenir Next LT Pro" w:hAnsi="Avenir Next LT Pro"/>
          <w:color w:val="000000" w:themeColor="text1"/>
          <w:sz w:val="20"/>
          <w:szCs w:val="20"/>
          <w:lang w:eastAsia="fr-FR"/>
        </w:rPr>
        <w:t xml:space="preserve">Ministère des Finances </w:t>
      </w:r>
      <w:r w:rsidRPr="005C663A">
        <w:rPr>
          <w:rFonts w:ascii="Avenir Next LT Pro" w:hAnsi="Avenir Next LT Pro"/>
          <w:color w:val="000000" w:themeColor="text1"/>
          <w:sz w:val="20"/>
          <w:szCs w:val="20"/>
          <w:lang w:eastAsia="fr-FR"/>
        </w:rPr>
        <w:t>et les autres parties prenantes. Cette unité fournira l’assistance technique requise et sera responsable de la gestion quotidienne du Projet. Elle contribuera à l’assurance qualité quant à la planification de</w:t>
      </w:r>
      <w:r w:rsidR="00EC12A1">
        <w:rPr>
          <w:rFonts w:ascii="Avenir Next LT Pro" w:hAnsi="Avenir Next LT Pro"/>
          <w:color w:val="000000" w:themeColor="text1"/>
          <w:sz w:val="20"/>
          <w:szCs w:val="20"/>
          <w:lang w:eastAsia="fr-FR"/>
        </w:rPr>
        <w:t>s</w:t>
      </w:r>
      <w:r w:rsidRPr="005C663A">
        <w:rPr>
          <w:rFonts w:ascii="Avenir Next LT Pro" w:hAnsi="Avenir Next LT Pro"/>
          <w:color w:val="000000" w:themeColor="text1"/>
          <w:sz w:val="20"/>
          <w:szCs w:val="20"/>
          <w:lang w:eastAsia="fr-FR"/>
        </w:rPr>
        <w:t xml:space="preserve"> activités, l’élaboration et l’exécution cohérente des Plans de travail, y compris le suivi et l’évaluation des interventions, l’utilisation efficace des ressources. Ceci en conformité avec les lettres d’accord qui seront signées entre le PNUD et les Partenaires d’implémentation. Des visites programmatiques seront réalisées dans le cadre du HACT et conformément au plan d’assurance du PNUD.  </w:t>
      </w:r>
    </w:p>
    <w:p w14:paraId="6EA7C2BF" w14:textId="6ECE0FCC" w:rsidR="005C663A" w:rsidRPr="005C663A" w:rsidRDefault="005C663A" w:rsidP="005C663A">
      <w:pPr>
        <w:numPr>
          <w:ilvl w:val="0"/>
          <w:numId w:val="40"/>
        </w:numPr>
        <w:spacing w:after="120"/>
        <w:jc w:val="both"/>
        <w:rPr>
          <w:rFonts w:ascii="Avenir Next LT Pro" w:hAnsi="Avenir Next LT Pro"/>
          <w:color w:val="000000" w:themeColor="text1"/>
          <w:sz w:val="20"/>
          <w:szCs w:val="20"/>
          <w:lang w:eastAsia="fr-FR"/>
        </w:rPr>
      </w:pPr>
      <w:r w:rsidRPr="005C663A">
        <w:rPr>
          <w:rFonts w:ascii="Avenir Next LT Pro" w:hAnsi="Avenir Next LT Pro"/>
          <w:color w:val="000000" w:themeColor="text1"/>
          <w:sz w:val="20"/>
          <w:szCs w:val="20"/>
          <w:lang w:eastAsia="fr-FR"/>
        </w:rPr>
        <w:t>Ce montage implique par ailleurs que les partenaires de mise en œuvre retenus auront la responsabilité vis-à-vis du PNUD de l’utilisation de tous les financements qui seront mis à sa disposition</w:t>
      </w:r>
      <w:r w:rsidRPr="005C663A">
        <w:rPr>
          <w:rFonts w:ascii="Avenir Next LT Pro" w:hAnsi="Avenir Next LT Pro"/>
          <w:color w:val="000000" w:themeColor="text1"/>
          <w:sz w:val="20"/>
          <w:szCs w:val="20"/>
          <w:lang w:val="fr-CD" w:eastAsia="fr-FR"/>
        </w:rPr>
        <w:t xml:space="preserve"> et que le PNUD fera l'assurance qualité tout au long de la mise en œuvre du Projet</w:t>
      </w:r>
      <w:r w:rsidRPr="005C663A">
        <w:rPr>
          <w:rFonts w:ascii="Avenir Next LT Pro" w:hAnsi="Avenir Next LT Pro"/>
          <w:color w:val="000000" w:themeColor="text1"/>
          <w:sz w:val="20"/>
          <w:szCs w:val="20"/>
          <w:lang w:eastAsia="fr-FR"/>
        </w:rPr>
        <w:t xml:space="preserve">. </w:t>
      </w:r>
      <w:r w:rsidR="00E2281E">
        <w:rPr>
          <w:rFonts w:ascii="Avenir Next LT Pro" w:hAnsi="Avenir Next LT Pro"/>
          <w:color w:val="000000" w:themeColor="text1"/>
          <w:sz w:val="20"/>
          <w:szCs w:val="20"/>
          <w:lang w:eastAsia="fr-FR"/>
        </w:rPr>
        <w:t>I</w:t>
      </w:r>
      <w:r w:rsidRPr="005C663A">
        <w:rPr>
          <w:rFonts w:ascii="Avenir Next LT Pro" w:hAnsi="Avenir Next LT Pro"/>
          <w:color w:val="000000" w:themeColor="text1"/>
          <w:sz w:val="20"/>
          <w:szCs w:val="20"/>
          <w:lang w:eastAsia="fr-FR"/>
        </w:rPr>
        <w:t xml:space="preserve">l convient de noter que le contrôle de l’exécution financière des activités se fera conformément aux dispositions du HACT. Il concernera l’ensemble des financements qui seront transférés par le PNUD aux partenaires d’implémentation mais aussi ceux transférés à des tiers sur demande de ce dernier. Un défaut de contrôle ou une mauvaise utilisation des financements seront imputés aux partenaires d’implémentation et pourraient impliquer une requalification du risque qu’ils présenteront. Ce contrôle sera effectué annuellement par un cabinet d’audit externe contracté par le PNUD dont les rapports pourront être mis à disposition </w:t>
      </w:r>
      <w:r w:rsidR="00663DE2">
        <w:rPr>
          <w:rFonts w:ascii="Avenir Next LT Pro" w:hAnsi="Avenir Next LT Pro"/>
          <w:color w:val="000000" w:themeColor="text1"/>
          <w:sz w:val="20"/>
          <w:szCs w:val="20"/>
          <w:lang w:eastAsia="fr-FR"/>
        </w:rPr>
        <w:t>d</w:t>
      </w:r>
      <w:r w:rsidRPr="005C663A">
        <w:rPr>
          <w:rFonts w:ascii="Avenir Next LT Pro" w:hAnsi="Avenir Next LT Pro"/>
          <w:color w:val="000000" w:themeColor="text1"/>
          <w:sz w:val="20"/>
          <w:szCs w:val="20"/>
          <w:lang w:eastAsia="fr-FR"/>
        </w:rPr>
        <w:t>es Secrétariat Exécutif du FONAREDD et de CAFI.</w:t>
      </w:r>
    </w:p>
    <w:p w14:paraId="4AC4F6B6" w14:textId="77777777" w:rsidR="00AF2EA6" w:rsidRDefault="005C663A" w:rsidP="005C663A">
      <w:pPr>
        <w:numPr>
          <w:ilvl w:val="0"/>
          <w:numId w:val="40"/>
        </w:numPr>
        <w:spacing w:after="120"/>
        <w:jc w:val="both"/>
        <w:rPr>
          <w:rFonts w:ascii="Avenir Next LT Pro" w:hAnsi="Avenir Next LT Pro"/>
          <w:color w:val="000000" w:themeColor="text1"/>
          <w:sz w:val="20"/>
          <w:szCs w:val="20"/>
          <w:lang w:val="fr-CD" w:eastAsia="fr-FR"/>
        </w:rPr>
      </w:pPr>
      <w:r w:rsidRPr="005C663A">
        <w:rPr>
          <w:rFonts w:ascii="Avenir Next LT Pro" w:hAnsi="Avenir Next LT Pro"/>
          <w:color w:val="000000" w:themeColor="text1"/>
          <w:sz w:val="20"/>
          <w:szCs w:val="20"/>
          <w:lang w:val="fr-CD" w:eastAsia="fr-FR"/>
        </w:rPr>
        <w:t xml:space="preserve">Les interventions du Projet bénéficieront de l’appui du MEDD, du Ministère des finances et des autres ministères partenaires pour offrir les services requis et mettre à disposition les ressources humaines et matérielles nécessaires, et ce par le biais de leurs structures techniques respectives impliquées dans la mise œuvre de la CDN et le déploiement des marchés du carbone. </w:t>
      </w:r>
    </w:p>
    <w:p w14:paraId="34E70835" w14:textId="669EE1FB" w:rsidR="005C663A" w:rsidRPr="005C663A" w:rsidRDefault="005C663A" w:rsidP="005C663A">
      <w:pPr>
        <w:numPr>
          <w:ilvl w:val="0"/>
          <w:numId w:val="40"/>
        </w:numPr>
        <w:spacing w:after="120"/>
        <w:jc w:val="both"/>
        <w:rPr>
          <w:rFonts w:ascii="Avenir Next LT Pro" w:hAnsi="Avenir Next LT Pro"/>
          <w:color w:val="000000" w:themeColor="text1"/>
          <w:sz w:val="20"/>
          <w:szCs w:val="20"/>
          <w:lang w:val="fr-CD" w:eastAsia="fr-FR"/>
        </w:rPr>
      </w:pPr>
      <w:r w:rsidRPr="005C663A">
        <w:rPr>
          <w:rFonts w:ascii="Avenir Next LT Pro" w:hAnsi="Avenir Next LT Pro"/>
          <w:color w:val="000000" w:themeColor="text1"/>
          <w:sz w:val="20"/>
          <w:szCs w:val="20"/>
          <w:lang w:val="fr-CD" w:eastAsia="fr-FR"/>
        </w:rPr>
        <w:t>Un Comité Technique composé du MEDD, du Ministère des Finances, d</w:t>
      </w:r>
      <w:r w:rsidR="0049383C">
        <w:rPr>
          <w:rFonts w:ascii="Avenir Next LT Pro" w:hAnsi="Avenir Next LT Pro"/>
          <w:color w:val="000000" w:themeColor="text1"/>
          <w:sz w:val="20"/>
          <w:szCs w:val="20"/>
          <w:lang w:val="fr-CD" w:eastAsia="fr-FR"/>
        </w:rPr>
        <w:t>u SE</w:t>
      </w:r>
      <w:r w:rsidR="00F738CC">
        <w:rPr>
          <w:rFonts w:ascii="Avenir Next LT Pro" w:hAnsi="Avenir Next LT Pro"/>
          <w:color w:val="000000" w:themeColor="text1"/>
          <w:sz w:val="20"/>
          <w:szCs w:val="20"/>
          <w:lang w:val="fr-CD" w:eastAsia="fr-FR"/>
        </w:rPr>
        <w:t>-</w:t>
      </w:r>
      <w:r w:rsidRPr="005C663A">
        <w:rPr>
          <w:rFonts w:ascii="Avenir Next LT Pro" w:hAnsi="Avenir Next LT Pro"/>
          <w:color w:val="000000" w:themeColor="text1"/>
          <w:sz w:val="20"/>
          <w:szCs w:val="20"/>
          <w:lang w:val="fr-CD" w:eastAsia="fr-FR"/>
        </w:rPr>
        <w:t xml:space="preserve">FONAREDD/CAFI et du PNUD sera mis en place pour s’assurer de l’alignement des interventions du </w:t>
      </w:r>
      <w:r w:rsidR="004B2630">
        <w:rPr>
          <w:rFonts w:ascii="Avenir Next LT Pro" w:hAnsi="Avenir Next LT Pro"/>
          <w:color w:val="000000" w:themeColor="text1"/>
          <w:sz w:val="20"/>
          <w:szCs w:val="20"/>
          <w:lang w:val="fr-CD" w:eastAsia="fr-FR"/>
        </w:rPr>
        <w:t>P</w:t>
      </w:r>
      <w:r w:rsidRPr="005C663A">
        <w:rPr>
          <w:rFonts w:ascii="Avenir Next LT Pro" w:hAnsi="Avenir Next LT Pro"/>
          <w:color w:val="000000" w:themeColor="text1"/>
          <w:sz w:val="20"/>
          <w:szCs w:val="20"/>
          <w:lang w:val="fr-CD" w:eastAsia="fr-FR"/>
        </w:rPr>
        <w:t>rojet avec les orientations du Gouvernement</w:t>
      </w:r>
      <w:r w:rsidR="004B2630">
        <w:rPr>
          <w:rFonts w:ascii="Avenir Next LT Pro" w:hAnsi="Avenir Next LT Pro"/>
          <w:color w:val="000000" w:themeColor="text1"/>
          <w:sz w:val="20"/>
          <w:szCs w:val="20"/>
          <w:lang w:val="fr-CD" w:eastAsia="fr-FR"/>
        </w:rPr>
        <w:t xml:space="preserve">, ainsi que des synergies </w:t>
      </w:r>
      <w:r w:rsidR="008619B1">
        <w:rPr>
          <w:rFonts w:ascii="Avenir Next LT Pro" w:hAnsi="Avenir Next LT Pro"/>
          <w:color w:val="000000" w:themeColor="text1"/>
          <w:sz w:val="20"/>
          <w:szCs w:val="20"/>
          <w:lang w:val="fr-CD" w:eastAsia="fr-FR"/>
        </w:rPr>
        <w:t xml:space="preserve">avec les autres partenaires intervenants </w:t>
      </w:r>
      <w:r w:rsidR="009B697B">
        <w:rPr>
          <w:rFonts w:ascii="Avenir Next LT Pro" w:hAnsi="Avenir Next LT Pro"/>
          <w:color w:val="000000" w:themeColor="text1"/>
          <w:sz w:val="20"/>
          <w:szCs w:val="20"/>
          <w:lang w:val="fr-CD" w:eastAsia="fr-FR"/>
        </w:rPr>
        <w:t>dans le domaine des marchés du carbone et de la CDN</w:t>
      </w:r>
      <w:r w:rsidRPr="005C663A">
        <w:rPr>
          <w:rFonts w:ascii="Avenir Next LT Pro" w:hAnsi="Avenir Next LT Pro"/>
          <w:color w:val="000000" w:themeColor="text1"/>
          <w:sz w:val="20"/>
          <w:szCs w:val="20"/>
          <w:lang w:val="fr-CD" w:eastAsia="fr-FR"/>
        </w:rPr>
        <w:t xml:space="preserve">. </w:t>
      </w:r>
      <w:r w:rsidR="00E204BA">
        <w:rPr>
          <w:rFonts w:ascii="Avenir Next LT Pro" w:hAnsi="Avenir Next LT Pro"/>
          <w:color w:val="000000" w:themeColor="text1"/>
          <w:sz w:val="20"/>
          <w:szCs w:val="20"/>
          <w:lang w:val="fr-CD" w:eastAsia="fr-FR"/>
        </w:rPr>
        <w:t xml:space="preserve">Il </w:t>
      </w:r>
      <w:r w:rsidR="00E204BA" w:rsidRPr="005C663A">
        <w:rPr>
          <w:rFonts w:ascii="Avenir Next LT Pro" w:hAnsi="Avenir Next LT Pro"/>
          <w:color w:val="000000" w:themeColor="text1"/>
          <w:sz w:val="20"/>
          <w:szCs w:val="20"/>
          <w:lang w:eastAsia="fr-FR"/>
        </w:rPr>
        <w:t>serv</w:t>
      </w:r>
      <w:r w:rsidR="00E204BA">
        <w:rPr>
          <w:rFonts w:ascii="Avenir Next LT Pro" w:hAnsi="Avenir Next LT Pro"/>
          <w:color w:val="000000" w:themeColor="text1"/>
          <w:sz w:val="20"/>
          <w:szCs w:val="20"/>
          <w:lang w:eastAsia="fr-FR"/>
        </w:rPr>
        <w:t xml:space="preserve">ira </w:t>
      </w:r>
      <w:r w:rsidR="00E204BA" w:rsidRPr="005C663A">
        <w:rPr>
          <w:rFonts w:ascii="Avenir Next LT Pro" w:hAnsi="Avenir Next LT Pro"/>
          <w:color w:val="000000" w:themeColor="text1"/>
          <w:sz w:val="20"/>
          <w:szCs w:val="20"/>
          <w:lang w:eastAsia="fr-FR"/>
        </w:rPr>
        <w:t xml:space="preserve">de plateforme de consultation sur des actions concertées avec des parties prenantes (Ministères, secteur privé, PTF, société civile) à mener pour développer les infrastructures, les instruments financiers ainsi que le dispositif de partage des bénéfices pour les revenus financiers issus de la vente des crédits carbone qui seront promus dans le cadre du Projet, sera mis en place. Ce comité interagira étroitement avec l’ARMCA, et sa feuille de route pourra être affinée à la suite de l’étude de faisabilité.  </w:t>
      </w:r>
    </w:p>
    <w:p w14:paraId="1E32A59C" w14:textId="05AE8B3C" w:rsidR="005C663A" w:rsidRPr="005C663A" w:rsidRDefault="005C663A" w:rsidP="005C663A">
      <w:pPr>
        <w:numPr>
          <w:ilvl w:val="0"/>
          <w:numId w:val="40"/>
        </w:numPr>
        <w:spacing w:after="120"/>
        <w:jc w:val="both"/>
        <w:rPr>
          <w:rFonts w:ascii="Avenir Next LT Pro" w:hAnsi="Avenir Next LT Pro"/>
          <w:color w:val="000000" w:themeColor="text1"/>
          <w:sz w:val="20"/>
          <w:szCs w:val="20"/>
          <w:lang w:val="fr-CD" w:eastAsia="fr-FR"/>
        </w:rPr>
      </w:pPr>
      <w:r w:rsidRPr="005C663A">
        <w:rPr>
          <w:rFonts w:ascii="Avenir Next LT Pro" w:hAnsi="Avenir Next LT Pro"/>
          <w:color w:val="000000" w:themeColor="text1"/>
          <w:sz w:val="20"/>
          <w:szCs w:val="20"/>
          <w:lang w:val="fr-CD" w:eastAsia="fr-FR"/>
        </w:rPr>
        <w:lastRenderedPageBreak/>
        <w:t>Par ailleurs, le PNUD s’appuiera sur son dispositif d’assistance technique pour mobiliser</w:t>
      </w:r>
      <w:r w:rsidR="0065025E">
        <w:rPr>
          <w:rFonts w:ascii="Avenir Next LT Pro" w:hAnsi="Avenir Next LT Pro"/>
          <w:color w:val="000000" w:themeColor="text1"/>
          <w:sz w:val="20"/>
          <w:szCs w:val="20"/>
          <w:lang w:val="fr-CD" w:eastAsia="fr-FR"/>
        </w:rPr>
        <w:t>,</w:t>
      </w:r>
      <w:r w:rsidRPr="005C663A">
        <w:rPr>
          <w:rFonts w:ascii="Avenir Next LT Pro" w:hAnsi="Avenir Next LT Pro"/>
          <w:color w:val="000000" w:themeColor="text1"/>
          <w:sz w:val="20"/>
          <w:szCs w:val="20"/>
          <w:lang w:val="fr-CD" w:eastAsia="fr-FR"/>
        </w:rPr>
        <w:t xml:space="preserve"> </w:t>
      </w:r>
      <w:r w:rsidR="0065025E">
        <w:rPr>
          <w:rFonts w:ascii="Avenir Next LT Pro" w:hAnsi="Avenir Next LT Pro"/>
          <w:color w:val="000000" w:themeColor="text1"/>
          <w:sz w:val="20"/>
          <w:szCs w:val="20"/>
          <w:lang w:val="fr-CD" w:eastAsia="fr-FR"/>
        </w:rPr>
        <w:t>en cas de</w:t>
      </w:r>
      <w:r w:rsidR="0065025E" w:rsidRPr="005C663A">
        <w:rPr>
          <w:rFonts w:ascii="Avenir Next LT Pro" w:hAnsi="Avenir Next LT Pro"/>
          <w:color w:val="000000" w:themeColor="text1"/>
          <w:sz w:val="20"/>
          <w:szCs w:val="20"/>
          <w:lang w:val="fr-CD" w:eastAsia="fr-FR"/>
        </w:rPr>
        <w:t xml:space="preserve"> </w:t>
      </w:r>
      <w:r w:rsidRPr="005C663A">
        <w:rPr>
          <w:rFonts w:ascii="Avenir Next LT Pro" w:hAnsi="Avenir Next LT Pro"/>
          <w:color w:val="000000" w:themeColor="text1"/>
          <w:sz w:val="20"/>
          <w:szCs w:val="20"/>
          <w:lang w:val="fr-CD" w:eastAsia="fr-FR"/>
        </w:rPr>
        <w:t>besoin</w:t>
      </w:r>
      <w:r w:rsidR="0065025E">
        <w:rPr>
          <w:rFonts w:ascii="Avenir Next LT Pro" w:hAnsi="Avenir Next LT Pro"/>
          <w:color w:val="000000" w:themeColor="text1"/>
          <w:sz w:val="20"/>
          <w:szCs w:val="20"/>
          <w:lang w:val="fr-CD" w:eastAsia="fr-FR"/>
        </w:rPr>
        <w:t>,</w:t>
      </w:r>
      <w:r w:rsidRPr="005C663A">
        <w:rPr>
          <w:rFonts w:ascii="Avenir Next LT Pro" w:hAnsi="Avenir Next LT Pro"/>
          <w:color w:val="000000" w:themeColor="text1"/>
          <w:sz w:val="20"/>
          <w:szCs w:val="20"/>
          <w:lang w:val="fr-CD" w:eastAsia="fr-FR"/>
        </w:rPr>
        <w:t xml:space="preserve"> les expertises nécessaires pour accompagner les structures nationales techniques impliquées dans la mise en œuvre des activités. De manière à assurer les résultats attendus, le Bureau pays bénéficiera d’un </w:t>
      </w:r>
      <w:proofErr w:type="spellStart"/>
      <w:r w:rsidRPr="005C663A">
        <w:rPr>
          <w:rFonts w:ascii="Avenir Next LT Pro" w:hAnsi="Avenir Next LT Pro"/>
          <w:color w:val="000000" w:themeColor="text1"/>
          <w:sz w:val="20"/>
          <w:szCs w:val="20"/>
          <w:lang w:val="fr-CD" w:eastAsia="fr-FR"/>
        </w:rPr>
        <w:t>backstopping</w:t>
      </w:r>
      <w:proofErr w:type="spellEnd"/>
      <w:r w:rsidRPr="005C663A">
        <w:rPr>
          <w:rFonts w:ascii="Avenir Next LT Pro" w:hAnsi="Avenir Next LT Pro"/>
          <w:color w:val="000000" w:themeColor="text1"/>
          <w:sz w:val="20"/>
          <w:szCs w:val="20"/>
          <w:lang w:val="fr-CD" w:eastAsia="fr-FR"/>
        </w:rPr>
        <w:t xml:space="preserve"> technique de la part de l’équipe Nature Climat et Energie (NCE) du PNUD au niveau international. Ce </w:t>
      </w:r>
      <w:proofErr w:type="spellStart"/>
      <w:r w:rsidRPr="005C663A">
        <w:rPr>
          <w:rFonts w:ascii="Avenir Next LT Pro" w:hAnsi="Avenir Next LT Pro"/>
          <w:color w:val="000000" w:themeColor="text1"/>
          <w:sz w:val="20"/>
          <w:szCs w:val="20"/>
          <w:lang w:val="fr-CD" w:eastAsia="fr-FR"/>
        </w:rPr>
        <w:t>backstopping</w:t>
      </w:r>
      <w:proofErr w:type="spellEnd"/>
      <w:r w:rsidRPr="005C663A">
        <w:rPr>
          <w:rFonts w:ascii="Avenir Next LT Pro" w:hAnsi="Avenir Next LT Pro"/>
          <w:color w:val="000000" w:themeColor="text1"/>
          <w:sz w:val="20"/>
          <w:szCs w:val="20"/>
          <w:lang w:val="fr-CD" w:eastAsia="fr-FR"/>
        </w:rPr>
        <w:t xml:space="preserve"> pourra, selon les besoins et à la demande du Gouvernement et du Bureau pays, consister en assistance technique directe ou bien assurance qualité sur les diverses tâches liées à la conception, la mise en œuvre, et le suivi &amp; évaluation des interventions en lien avec la mise en œuvre de la CDN et le développement des marchés du carbone. Des procédures accélérées d’acquisition de biens et de services seront être aussi adoptées en vue de répondre efficacement aux demandes d’appui du PNUD.</w:t>
      </w:r>
    </w:p>
    <w:p w14:paraId="0AD93FC8" w14:textId="74CB228E" w:rsidR="005C663A" w:rsidRDefault="005C663A" w:rsidP="005C663A">
      <w:pPr>
        <w:spacing w:after="120"/>
        <w:jc w:val="both"/>
        <w:rPr>
          <w:rFonts w:ascii="Avenir Next LT Pro" w:hAnsi="Avenir Next LT Pro"/>
          <w:color w:val="000000" w:themeColor="text1"/>
          <w:sz w:val="20"/>
          <w:szCs w:val="20"/>
          <w:lang w:eastAsia="fr-FR"/>
        </w:rPr>
      </w:pPr>
      <w:bookmarkStart w:id="44" w:name="_Toc159847011"/>
      <w:r w:rsidRPr="005C663A">
        <w:rPr>
          <w:rFonts w:ascii="Avenir Next LT Pro" w:hAnsi="Avenir Next LT Pro"/>
          <w:color w:val="000000" w:themeColor="text1"/>
          <w:sz w:val="20"/>
          <w:szCs w:val="20"/>
          <w:lang w:eastAsia="fr-FR"/>
        </w:rPr>
        <w:t>La structure organisationnelle du projet se présente comme suit :</w:t>
      </w:r>
      <w:bookmarkEnd w:id="44"/>
    </w:p>
    <w:p w14:paraId="366D8989" w14:textId="48162C54" w:rsidR="00696422" w:rsidRPr="005C663A" w:rsidRDefault="008E34DB" w:rsidP="00592C13">
      <w:pPr>
        <w:spacing w:after="120"/>
        <w:jc w:val="center"/>
        <w:rPr>
          <w:rFonts w:ascii="Avenir Next LT Pro" w:hAnsi="Avenir Next LT Pro"/>
          <w:color w:val="000000" w:themeColor="text1"/>
          <w:sz w:val="20"/>
          <w:szCs w:val="20"/>
          <w:lang w:eastAsia="fr-FR"/>
        </w:rPr>
      </w:pPr>
      <w:r>
        <w:rPr>
          <w:noProof/>
        </w:rPr>
        <mc:AlternateContent>
          <mc:Choice Requires="wpg">
            <w:drawing>
              <wp:anchor distT="0" distB="0" distL="114300" distR="114300" simplePos="0" relativeHeight="251666944" behindDoc="0" locked="0" layoutInCell="1" allowOverlap="1" wp14:anchorId="41A9329E" wp14:editId="15AF73C7">
                <wp:simplePos x="0" y="0"/>
                <wp:positionH relativeFrom="margin">
                  <wp:align>center</wp:align>
                </wp:positionH>
                <wp:positionV relativeFrom="paragraph">
                  <wp:posOffset>287847</wp:posOffset>
                </wp:positionV>
                <wp:extent cx="6354445" cy="4720907"/>
                <wp:effectExtent l="0" t="0" r="27305" b="22860"/>
                <wp:wrapNone/>
                <wp:docPr id="931546660" name="Groupe 3"/>
                <wp:cNvGraphicFramePr/>
                <a:graphic xmlns:a="http://schemas.openxmlformats.org/drawingml/2006/main">
                  <a:graphicData uri="http://schemas.microsoft.com/office/word/2010/wordprocessingGroup">
                    <wpg:wgp>
                      <wpg:cNvGrpSpPr/>
                      <wpg:grpSpPr>
                        <a:xfrm>
                          <a:off x="0" y="0"/>
                          <a:ext cx="6354445" cy="4720907"/>
                          <a:chOff x="0" y="0"/>
                          <a:chExt cx="6354445" cy="4720907"/>
                        </a:xfrm>
                      </wpg:grpSpPr>
                      <wps:wsp>
                        <wps:cNvPr id="1471631993" name="Zone de texte 34"/>
                        <wps:cNvSpPr txBox="1">
                          <a:spLocks noChangeArrowheads="1"/>
                        </wps:cNvSpPr>
                        <wps:spPr bwMode="auto">
                          <a:xfrm>
                            <a:off x="4181475" y="1371600"/>
                            <a:ext cx="2172970" cy="761365"/>
                          </a:xfrm>
                          <a:prstGeom prst="rect">
                            <a:avLst/>
                          </a:prstGeom>
                          <a:solidFill>
                            <a:srgbClr val="E7E6E6"/>
                          </a:solidFill>
                          <a:ln w="12700" cmpd="sng">
                            <a:solidFill>
                              <a:srgbClr val="000000"/>
                            </a:solidFill>
                            <a:miter lim="800000"/>
                            <a:headEnd/>
                            <a:tailEnd/>
                          </a:ln>
                        </wps:spPr>
                        <wps:txbx>
                          <w:txbxContent>
                            <w:p w14:paraId="0E6C87FB" w14:textId="77777777" w:rsidR="008E34DB" w:rsidRDefault="008E34DB" w:rsidP="008E34DB">
                              <w:pPr>
                                <w:spacing w:after="0"/>
                                <w:jc w:val="center"/>
                                <w:rPr>
                                  <w:b/>
                                  <w:bCs/>
                                </w:rPr>
                              </w:pPr>
                              <w:r>
                                <w:rPr>
                                  <w:b/>
                                  <w:bCs/>
                                </w:rPr>
                                <w:t xml:space="preserve">Comité Technique </w:t>
                              </w:r>
                              <w:r w:rsidRPr="00652E51">
                                <w:rPr>
                                  <w:b/>
                                  <w:bCs/>
                                </w:rPr>
                                <w:t xml:space="preserve"> </w:t>
                              </w:r>
                            </w:p>
                            <w:p w14:paraId="74A96120" w14:textId="152378A6" w:rsidR="008E34DB" w:rsidRPr="007A7B22" w:rsidRDefault="008E34DB" w:rsidP="008E34DB">
                              <w:pPr>
                                <w:spacing w:after="0"/>
                                <w:jc w:val="center"/>
                                <w:rPr>
                                  <w:sz w:val="16"/>
                                  <w:szCs w:val="16"/>
                                </w:rPr>
                              </w:pPr>
                              <w:r w:rsidRPr="007A7B22">
                                <w:rPr>
                                  <w:sz w:val="16"/>
                                  <w:szCs w:val="16"/>
                                </w:rPr>
                                <w:t>Ministères sectoriels (MEDD, Finances, etc.), PTF, Sec-CAFI, SE-FONAREDD, secteur privé, société civile et PNUD</w:t>
                              </w:r>
                            </w:p>
                          </w:txbxContent>
                        </wps:txbx>
                        <wps:bodyPr rot="0" vert="horz" wrap="square" lIns="91440" tIns="45720" rIns="91440" bIns="45720" anchor="t" anchorCtr="0" upright="1">
                          <a:noAutofit/>
                        </wps:bodyPr>
                      </wps:wsp>
                      <wps:wsp>
                        <wps:cNvPr id="532787981" name="Zone de texte 10"/>
                        <wps:cNvSpPr txBox="1">
                          <a:spLocks noChangeArrowheads="1"/>
                        </wps:cNvSpPr>
                        <wps:spPr bwMode="auto">
                          <a:xfrm>
                            <a:off x="1495425" y="0"/>
                            <a:ext cx="3073400" cy="1098550"/>
                          </a:xfrm>
                          <a:prstGeom prst="rect">
                            <a:avLst/>
                          </a:prstGeom>
                          <a:solidFill>
                            <a:srgbClr val="E7E6E6"/>
                          </a:solidFill>
                          <a:ln w="12700" cmpd="sng">
                            <a:solidFill>
                              <a:srgbClr val="000000"/>
                            </a:solidFill>
                            <a:miter lim="800000"/>
                            <a:headEnd/>
                            <a:tailEnd/>
                          </a:ln>
                        </wps:spPr>
                        <wps:txbx>
                          <w:txbxContent>
                            <w:p w14:paraId="19A47BA9" w14:textId="77777777" w:rsidR="008E34DB" w:rsidRPr="00086F73" w:rsidRDefault="008E34DB" w:rsidP="008E34DB">
                              <w:pPr>
                                <w:spacing w:after="0"/>
                                <w:jc w:val="center"/>
                                <w:rPr>
                                  <w:b/>
                                  <w:bCs/>
                                </w:rPr>
                              </w:pPr>
                              <w:bookmarkStart w:id="45" w:name="_Hlk174635367"/>
                              <w:bookmarkStart w:id="46" w:name="_Hlk174635368"/>
                              <w:r w:rsidRPr="00086F73">
                                <w:rPr>
                                  <w:b/>
                                  <w:bCs/>
                                </w:rPr>
                                <w:t xml:space="preserve">COMITE DE PILOTAGE   </w:t>
                              </w:r>
                            </w:p>
                            <w:p w14:paraId="5628CC93" w14:textId="258C06CC" w:rsidR="008E34DB" w:rsidRPr="007A7B22" w:rsidRDefault="008E34DB" w:rsidP="008E34DB">
                              <w:pPr>
                                <w:spacing w:after="0"/>
                                <w:jc w:val="center"/>
                                <w:rPr>
                                  <w:sz w:val="16"/>
                                  <w:szCs w:val="16"/>
                                </w:rPr>
                              </w:pPr>
                              <w:r w:rsidRPr="007A7B22">
                                <w:rPr>
                                  <w:sz w:val="16"/>
                                  <w:szCs w:val="16"/>
                                </w:rPr>
                                <w:t xml:space="preserve">MEDD, </w:t>
                              </w:r>
                              <w:r w:rsidRPr="007A7B22">
                                <w:rPr>
                                  <w:rFonts w:ascii="Avenir Next LT Pro" w:hAnsi="Avenir Next LT Pro"/>
                                  <w:sz w:val="16"/>
                                  <w:szCs w:val="16"/>
                                </w:rPr>
                                <w:t>Ministère des Finances, SE-FONAREDD, Sec CAFI,</w:t>
                              </w:r>
                              <w:bookmarkEnd w:id="45"/>
                              <w:bookmarkEnd w:id="46"/>
                              <w:r w:rsidRPr="007A7B22">
                                <w:rPr>
                                  <w:rFonts w:ascii="Avenir Next LT Pro" w:hAnsi="Avenir Next LT Pro"/>
                                  <w:sz w:val="16"/>
                                  <w:szCs w:val="16"/>
                                </w:rPr>
                                <w:t xml:space="preserve"> PNUD, autres ministères sectoriels (Plan, Budget, Agriculture, Transport, Développement rural, Energie, Coopération internationale, Aménagement du territoire, Genre, etc.), société civile</w:t>
                              </w:r>
                              <w:r w:rsidR="001113DF">
                                <w:rPr>
                                  <w:rFonts w:ascii="Avenir Next LT Pro" w:hAnsi="Avenir Next LT Pro"/>
                                  <w:sz w:val="16"/>
                                  <w:szCs w:val="16"/>
                                </w:rPr>
                                <w:t xml:space="preserve"> (y compris Peuples autochtones)</w:t>
                              </w:r>
                              <w:r w:rsidRPr="007A7B22">
                                <w:rPr>
                                  <w:rFonts w:ascii="Avenir Next LT Pro" w:hAnsi="Avenir Next LT Pro"/>
                                  <w:sz w:val="16"/>
                                  <w:szCs w:val="16"/>
                                </w:rPr>
                                <w:t xml:space="preserve"> et secteur privé</w:t>
                              </w:r>
                            </w:p>
                          </w:txbxContent>
                        </wps:txbx>
                        <wps:bodyPr rot="0" vert="horz" wrap="square" lIns="91440" tIns="45720" rIns="91440" bIns="45720" anchor="t" anchorCtr="0" upright="1">
                          <a:noAutofit/>
                        </wps:bodyPr>
                      </wps:wsp>
                      <wps:wsp>
                        <wps:cNvPr id="220823765" name="Zone de texte 1767531839"/>
                        <wps:cNvSpPr txBox="1">
                          <a:spLocks noChangeArrowheads="1"/>
                        </wps:cNvSpPr>
                        <wps:spPr bwMode="auto">
                          <a:xfrm>
                            <a:off x="2052638" y="2352675"/>
                            <a:ext cx="1990725" cy="507365"/>
                          </a:xfrm>
                          <a:prstGeom prst="rect">
                            <a:avLst/>
                          </a:prstGeom>
                          <a:solidFill>
                            <a:srgbClr val="E7E6E6"/>
                          </a:solidFill>
                          <a:ln w="12700" cmpd="sng">
                            <a:solidFill>
                              <a:srgbClr val="000000"/>
                            </a:solidFill>
                            <a:miter lim="800000"/>
                            <a:headEnd/>
                            <a:tailEnd/>
                          </a:ln>
                        </wps:spPr>
                        <wps:txbx>
                          <w:txbxContent>
                            <w:p w14:paraId="1BC950D6" w14:textId="77777777" w:rsidR="008E34DB" w:rsidRDefault="008E34DB" w:rsidP="008E34DB">
                              <w:pPr>
                                <w:spacing w:after="0"/>
                                <w:jc w:val="center"/>
                                <w:rPr>
                                  <w:b/>
                                  <w:bCs/>
                                </w:rPr>
                              </w:pPr>
                              <w:r>
                                <w:rPr>
                                  <w:b/>
                                  <w:bCs/>
                                </w:rPr>
                                <w:t xml:space="preserve">Unité de Gestion Projet </w:t>
                              </w:r>
                            </w:p>
                            <w:p w14:paraId="152EEE66" w14:textId="77777777" w:rsidR="008E34DB" w:rsidRDefault="008E34DB" w:rsidP="008E34DB">
                              <w:pPr>
                                <w:spacing w:after="0"/>
                                <w:jc w:val="center"/>
                                <w:rPr>
                                  <w:b/>
                                  <w:bCs/>
                                </w:rPr>
                              </w:pPr>
                              <w:r>
                                <w:rPr>
                                  <w:rFonts w:ascii="Avenir Next LT Pro" w:hAnsi="Avenir Next LT Pro"/>
                                  <w:sz w:val="18"/>
                                  <w:szCs w:val="18"/>
                                </w:rPr>
                                <w:t>(</w:t>
                              </w:r>
                              <w:r w:rsidRPr="007A7B22">
                                <w:rPr>
                                  <w:rFonts w:ascii="Avenir Next LT Pro" w:hAnsi="Avenir Next LT Pro"/>
                                  <w:sz w:val="18"/>
                                  <w:szCs w:val="18"/>
                                </w:rPr>
                                <w:t>PNUD</w:t>
                              </w:r>
                              <w:r>
                                <w:rPr>
                                  <w:rFonts w:ascii="Avenir Next LT Pro" w:hAnsi="Avenir Next LT Pro"/>
                                  <w:sz w:val="18"/>
                                  <w:szCs w:val="18"/>
                                </w:rPr>
                                <w:t>)</w:t>
                              </w:r>
                            </w:p>
                          </w:txbxContent>
                        </wps:txbx>
                        <wps:bodyPr rot="0" vert="horz" wrap="square" lIns="91440" tIns="45720" rIns="91440" bIns="45720" anchor="t" anchorCtr="0" upright="1">
                          <a:noAutofit/>
                        </wps:bodyPr>
                      </wps:wsp>
                      <wps:wsp>
                        <wps:cNvPr id="111512281" name="AutoShape 6"/>
                        <wps:cNvCnPr>
                          <a:cxnSpLocks noChangeShapeType="1"/>
                        </wps:cNvCnPr>
                        <wps:spPr bwMode="auto">
                          <a:xfrm flipH="1">
                            <a:off x="3095625" y="1109662"/>
                            <a:ext cx="14605" cy="1243330"/>
                          </a:xfrm>
                          <a:prstGeom prst="straightConnector1">
                            <a:avLst/>
                          </a:prstGeom>
                          <a:noFill/>
                          <a:ln w="1905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16302017" name="AutoShape 7"/>
                        <wps:cNvCnPr>
                          <a:cxnSpLocks noChangeShapeType="1"/>
                        </wps:cNvCnPr>
                        <wps:spPr bwMode="auto">
                          <a:xfrm>
                            <a:off x="3119438" y="1714500"/>
                            <a:ext cx="1068070" cy="0"/>
                          </a:xfrm>
                          <a:prstGeom prst="straightConnector1">
                            <a:avLst/>
                          </a:prstGeom>
                          <a:noFill/>
                          <a:ln w="19050">
                            <a:solidFill>
                              <a:srgbClr val="0070C0"/>
                            </a:solidFill>
                            <a:round/>
                            <a:headEnd type="none" w="med" len="med"/>
                            <a:tailEnd type="none" w="med" len="med"/>
                          </a:ln>
                          <a:extLst>
                            <a:ext uri="{909E8E84-426E-40DD-AFC4-6F175D3DCCD1}">
                              <a14:hiddenFill xmlns:a14="http://schemas.microsoft.com/office/drawing/2010/main">
                                <a:noFill/>
                              </a14:hiddenFill>
                            </a:ext>
                          </a:extLst>
                        </wps:spPr>
                        <wps:bodyPr/>
                      </wps:wsp>
                      <wps:wsp>
                        <wps:cNvPr id="1631290583" name="AutoShape 8"/>
                        <wps:cNvCnPr>
                          <a:cxnSpLocks noChangeShapeType="1"/>
                        </wps:cNvCnPr>
                        <wps:spPr bwMode="auto">
                          <a:xfrm flipH="1">
                            <a:off x="3086100" y="2886075"/>
                            <a:ext cx="4445" cy="580390"/>
                          </a:xfrm>
                          <a:prstGeom prst="straightConnector1">
                            <a:avLst/>
                          </a:prstGeom>
                          <a:noFill/>
                          <a:ln w="19050" cmpd="sng">
                            <a:solidFill>
                              <a:srgbClr val="0070C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1930683064" name="AutoShape 9"/>
                        <wps:cNvCnPr>
                          <a:cxnSpLocks noChangeShapeType="1"/>
                        </wps:cNvCnPr>
                        <wps:spPr bwMode="auto">
                          <a:xfrm flipV="1">
                            <a:off x="2909888" y="1076325"/>
                            <a:ext cx="5715" cy="1285875"/>
                          </a:xfrm>
                          <a:prstGeom prst="straightConnector1">
                            <a:avLst/>
                          </a:prstGeom>
                          <a:noFill/>
                          <a:ln w="19050" cap="flat" cmpd="sng">
                            <a:solidFill>
                              <a:srgbClr val="0070C0"/>
                            </a:solidFill>
                            <a:prstDash val="sysDot"/>
                            <a:round/>
                            <a:headEnd type="none" w="med" len="med"/>
                            <a:tailEnd type="triangle" w="med" len="med"/>
                          </a:ln>
                          <a:extLst>
                            <a:ext uri="{909E8E84-426E-40DD-AFC4-6F175D3DCCD1}">
                              <a14:hiddenFill xmlns:a14="http://schemas.microsoft.com/office/drawing/2010/main">
                                <a:noFill/>
                              </a14:hiddenFill>
                            </a:ext>
                          </a:extLst>
                        </wps:spPr>
                        <wps:bodyPr/>
                      </wps:wsp>
                      <wps:wsp>
                        <wps:cNvPr id="1242772287" name="AutoShape 10"/>
                        <wps:cNvCnPr>
                          <a:cxnSpLocks noChangeShapeType="1"/>
                        </wps:cNvCnPr>
                        <wps:spPr bwMode="auto">
                          <a:xfrm flipV="1">
                            <a:off x="2900363" y="2852737"/>
                            <a:ext cx="0" cy="608965"/>
                          </a:xfrm>
                          <a:prstGeom prst="straightConnector1">
                            <a:avLst/>
                          </a:prstGeom>
                          <a:noFill/>
                          <a:ln w="19050" cap="flat" cmpd="sng">
                            <a:solidFill>
                              <a:srgbClr val="0070C0"/>
                            </a:solidFill>
                            <a:prstDash val="sysDot"/>
                            <a:round/>
                            <a:headEnd type="none" w="med" len="med"/>
                            <a:tailEnd type="triangle" w="med" len="med"/>
                          </a:ln>
                          <a:extLst>
                            <a:ext uri="{909E8E84-426E-40DD-AFC4-6F175D3DCCD1}">
                              <a14:hiddenFill xmlns:a14="http://schemas.microsoft.com/office/drawing/2010/main">
                                <a:noFill/>
                              </a14:hiddenFill>
                            </a:ext>
                          </a:extLst>
                        </wps:spPr>
                        <wps:bodyPr/>
                      </wps:wsp>
                      <wps:wsp>
                        <wps:cNvPr id="633284124" name="Zone de texte 32"/>
                        <wps:cNvSpPr txBox="1">
                          <a:spLocks noChangeArrowheads="1"/>
                        </wps:cNvSpPr>
                        <wps:spPr bwMode="auto">
                          <a:xfrm>
                            <a:off x="0" y="3481387"/>
                            <a:ext cx="6169025" cy="1239520"/>
                          </a:xfrm>
                          <a:prstGeom prst="rect">
                            <a:avLst/>
                          </a:prstGeom>
                          <a:solidFill>
                            <a:srgbClr val="E7E6E6"/>
                          </a:solidFill>
                          <a:ln w="12700">
                            <a:solidFill>
                              <a:srgbClr val="000000"/>
                            </a:solidFill>
                            <a:miter lim="800000"/>
                            <a:headEnd/>
                            <a:tailEnd/>
                          </a:ln>
                        </wps:spPr>
                        <wps:txbx>
                          <w:txbxContent>
                            <w:p w14:paraId="7437491A" w14:textId="77777777" w:rsidR="008E34DB" w:rsidRPr="001F2351" w:rsidRDefault="008E34DB" w:rsidP="008E34DB">
                              <w:pPr>
                                <w:jc w:val="center"/>
                                <w:rPr>
                                  <w:b/>
                                  <w:bCs/>
                                </w:rPr>
                              </w:pPr>
                              <w:r>
                                <w:rPr>
                                  <w:b/>
                                  <w:bCs/>
                                </w:rPr>
                                <w:t xml:space="preserve">Partenaires de mise en œuvre </w:t>
                              </w:r>
                            </w:p>
                          </w:txbxContent>
                        </wps:txbx>
                        <wps:bodyPr rot="0" vert="horz" wrap="square" lIns="91440" tIns="45720" rIns="91440" bIns="45720" anchor="t" anchorCtr="0" upright="1">
                          <a:noAutofit/>
                        </wps:bodyPr>
                      </wps:wsp>
                      <wps:wsp>
                        <wps:cNvPr id="369546127" name="Rectangle 12"/>
                        <wps:cNvSpPr>
                          <a:spLocks noChangeArrowheads="1"/>
                        </wps:cNvSpPr>
                        <wps:spPr bwMode="auto">
                          <a:xfrm>
                            <a:off x="2424113" y="3862387"/>
                            <a:ext cx="1463040" cy="572135"/>
                          </a:xfrm>
                          <a:prstGeom prst="rect">
                            <a:avLst/>
                          </a:prstGeom>
                          <a:solidFill>
                            <a:srgbClr val="FFFFFF"/>
                          </a:solidFill>
                          <a:ln w="9525">
                            <a:solidFill>
                              <a:srgbClr val="000000"/>
                            </a:solidFill>
                            <a:miter lim="800000"/>
                            <a:headEnd/>
                            <a:tailEnd/>
                          </a:ln>
                        </wps:spPr>
                        <wps:txbx>
                          <w:txbxContent>
                            <w:p w14:paraId="79749565" w14:textId="77777777" w:rsidR="008E34DB" w:rsidRPr="00222CA3" w:rsidRDefault="008E34DB" w:rsidP="008E34DB">
                              <w:pPr>
                                <w:spacing w:after="0"/>
                                <w:jc w:val="center"/>
                                <w:rPr>
                                  <w:sz w:val="20"/>
                                  <w:szCs w:val="20"/>
                                </w:rPr>
                              </w:pPr>
                              <w:r>
                                <w:rPr>
                                  <w:rFonts w:eastAsia="Times New Roman" w:cs="Calibri"/>
                                  <w:bCs/>
                                  <w:color w:val="000000"/>
                                  <w:sz w:val="20"/>
                                  <w:szCs w:val="20"/>
                                </w:rPr>
                                <w:t>Autorité de Régulation du Marché du Carbone (ARMCA)</w:t>
                              </w:r>
                            </w:p>
                          </w:txbxContent>
                        </wps:txbx>
                        <wps:bodyPr rot="0" vert="horz" wrap="square" lIns="91440" tIns="45720" rIns="91440" bIns="45720" anchor="t" anchorCtr="0" upright="1">
                          <a:noAutofit/>
                        </wps:bodyPr>
                      </wps:wsp>
                      <wps:wsp>
                        <wps:cNvPr id="70375455" name="Rectangle 13"/>
                        <wps:cNvSpPr>
                          <a:spLocks noChangeArrowheads="1"/>
                        </wps:cNvSpPr>
                        <wps:spPr bwMode="auto">
                          <a:xfrm>
                            <a:off x="128588" y="3829050"/>
                            <a:ext cx="1796415" cy="709295"/>
                          </a:xfrm>
                          <a:prstGeom prst="rect">
                            <a:avLst/>
                          </a:prstGeom>
                          <a:solidFill>
                            <a:srgbClr val="FFFFFF"/>
                          </a:solidFill>
                          <a:ln w="9525">
                            <a:solidFill>
                              <a:srgbClr val="000000"/>
                            </a:solidFill>
                            <a:miter lim="800000"/>
                            <a:headEnd/>
                            <a:tailEnd/>
                          </a:ln>
                        </wps:spPr>
                        <wps:txbx>
                          <w:txbxContent>
                            <w:p w14:paraId="3BF78EC3" w14:textId="77777777" w:rsidR="008E34DB" w:rsidRDefault="008E34DB" w:rsidP="008E34DB">
                              <w:pPr>
                                <w:spacing w:after="0"/>
                                <w:jc w:val="center"/>
                                <w:rPr>
                                  <w:rFonts w:eastAsia="Times New Roman" w:cs="Calibri"/>
                                  <w:bCs/>
                                  <w:color w:val="000000"/>
                                  <w:sz w:val="20"/>
                                  <w:szCs w:val="20"/>
                                </w:rPr>
                              </w:pPr>
                              <w:r w:rsidRPr="00222CA3">
                                <w:rPr>
                                  <w:rFonts w:eastAsia="Times New Roman" w:cs="Calibri"/>
                                  <w:bCs/>
                                  <w:color w:val="000000"/>
                                  <w:sz w:val="20"/>
                                  <w:szCs w:val="20"/>
                                </w:rPr>
                                <w:t xml:space="preserve">Ministère </w:t>
                              </w:r>
                              <w:r w:rsidRPr="00222CA3">
                                <w:rPr>
                                  <w:rFonts w:cs="Calibri"/>
                                  <w:bCs/>
                                  <w:color w:val="000000"/>
                                  <w:sz w:val="20"/>
                                  <w:szCs w:val="20"/>
                                </w:rPr>
                                <w:t xml:space="preserve">de </w:t>
                              </w:r>
                              <w:r w:rsidRPr="00222CA3">
                                <w:rPr>
                                  <w:rFonts w:eastAsia="Times New Roman" w:cs="Calibri"/>
                                  <w:bCs/>
                                  <w:color w:val="000000"/>
                                  <w:sz w:val="20"/>
                                  <w:szCs w:val="20"/>
                                </w:rPr>
                                <w:t>l’Environnement et</w:t>
                              </w:r>
                              <w:r w:rsidRPr="00222CA3">
                                <w:rPr>
                                  <w:rFonts w:cs="Calibri"/>
                                  <w:bCs/>
                                  <w:color w:val="000000"/>
                                  <w:sz w:val="20"/>
                                  <w:szCs w:val="20"/>
                                </w:rPr>
                                <w:t xml:space="preserve"> </w:t>
                              </w:r>
                              <w:r w:rsidRPr="00222CA3">
                                <w:rPr>
                                  <w:rFonts w:eastAsia="Times New Roman" w:cs="Calibri"/>
                                  <w:bCs/>
                                  <w:color w:val="000000"/>
                                  <w:sz w:val="20"/>
                                  <w:szCs w:val="20"/>
                                </w:rPr>
                                <w:t>Développement Durable</w:t>
                              </w:r>
                            </w:p>
                            <w:p w14:paraId="232CA8E8" w14:textId="77777777" w:rsidR="008E34DB" w:rsidRPr="00222CA3" w:rsidRDefault="008E34DB" w:rsidP="008E34DB">
                              <w:pPr>
                                <w:spacing w:after="0"/>
                                <w:jc w:val="center"/>
                                <w:rPr>
                                  <w:sz w:val="20"/>
                                  <w:szCs w:val="20"/>
                                </w:rPr>
                              </w:pPr>
                              <w:r>
                                <w:rPr>
                                  <w:rFonts w:eastAsia="Times New Roman" w:cs="Calibri"/>
                                  <w:bCs/>
                                  <w:color w:val="000000"/>
                                  <w:sz w:val="20"/>
                                  <w:szCs w:val="20"/>
                                </w:rPr>
                                <w:t>(Direction du Développement Durable)</w:t>
                              </w:r>
                            </w:p>
                          </w:txbxContent>
                        </wps:txbx>
                        <wps:bodyPr rot="0" vert="horz" wrap="square" lIns="91440" tIns="45720" rIns="91440" bIns="45720" anchor="t" anchorCtr="0" upright="1">
                          <a:noAutofit/>
                        </wps:bodyPr>
                      </wps:wsp>
                      <wps:wsp>
                        <wps:cNvPr id="2146597623" name="Rectangle 14"/>
                        <wps:cNvSpPr>
                          <a:spLocks noChangeArrowheads="1"/>
                        </wps:cNvSpPr>
                        <wps:spPr bwMode="auto">
                          <a:xfrm>
                            <a:off x="4391025" y="3790950"/>
                            <a:ext cx="1638300" cy="746760"/>
                          </a:xfrm>
                          <a:prstGeom prst="rect">
                            <a:avLst/>
                          </a:prstGeom>
                          <a:solidFill>
                            <a:srgbClr val="FFFFFF"/>
                          </a:solidFill>
                          <a:ln w="9525">
                            <a:solidFill>
                              <a:srgbClr val="000000"/>
                            </a:solidFill>
                            <a:miter lim="800000"/>
                            <a:headEnd/>
                            <a:tailEnd/>
                          </a:ln>
                        </wps:spPr>
                        <wps:txbx>
                          <w:txbxContent>
                            <w:p w14:paraId="7712B129" w14:textId="77777777" w:rsidR="008E34DB" w:rsidRDefault="008E34DB" w:rsidP="008E34DB">
                              <w:pPr>
                                <w:spacing w:after="0"/>
                                <w:jc w:val="center"/>
                                <w:rPr>
                                  <w:sz w:val="20"/>
                                  <w:szCs w:val="20"/>
                                </w:rPr>
                              </w:pPr>
                              <w:r w:rsidRPr="00222CA3">
                                <w:rPr>
                                  <w:sz w:val="20"/>
                                  <w:szCs w:val="20"/>
                                </w:rPr>
                                <w:t xml:space="preserve">Ministère </w:t>
                              </w:r>
                            </w:p>
                            <w:p w14:paraId="2323679C" w14:textId="77777777" w:rsidR="008E34DB" w:rsidRDefault="008E34DB" w:rsidP="008E34DB">
                              <w:pPr>
                                <w:spacing w:after="0"/>
                                <w:jc w:val="center"/>
                                <w:rPr>
                                  <w:sz w:val="20"/>
                                  <w:szCs w:val="20"/>
                                </w:rPr>
                              </w:pPr>
                              <w:r>
                                <w:rPr>
                                  <w:sz w:val="20"/>
                                  <w:szCs w:val="20"/>
                                </w:rPr>
                                <w:t>d</w:t>
                              </w:r>
                              <w:r w:rsidRPr="00222CA3">
                                <w:rPr>
                                  <w:sz w:val="20"/>
                                  <w:szCs w:val="20"/>
                                </w:rPr>
                                <w:t xml:space="preserve">es </w:t>
                              </w:r>
                            </w:p>
                            <w:p w14:paraId="204A8CF0" w14:textId="77777777" w:rsidR="008E34DB" w:rsidRDefault="008E34DB" w:rsidP="008E34DB">
                              <w:pPr>
                                <w:spacing w:after="0"/>
                                <w:jc w:val="center"/>
                                <w:rPr>
                                  <w:sz w:val="20"/>
                                  <w:szCs w:val="20"/>
                                </w:rPr>
                              </w:pPr>
                              <w:r>
                                <w:rPr>
                                  <w:sz w:val="20"/>
                                  <w:szCs w:val="20"/>
                                </w:rPr>
                                <w:t xml:space="preserve">Finances </w:t>
                              </w:r>
                            </w:p>
                            <w:p w14:paraId="670D8EAE" w14:textId="77777777" w:rsidR="008E34DB" w:rsidRPr="00222CA3" w:rsidRDefault="008E34DB" w:rsidP="008E34DB">
                              <w:pPr>
                                <w:spacing w:after="0"/>
                                <w:jc w:val="center"/>
                                <w:rPr>
                                  <w:sz w:val="20"/>
                                  <w:szCs w:val="20"/>
                                </w:rPr>
                              </w:pPr>
                              <w:r>
                                <w:rPr>
                                  <w:sz w:val="20"/>
                                  <w:szCs w:val="20"/>
                                </w:rPr>
                                <w:t>(Entité Désignée)</w:t>
                              </w:r>
                            </w:p>
                          </w:txbxContent>
                        </wps:txbx>
                        <wps:bodyPr rot="0" vert="horz" wrap="square" lIns="91440" tIns="45720" rIns="91440" bIns="45720" anchor="t" anchorCtr="0" upright="1">
                          <a:noAutofit/>
                        </wps:bodyPr>
                      </wps:wsp>
                      <wps:wsp>
                        <wps:cNvPr id="103359950" name="AutoShape 15"/>
                        <wps:cNvCnPr>
                          <a:cxnSpLocks noChangeShapeType="1"/>
                        </wps:cNvCnPr>
                        <wps:spPr bwMode="auto">
                          <a:xfrm>
                            <a:off x="1924050" y="4129087"/>
                            <a:ext cx="502285" cy="0"/>
                          </a:xfrm>
                          <a:prstGeom prst="straightConnector1">
                            <a:avLst/>
                          </a:prstGeom>
                          <a:noFill/>
                          <a:ln w="12700" cmpd="sng">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35311401" name="AutoShape 16"/>
                        <wps:cNvCnPr>
                          <a:cxnSpLocks noChangeShapeType="1"/>
                        </wps:cNvCnPr>
                        <wps:spPr bwMode="auto">
                          <a:xfrm>
                            <a:off x="3890963" y="4129087"/>
                            <a:ext cx="502285" cy="0"/>
                          </a:xfrm>
                          <a:prstGeom prst="straightConnector1">
                            <a:avLst/>
                          </a:prstGeom>
                          <a:noFill/>
                          <a:ln w="12700" cmpd="sng">
                            <a:solidFill>
                              <a:srgbClr val="0070C0"/>
                            </a:solidFill>
                            <a:round/>
                            <a:headEnd type="triangle" w="med" len="me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41A9329E" id="Groupe 3" o:spid="_x0000_s1048" style="position:absolute;left:0;text-align:left;margin-left:0;margin-top:22.65pt;width:500.35pt;height:371.7pt;z-index:251666944;mso-position-horizontal:center;mso-position-horizontal-relative:margin" coordsize="63544,47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">
                <v:shapetype id="_x0000_t202" coordsize="21600,21600" o:spt="202" path="m,l,21600r21600,l21600,xe">
                  <v:stroke joinstyle="miter"/>
                  <v:path gradientshapeok="t" o:connecttype="rect"/>
                </v:shapetype>
                <v:shape id="Zone de texte 34" o:spid="_x0000_s1049" type="#_x0000_t202" style="position:absolute;left:41814;top:13716;width:21730;height:7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" fillcolor="#e7e6e6" strokeweight="1pt">
                  <v:textbox>
                    <w:txbxContent>
                      <w:p w14:paraId="0E6C87FB" w14:textId="77777777" w:rsidR="008E34DB" w:rsidRDefault="008E34DB" w:rsidP="008E34DB">
                        <w:pPr>
                          <w:spacing w:after="0"/>
                          <w:jc w:val="center"/>
                          <w:rPr>
                            <w:b/>
                            <w:bCs/>
                          </w:rPr>
                        </w:pPr>
                        <w:r>
                          <w:rPr>
                            <w:b/>
                            <w:bCs/>
                          </w:rPr>
                          <w:t xml:space="preserve">Comité Technique </w:t>
                        </w:r>
                        <w:r w:rsidRPr="00652E51">
                          <w:rPr>
                            <w:b/>
                            <w:bCs/>
                          </w:rPr>
                          <w:t xml:space="preserve"> </w:t>
                        </w:r>
                      </w:p>
                      <w:p w14:paraId="74A96120" w14:textId="152378A6" w:rsidR="008E34DB" w:rsidRPr="007A7B22" w:rsidRDefault="008E34DB" w:rsidP="008E34DB">
                        <w:pPr>
                          <w:spacing w:after="0"/>
                          <w:jc w:val="center"/>
                          <w:rPr>
                            <w:sz w:val="16"/>
                            <w:szCs w:val="16"/>
                          </w:rPr>
                        </w:pPr>
                        <w:r w:rsidRPr="007A7B22">
                          <w:rPr>
                            <w:sz w:val="16"/>
                            <w:szCs w:val="16"/>
                          </w:rPr>
                          <w:t>Ministères sectoriels (MEDD, Finances, etc.), PTF, Sec-CAFI, SE-FONAREDD, secteur privé, société civile et PNUD</w:t>
                        </w:r>
                      </w:p>
                    </w:txbxContent>
                  </v:textbox>
                </v:shape>
                <v:shape id="Zone de texte 10" o:spid="_x0000_s1050" type="#_x0000_t202" style="position:absolute;left:14954;width:30734;height:10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" fillcolor="#e7e6e6" strokeweight="1pt">
                  <v:textbox>
                    <w:txbxContent>
                      <w:p w14:paraId="19A47BA9" w14:textId="77777777" w:rsidR="008E34DB" w:rsidRPr="00086F73" w:rsidRDefault="008E34DB" w:rsidP="008E34DB">
                        <w:pPr>
                          <w:spacing w:after="0"/>
                          <w:jc w:val="center"/>
                          <w:rPr>
                            <w:b/>
                            <w:bCs/>
                          </w:rPr>
                        </w:pPr>
                        <w:bookmarkStart w:id="47" w:name="_Hlk174635367"/>
                        <w:bookmarkStart w:id="48" w:name="_Hlk174635368"/>
                        <w:r w:rsidRPr="00086F73">
                          <w:rPr>
                            <w:b/>
                            <w:bCs/>
                          </w:rPr>
                          <w:t xml:space="preserve">COMITE DE PILOTAGE   </w:t>
                        </w:r>
                      </w:p>
                      <w:p w14:paraId="5628CC93" w14:textId="258C06CC" w:rsidR="008E34DB" w:rsidRPr="007A7B22" w:rsidRDefault="008E34DB" w:rsidP="008E34DB">
                        <w:pPr>
                          <w:spacing w:after="0"/>
                          <w:jc w:val="center"/>
                          <w:rPr>
                            <w:sz w:val="16"/>
                            <w:szCs w:val="16"/>
                          </w:rPr>
                        </w:pPr>
                        <w:r w:rsidRPr="007A7B22">
                          <w:rPr>
                            <w:sz w:val="16"/>
                            <w:szCs w:val="16"/>
                          </w:rPr>
                          <w:t xml:space="preserve">MEDD, </w:t>
                        </w:r>
                        <w:r w:rsidRPr="007A7B22">
                          <w:rPr>
                            <w:rFonts w:ascii="Avenir Next LT Pro" w:hAnsi="Avenir Next LT Pro"/>
                            <w:sz w:val="16"/>
                            <w:szCs w:val="16"/>
                          </w:rPr>
                          <w:t>Ministère des Finances, SE-FONAREDD, Sec CAFI,</w:t>
                        </w:r>
                        <w:bookmarkEnd w:id="47"/>
                        <w:bookmarkEnd w:id="48"/>
                        <w:r w:rsidRPr="007A7B22">
                          <w:rPr>
                            <w:rFonts w:ascii="Avenir Next LT Pro" w:hAnsi="Avenir Next LT Pro"/>
                            <w:sz w:val="16"/>
                            <w:szCs w:val="16"/>
                          </w:rPr>
                          <w:t xml:space="preserve"> PNUD, autres ministères sectoriels (Plan, Budget, Agriculture, Transport, Développement rural, Energie, Coopération internationale, Aménagement du territoire, Genre, etc.), société civile</w:t>
                        </w:r>
                        <w:r w:rsidR="001113DF">
                          <w:rPr>
                            <w:rFonts w:ascii="Avenir Next LT Pro" w:hAnsi="Avenir Next LT Pro"/>
                            <w:sz w:val="16"/>
                            <w:szCs w:val="16"/>
                          </w:rPr>
                          <w:t xml:space="preserve"> (y compris Peuples autochtones)</w:t>
                        </w:r>
                        <w:r w:rsidRPr="007A7B22">
                          <w:rPr>
                            <w:rFonts w:ascii="Avenir Next LT Pro" w:hAnsi="Avenir Next LT Pro"/>
                            <w:sz w:val="16"/>
                            <w:szCs w:val="16"/>
                          </w:rPr>
                          <w:t xml:space="preserve"> et secteur privé</w:t>
                        </w:r>
                      </w:p>
                    </w:txbxContent>
                  </v:textbox>
                </v:shape>
                <v:shape id="Zone de texte 1767531839" o:spid="_x0000_s1051" type="#_x0000_t202" style="position:absolute;left:20526;top:23526;width:19907;height:5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" fillcolor="#e7e6e6" strokeweight="1pt">
                  <v:textbox>
                    <w:txbxContent>
                      <w:p w14:paraId="1BC950D6" w14:textId="77777777" w:rsidR="008E34DB" w:rsidRDefault="008E34DB" w:rsidP="008E34DB">
                        <w:pPr>
                          <w:spacing w:after="0"/>
                          <w:jc w:val="center"/>
                          <w:rPr>
                            <w:b/>
                            <w:bCs/>
                          </w:rPr>
                        </w:pPr>
                        <w:r>
                          <w:rPr>
                            <w:b/>
                            <w:bCs/>
                          </w:rPr>
                          <w:t xml:space="preserve">Unité de Gestion Projet </w:t>
                        </w:r>
                      </w:p>
                      <w:p w14:paraId="152EEE66" w14:textId="77777777" w:rsidR="008E34DB" w:rsidRDefault="008E34DB" w:rsidP="008E34DB">
                        <w:pPr>
                          <w:spacing w:after="0"/>
                          <w:jc w:val="center"/>
                          <w:rPr>
                            <w:b/>
                            <w:bCs/>
                          </w:rPr>
                        </w:pPr>
                        <w:r>
                          <w:rPr>
                            <w:rFonts w:ascii="Avenir Next LT Pro" w:hAnsi="Avenir Next LT Pro"/>
                            <w:sz w:val="18"/>
                            <w:szCs w:val="18"/>
                          </w:rPr>
                          <w:t>(</w:t>
                        </w:r>
                        <w:r w:rsidRPr="007A7B22">
                          <w:rPr>
                            <w:rFonts w:ascii="Avenir Next LT Pro" w:hAnsi="Avenir Next LT Pro"/>
                            <w:sz w:val="18"/>
                            <w:szCs w:val="18"/>
                          </w:rPr>
                          <w:t>PNUD</w:t>
                        </w:r>
                        <w:r>
                          <w:rPr>
                            <w:rFonts w:ascii="Avenir Next LT Pro" w:hAnsi="Avenir Next LT Pro"/>
                            <w:sz w:val="18"/>
                            <w:szCs w:val="18"/>
                          </w:rPr>
                          <w:t>)</w:t>
                        </w:r>
                      </w:p>
                    </w:txbxContent>
                  </v:textbox>
                </v:shape>
                <v:shapetype id="_x0000_t32" coordsize="21600,21600" o:spt="32" o:oned="t" path="m,l21600,21600e" filled="f">
                  <v:path arrowok="t" fillok="f" o:connecttype="none"/>
                  <o:lock v:ext="edit" shapetype="t"/>
                </v:shapetype>
                <v:shape id="AutoShape 6" o:spid="_x0000_s1052" type="#_x0000_t32" style="position:absolute;left:30956;top:11096;width:146;height:1243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" strokecolor="#0070c0" strokeweight="1.5pt">
                  <v:stroke endarrow="block"/>
                </v:shape>
                <v:shape id="AutoShape 7" o:spid="_x0000_s1053" type="#_x0000_t32" style="position:absolute;left:31194;top:17145;width:106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" strokecolor="#0070c0" strokeweight="1.5pt"/>
                <v:shape id="AutoShape 8" o:spid="_x0000_s1054" type="#_x0000_t32" style="position:absolute;left:30861;top:28860;width:44;height:58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" strokecolor="#0070c0" strokeweight="1.5pt">
                  <v:stroke endarrow="block"/>
                </v:shape>
                <v:shape id="AutoShape 9" o:spid="_x0000_s1055" type="#_x0000_t32" style="position:absolute;left:29098;top:10763;width:58;height:1285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" strokecolor="#0070c0" strokeweight="1.5pt">
                  <v:stroke dashstyle="1 1" endarrow="block"/>
                </v:shape>
                <v:shape id="AutoShape 10" o:spid="_x0000_s1056" type="#_x0000_t32" style="position:absolute;left:29003;top:28527;width:0;height:60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" strokecolor="#0070c0" strokeweight="1.5pt">
                  <v:stroke dashstyle="1 1" endarrow="block"/>
                </v:shape>
                <v:shape id="Zone de texte 32" o:spid="_x0000_s1057" type="#_x0000_t202" style="position:absolute;top:34813;width:61690;height:12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" fillcolor="#e7e6e6" strokeweight="1pt">
                  <v:textbox>
                    <w:txbxContent>
                      <w:p w14:paraId="7437491A" w14:textId="77777777" w:rsidR="008E34DB" w:rsidRPr="001F2351" w:rsidRDefault="008E34DB" w:rsidP="008E34DB">
                        <w:pPr>
                          <w:jc w:val="center"/>
                          <w:rPr>
                            <w:b/>
                            <w:bCs/>
                          </w:rPr>
                        </w:pPr>
                        <w:r>
                          <w:rPr>
                            <w:b/>
                            <w:bCs/>
                          </w:rPr>
                          <w:t xml:space="preserve">Partenaires de mise en œuvre </w:t>
                        </w:r>
                      </w:p>
                    </w:txbxContent>
                  </v:textbox>
                </v:shape>
                <v:rect id="Rectangle 12" o:spid="_x0000_s1058" style="position:absolute;left:24241;top:38623;width:14630;height:5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">
                  <v:textbox>
                    <w:txbxContent>
                      <w:p w14:paraId="79749565" w14:textId="77777777" w:rsidR="008E34DB" w:rsidRPr="00222CA3" w:rsidRDefault="008E34DB" w:rsidP="008E34DB">
                        <w:pPr>
                          <w:spacing w:after="0"/>
                          <w:jc w:val="center"/>
                          <w:rPr>
                            <w:sz w:val="20"/>
                            <w:szCs w:val="20"/>
                          </w:rPr>
                        </w:pPr>
                        <w:r>
                          <w:rPr>
                            <w:rFonts w:eastAsia="Times New Roman" w:cs="Calibri"/>
                            <w:bCs/>
                            <w:color w:val="000000"/>
                            <w:sz w:val="20"/>
                            <w:szCs w:val="20"/>
                          </w:rPr>
                          <w:t>Autorité de Régulation du Marché du Carbone (ARMCA)</w:t>
                        </w:r>
                      </w:p>
                    </w:txbxContent>
                  </v:textbox>
                </v:rect>
                <v:rect id="Rectangle 13" o:spid="_x0000_s1059" style="position:absolute;left:1285;top:38290;width:17965;height:7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">
                  <v:textbox>
                    <w:txbxContent>
                      <w:p w14:paraId="3BF78EC3" w14:textId="77777777" w:rsidR="008E34DB" w:rsidRDefault="008E34DB" w:rsidP="008E34DB">
                        <w:pPr>
                          <w:spacing w:after="0"/>
                          <w:jc w:val="center"/>
                          <w:rPr>
                            <w:rFonts w:eastAsia="Times New Roman" w:cs="Calibri"/>
                            <w:bCs/>
                            <w:color w:val="000000"/>
                            <w:sz w:val="20"/>
                            <w:szCs w:val="20"/>
                          </w:rPr>
                        </w:pPr>
                        <w:r w:rsidRPr="00222CA3">
                          <w:rPr>
                            <w:rFonts w:eastAsia="Times New Roman" w:cs="Calibri"/>
                            <w:bCs/>
                            <w:color w:val="000000"/>
                            <w:sz w:val="20"/>
                            <w:szCs w:val="20"/>
                          </w:rPr>
                          <w:t xml:space="preserve">Ministère </w:t>
                        </w:r>
                        <w:r w:rsidRPr="00222CA3">
                          <w:rPr>
                            <w:rFonts w:cs="Calibri"/>
                            <w:bCs/>
                            <w:color w:val="000000"/>
                            <w:sz w:val="20"/>
                            <w:szCs w:val="20"/>
                          </w:rPr>
                          <w:t xml:space="preserve">de </w:t>
                        </w:r>
                        <w:r w:rsidRPr="00222CA3">
                          <w:rPr>
                            <w:rFonts w:eastAsia="Times New Roman" w:cs="Calibri"/>
                            <w:bCs/>
                            <w:color w:val="000000"/>
                            <w:sz w:val="20"/>
                            <w:szCs w:val="20"/>
                          </w:rPr>
                          <w:t>l’Environnement et</w:t>
                        </w:r>
                        <w:r w:rsidRPr="00222CA3">
                          <w:rPr>
                            <w:rFonts w:cs="Calibri"/>
                            <w:bCs/>
                            <w:color w:val="000000"/>
                            <w:sz w:val="20"/>
                            <w:szCs w:val="20"/>
                          </w:rPr>
                          <w:t xml:space="preserve"> </w:t>
                        </w:r>
                        <w:r w:rsidRPr="00222CA3">
                          <w:rPr>
                            <w:rFonts w:eastAsia="Times New Roman" w:cs="Calibri"/>
                            <w:bCs/>
                            <w:color w:val="000000"/>
                            <w:sz w:val="20"/>
                            <w:szCs w:val="20"/>
                          </w:rPr>
                          <w:t>Développement Durable</w:t>
                        </w:r>
                      </w:p>
                      <w:p w14:paraId="232CA8E8" w14:textId="77777777" w:rsidR="008E34DB" w:rsidRPr="00222CA3" w:rsidRDefault="008E34DB" w:rsidP="008E34DB">
                        <w:pPr>
                          <w:spacing w:after="0"/>
                          <w:jc w:val="center"/>
                          <w:rPr>
                            <w:sz w:val="20"/>
                            <w:szCs w:val="20"/>
                          </w:rPr>
                        </w:pPr>
                        <w:r>
                          <w:rPr>
                            <w:rFonts w:eastAsia="Times New Roman" w:cs="Calibri"/>
                            <w:bCs/>
                            <w:color w:val="000000"/>
                            <w:sz w:val="20"/>
                            <w:szCs w:val="20"/>
                          </w:rPr>
                          <w:t>(Direction du Développement Durable)</w:t>
                        </w:r>
                      </w:p>
                    </w:txbxContent>
                  </v:textbox>
                </v:rect>
                <v:rect id="Rectangle 14" o:spid="_x0000_s1060" style="position:absolute;left:43910;top:37909;width:16383;height:7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">
                  <v:textbox>
                    <w:txbxContent>
                      <w:p w14:paraId="7712B129" w14:textId="77777777" w:rsidR="008E34DB" w:rsidRDefault="008E34DB" w:rsidP="008E34DB">
                        <w:pPr>
                          <w:spacing w:after="0"/>
                          <w:jc w:val="center"/>
                          <w:rPr>
                            <w:sz w:val="20"/>
                            <w:szCs w:val="20"/>
                          </w:rPr>
                        </w:pPr>
                        <w:r w:rsidRPr="00222CA3">
                          <w:rPr>
                            <w:sz w:val="20"/>
                            <w:szCs w:val="20"/>
                          </w:rPr>
                          <w:t xml:space="preserve">Ministère </w:t>
                        </w:r>
                      </w:p>
                      <w:p w14:paraId="2323679C" w14:textId="77777777" w:rsidR="008E34DB" w:rsidRDefault="008E34DB" w:rsidP="008E34DB">
                        <w:pPr>
                          <w:spacing w:after="0"/>
                          <w:jc w:val="center"/>
                          <w:rPr>
                            <w:sz w:val="20"/>
                            <w:szCs w:val="20"/>
                          </w:rPr>
                        </w:pPr>
                        <w:r>
                          <w:rPr>
                            <w:sz w:val="20"/>
                            <w:szCs w:val="20"/>
                          </w:rPr>
                          <w:t>d</w:t>
                        </w:r>
                        <w:r w:rsidRPr="00222CA3">
                          <w:rPr>
                            <w:sz w:val="20"/>
                            <w:szCs w:val="20"/>
                          </w:rPr>
                          <w:t xml:space="preserve">es </w:t>
                        </w:r>
                      </w:p>
                      <w:p w14:paraId="204A8CF0" w14:textId="77777777" w:rsidR="008E34DB" w:rsidRDefault="008E34DB" w:rsidP="008E34DB">
                        <w:pPr>
                          <w:spacing w:after="0"/>
                          <w:jc w:val="center"/>
                          <w:rPr>
                            <w:sz w:val="20"/>
                            <w:szCs w:val="20"/>
                          </w:rPr>
                        </w:pPr>
                        <w:r>
                          <w:rPr>
                            <w:sz w:val="20"/>
                            <w:szCs w:val="20"/>
                          </w:rPr>
                          <w:t xml:space="preserve">Finances </w:t>
                        </w:r>
                      </w:p>
                      <w:p w14:paraId="670D8EAE" w14:textId="77777777" w:rsidR="008E34DB" w:rsidRPr="00222CA3" w:rsidRDefault="008E34DB" w:rsidP="008E34DB">
                        <w:pPr>
                          <w:spacing w:after="0"/>
                          <w:jc w:val="center"/>
                          <w:rPr>
                            <w:sz w:val="20"/>
                            <w:szCs w:val="20"/>
                          </w:rPr>
                        </w:pPr>
                        <w:r>
                          <w:rPr>
                            <w:sz w:val="20"/>
                            <w:szCs w:val="20"/>
                          </w:rPr>
                          <w:t>(Entité Désignée)</w:t>
                        </w:r>
                      </w:p>
                    </w:txbxContent>
                  </v:textbox>
                </v:rect>
                <v:shape id="AutoShape 15" o:spid="_x0000_s1061" type="#_x0000_t32" style="position:absolute;left:19240;top:41290;width:50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" strokecolor="#0070c0" strokeweight="1pt">
                  <v:stroke startarrow="block" endarrow="block"/>
                </v:shape>
                <v:shape id="AutoShape 16" o:spid="_x0000_s1062" type="#_x0000_t32" style="position:absolute;left:38909;top:41290;width:50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" strokecolor="#0070c0" strokeweight="1pt">
                  <v:stroke startarrow="block" endarrow="block"/>
                </v:shape>
                <w10:wrap anchorx="margin"/>
              </v:group>
            </w:pict>
          </mc:Fallback>
        </mc:AlternateContent>
      </w:r>
    </w:p>
    <w:p w14:paraId="5C0BA50E" w14:textId="556F3ECC" w:rsidR="00D330D9" w:rsidRPr="00696422" w:rsidRDefault="00D330D9" w:rsidP="003A4091">
      <w:pPr>
        <w:spacing w:after="120"/>
        <w:jc w:val="both"/>
        <w:rPr>
          <w:rFonts w:ascii="Avenir Next LT Pro" w:hAnsi="Avenir Next LT Pro"/>
          <w:color w:val="000000" w:themeColor="text1"/>
          <w:sz w:val="20"/>
          <w:szCs w:val="20"/>
          <w:lang w:eastAsia="fr-FR"/>
        </w:rPr>
      </w:pPr>
    </w:p>
    <w:p w14:paraId="2D487489" w14:textId="3F129CCD" w:rsidR="003A4091" w:rsidRPr="00C345C4" w:rsidRDefault="003A4091" w:rsidP="00FB7BE6">
      <w:pPr>
        <w:spacing w:after="120"/>
        <w:jc w:val="center"/>
        <w:rPr>
          <w:rFonts w:ascii="Avenir Next LT Pro" w:hAnsi="Avenir Next LT Pro"/>
          <w:sz w:val="20"/>
          <w:szCs w:val="20"/>
          <w:lang w:eastAsia="fr-FR"/>
        </w:rPr>
      </w:pPr>
    </w:p>
    <w:p w14:paraId="3364636A" w14:textId="741853B7" w:rsidR="003A4091" w:rsidRDefault="003A4091" w:rsidP="003A4091">
      <w:pPr>
        <w:spacing w:after="120"/>
        <w:jc w:val="both"/>
        <w:rPr>
          <w:rFonts w:ascii="Avenir Next LT Pro" w:hAnsi="Avenir Next LT Pro"/>
          <w:sz w:val="20"/>
          <w:szCs w:val="20"/>
          <w:lang w:eastAsia="fr-FR"/>
        </w:rPr>
      </w:pPr>
    </w:p>
    <w:p w14:paraId="13829226" w14:textId="24F61F0C" w:rsidR="00467647" w:rsidRDefault="00467647" w:rsidP="003A4091">
      <w:pPr>
        <w:spacing w:after="120"/>
        <w:jc w:val="both"/>
        <w:rPr>
          <w:rFonts w:ascii="Avenir Next LT Pro" w:hAnsi="Avenir Next LT Pro"/>
          <w:sz w:val="20"/>
          <w:szCs w:val="20"/>
          <w:lang w:eastAsia="fr-FR"/>
        </w:rPr>
      </w:pPr>
    </w:p>
    <w:p w14:paraId="7FD9B6C5" w14:textId="66ED00E6" w:rsidR="00467647" w:rsidRPr="00C345C4" w:rsidRDefault="00467647" w:rsidP="003A4091">
      <w:pPr>
        <w:spacing w:after="120"/>
        <w:jc w:val="both"/>
        <w:rPr>
          <w:rFonts w:ascii="Avenir Next LT Pro" w:hAnsi="Avenir Next LT Pro"/>
          <w:sz w:val="20"/>
          <w:szCs w:val="20"/>
          <w:lang w:eastAsia="fr-FR"/>
        </w:rPr>
        <w:sectPr w:rsidR="00467647" w:rsidRPr="00C345C4" w:rsidSect="00861E2D">
          <w:pgSz w:w="11906" w:h="16838"/>
          <w:pgMar w:top="1417" w:right="1417" w:bottom="1417" w:left="1417" w:header="708" w:footer="708" w:gutter="0"/>
          <w:cols w:space="708"/>
          <w:docGrid w:linePitch="360"/>
        </w:sectPr>
      </w:pPr>
    </w:p>
    <w:p w14:paraId="5DDD7C2F" w14:textId="0A4CB6B0" w:rsidR="009507FC" w:rsidRPr="00C345C4" w:rsidRDefault="002B54BD" w:rsidP="00E416CC">
      <w:pPr>
        <w:rPr>
          <w:rFonts w:ascii="Avenir Next LT Pro" w:hAnsi="Avenir Next LT Pro"/>
          <w:lang w:eastAsia="fr-FR"/>
        </w:rPr>
      </w:pPr>
      <w:r>
        <w:rPr>
          <w:noProof/>
        </w:rPr>
        <w:lastRenderedPageBreak/>
        <mc:AlternateContent>
          <mc:Choice Requires="wps">
            <w:drawing>
              <wp:anchor distT="45720" distB="45720" distL="114300" distR="114300" simplePos="0" relativeHeight="251661824" behindDoc="0" locked="0" layoutInCell="1" allowOverlap="1" wp14:anchorId="49556598" wp14:editId="3C0943C5">
                <wp:simplePos x="0" y="0"/>
                <wp:positionH relativeFrom="column">
                  <wp:posOffset>-239395</wp:posOffset>
                </wp:positionH>
                <wp:positionV relativeFrom="paragraph">
                  <wp:posOffset>635</wp:posOffset>
                </wp:positionV>
                <wp:extent cx="3536950" cy="721360"/>
                <wp:effectExtent l="0" t="0" r="5080" b="31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0" cy="721360"/>
                        </a:xfrm>
                        <a:prstGeom prst="rect">
                          <a:avLst/>
                        </a:prstGeom>
                        <a:solidFill>
                          <a:srgbClr val="FFFFFF"/>
                        </a:solidFill>
                        <a:ln w="9525">
                          <a:solidFill>
                            <a:srgbClr val="000000"/>
                          </a:solidFill>
                          <a:miter lim="800000"/>
                          <a:headEnd/>
                          <a:tailEnd/>
                        </a:ln>
                      </wps:spPr>
                      <wps:txbx>
                        <w:txbxContent>
                          <w:p w14:paraId="2A1C4B25" w14:textId="64A1E6BA" w:rsidR="00C04BD5" w:rsidRPr="00240730" w:rsidRDefault="00C04BD5" w:rsidP="00240730">
                            <w:pPr>
                              <w:spacing w:after="0"/>
                              <w:rPr>
                                <w:rFonts w:asciiTheme="minorHAnsi" w:hAnsiTheme="minorHAnsi" w:cstheme="minorHAnsi"/>
                                <w:b/>
                                <w:bCs/>
                                <w:sz w:val="20"/>
                                <w:szCs w:val="20"/>
                                <w:lang w:val="fr-CA"/>
                              </w:rPr>
                            </w:pPr>
                            <w:r w:rsidRPr="00240730">
                              <w:rPr>
                                <w:rFonts w:asciiTheme="minorHAnsi" w:hAnsiTheme="minorHAnsi" w:cstheme="minorHAnsi"/>
                                <w:b/>
                                <w:bCs/>
                                <w:sz w:val="20"/>
                                <w:szCs w:val="20"/>
                                <w:lang w:val="fr-CA"/>
                              </w:rPr>
                              <w:t xml:space="preserve">Catégories </w:t>
                            </w:r>
                          </w:p>
                          <w:p w14:paraId="2D42BF87" w14:textId="555FA743" w:rsidR="00C04BD5" w:rsidRPr="00240730" w:rsidRDefault="00C04BD5" w:rsidP="00240730">
                            <w:pPr>
                              <w:pStyle w:val="NormalWeb"/>
                              <w:spacing w:before="0" w:beforeAutospacing="0" w:after="0" w:afterAutospacing="0"/>
                              <w:rPr>
                                <w:rFonts w:asciiTheme="minorHAnsi" w:hAnsiTheme="minorHAnsi" w:cstheme="minorHAnsi"/>
                                <w:sz w:val="20"/>
                                <w:szCs w:val="20"/>
                                <w:lang w:val="fr-CA"/>
                              </w:rPr>
                            </w:pPr>
                            <w:r w:rsidRPr="00240730">
                              <w:rPr>
                                <w:rFonts w:asciiTheme="minorHAnsi" w:hAnsiTheme="minorHAnsi" w:cstheme="minorHAnsi"/>
                                <w:sz w:val="20"/>
                                <w:szCs w:val="20"/>
                                <w:lang w:val="fr-CA"/>
                              </w:rPr>
                              <w:t>Type :</w:t>
                            </w:r>
                            <w:r w:rsidR="00240730" w:rsidRPr="00240730">
                              <w:rPr>
                                <w:rFonts w:asciiTheme="minorHAnsi" w:hAnsiTheme="minorHAnsi" w:cstheme="minorHAnsi"/>
                                <w:sz w:val="20"/>
                                <w:szCs w:val="20"/>
                                <w:lang w:val="fr-CA"/>
                              </w:rPr>
                              <w:t xml:space="preserve"> ONG internationale, ONG nationale, entité publique,</w:t>
                            </w:r>
                            <w:r w:rsidR="00A3034F">
                              <w:rPr>
                                <w:rFonts w:asciiTheme="minorHAnsi" w:hAnsiTheme="minorHAnsi" w:cstheme="minorHAnsi"/>
                                <w:sz w:val="20"/>
                                <w:szCs w:val="20"/>
                                <w:lang w:val="fr-CA"/>
                              </w:rPr>
                              <w:t xml:space="preserve"> entité </w:t>
                            </w:r>
                            <w:r w:rsidR="00A3034F" w:rsidRPr="00240730">
                              <w:rPr>
                                <w:rFonts w:asciiTheme="minorHAnsi" w:hAnsiTheme="minorHAnsi" w:cstheme="minorHAnsi"/>
                                <w:sz w:val="20"/>
                                <w:szCs w:val="20"/>
                                <w:lang w:val="fr-CA"/>
                              </w:rPr>
                              <w:t>privée</w:t>
                            </w:r>
                            <w:r w:rsidR="00240730" w:rsidRPr="00240730">
                              <w:rPr>
                                <w:rFonts w:asciiTheme="minorHAnsi" w:hAnsiTheme="minorHAnsi" w:cstheme="minorHAnsi"/>
                                <w:sz w:val="20"/>
                                <w:szCs w:val="20"/>
                                <w:lang w:val="fr-CA"/>
                              </w:rPr>
                              <w:t>, autre</w:t>
                            </w:r>
                          </w:p>
                          <w:p w14:paraId="5738EBEF" w14:textId="0E2E840F" w:rsidR="00A02293" w:rsidRPr="00240730" w:rsidRDefault="00C04BD5" w:rsidP="00240730">
                            <w:pPr>
                              <w:spacing w:after="0"/>
                              <w:rPr>
                                <w:rFonts w:asciiTheme="minorHAnsi" w:hAnsiTheme="minorHAnsi" w:cstheme="minorHAnsi"/>
                                <w:sz w:val="20"/>
                                <w:szCs w:val="20"/>
                                <w:lang w:val="fr-CA"/>
                              </w:rPr>
                            </w:pPr>
                            <w:r w:rsidRPr="00240730">
                              <w:rPr>
                                <w:rFonts w:asciiTheme="minorHAnsi" w:hAnsiTheme="minorHAnsi" w:cstheme="minorHAnsi"/>
                                <w:sz w:val="20"/>
                                <w:szCs w:val="20"/>
                                <w:lang w:val="fr-CA"/>
                              </w:rPr>
                              <w:t>Sous-type</w:t>
                            </w:r>
                            <w:r w:rsidR="00A02293" w:rsidRPr="00240730">
                              <w:rPr>
                                <w:rFonts w:asciiTheme="minorHAnsi" w:hAnsiTheme="minorHAnsi" w:cstheme="minorHAnsi"/>
                                <w:sz w:val="20"/>
                                <w:szCs w:val="20"/>
                                <w:lang w:val="fr-CA"/>
                              </w:rPr>
                              <w:t> :</w:t>
                            </w:r>
                            <w:r w:rsidR="00240730">
                              <w:rPr>
                                <w:rFonts w:asciiTheme="minorHAnsi" w:hAnsiTheme="minorHAnsi" w:cstheme="minorHAnsi"/>
                                <w:sz w:val="20"/>
                                <w:szCs w:val="20"/>
                                <w:lang w:val="fr-CA"/>
                              </w:rPr>
                              <w:t xml:space="preserve"> </w:t>
                            </w:r>
                            <w:r w:rsidR="00B079F8">
                              <w:rPr>
                                <w:rFonts w:asciiTheme="minorHAnsi" w:hAnsiTheme="minorHAnsi" w:cstheme="minorHAnsi"/>
                                <w:sz w:val="20"/>
                                <w:szCs w:val="20"/>
                                <w:lang w:val="fr-CA"/>
                              </w:rPr>
                              <w:t xml:space="preserve">ex. CLD, CARG, </w:t>
                            </w:r>
                            <w:r w:rsidR="00A3034F">
                              <w:rPr>
                                <w:rFonts w:asciiTheme="minorHAnsi" w:hAnsiTheme="minorHAnsi" w:cstheme="minorHAnsi"/>
                                <w:sz w:val="20"/>
                                <w:szCs w:val="20"/>
                                <w:lang w:val="fr-CA"/>
                              </w:rPr>
                              <w:t>coopérative, bureau d’étude, etc.</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9556598" id="Text Box 2" o:spid="_x0000_s1063" type="#_x0000_t202" style="position:absolute;margin-left:-18.85pt;margin-top:.05pt;width:278.5pt;height:56.8pt;z-index:2516618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">
                <v:textbox style="mso-fit-shape-to-text:t">
                  <w:txbxContent>
                    <w:p w14:paraId="2A1C4B25" w14:textId="64A1E6BA" w:rsidR="00C04BD5" w:rsidRPr="00240730" w:rsidRDefault="00C04BD5" w:rsidP="00240730">
                      <w:pPr>
                        <w:spacing w:after="0"/>
                        <w:rPr>
                          <w:rFonts w:asciiTheme="minorHAnsi" w:hAnsiTheme="minorHAnsi" w:cstheme="minorHAnsi"/>
                          <w:b/>
                          <w:bCs/>
                          <w:sz w:val="20"/>
                          <w:szCs w:val="20"/>
                          <w:lang w:val="fr-CA"/>
                        </w:rPr>
                      </w:pPr>
                      <w:r w:rsidRPr="00240730">
                        <w:rPr>
                          <w:rFonts w:asciiTheme="minorHAnsi" w:hAnsiTheme="minorHAnsi" w:cstheme="minorHAnsi"/>
                          <w:b/>
                          <w:bCs/>
                          <w:sz w:val="20"/>
                          <w:szCs w:val="20"/>
                          <w:lang w:val="fr-CA"/>
                        </w:rPr>
                        <w:t xml:space="preserve">Catégories </w:t>
                      </w:r>
                    </w:p>
                    <w:p w14:paraId="2D42BF87" w14:textId="555FA743" w:rsidR="00C04BD5" w:rsidRPr="00240730" w:rsidRDefault="00C04BD5" w:rsidP="00240730">
                      <w:pPr>
                        <w:pStyle w:val="NormalWeb"/>
                        <w:spacing w:before="0" w:beforeAutospacing="0" w:after="0" w:afterAutospacing="0"/>
                        <w:rPr>
                          <w:rFonts w:asciiTheme="minorHAnsi" w:hAnsiTheme="minorHAnsi" w:cstheme="minorHAnsi"/>
                          <w:sz w:val="20"/>
                          <w:szCs w:val="20"/>
                          <w:lang w:val="fr-CA"/>
                        </w:rPr>
                      </w:pPr>
                      <w:r w:rsidRPr="00240730">
                        <w:rPr>
                          <w:rFonts w:asciiTheme="minorHAnsi" w:hAnsiTheme="minorHAnsi" w:cstheme="minorHAnsi"/>
                          <w:sz w:val="20"/>
                          <w:szCs w:val="20"/>
                          <w:lang w:val="fr-CA"/>
                        </w:rPr>
                        <w:t>Type :</w:t>
                      </w:r>
                      <w:r w:rsidR="00240730" w:rsidRPr="00240730">
                        <w:rPr>
                          <w:rFonts w:asciiTheme="minorHAnsi" w:hAnsiTheme="minorHAnsi" w:cstheme="minorHAnsi"/>
                          <w:sz w:val="20"/>
                          <w:szCs w:val="20"/>
                          <w:lang w:val="fr-CA"/>
                        </w:rPr>
                        <w:t xml:space="preserve"> ONG internationale, ONG nationale, entité publique,</w:t>
                      </w:r>
                      <w:r w:rsidR="00A3034F">
                        <w:rPr>
                          <w:rFonts w:asciiTheme="minorHAnsi" w:hAnsiTheme="minorHAnsi" w:cstheme="minorHAnsi"/>
                          <w:sz w:val="20"/>
                          <w:szCs w:val="20"/>
                          <w:lang w:val="fr-CA"/>
                        </w:rPr>
                        <w:t xml:space="preserve"> entité </w:t>
                      </w:r>
                      <w:r w:rsidR="00A3034F" w:rsidRPr="00240730">
                        <w:rPr>
                          <w:rFonts w:asciiTheme="minorHAnsi" w:hAnsiTheme="minorHAnsi" w:cstheme="minorHAnsi"/>
                          <w:sz w:val="20"/>
                          <w:szCs w:val="20"/>
                          <w:lang w:val="fr-CA"/>
                        </w:rPr>
                        <w:t>privée</w:t>
                      </w:r>
                      <w:r w:rsidR="00240730" w:rsidRPr="00240730">
                        <w:rPr>
                          <w:rFonts w:asciiTheme="minorHAnsi" w:hAnsiTheme="minorHAnsi" w:cstheme="minorHAnsi"/>
                          <w:sz w:val="20"/>
                          <w:szCs w:val="20"/>
                          <w:lang w:val="fr-CA"/>
                        </w:rPr>
                        <w:t>, autre</w:t>
                      </w:r>
                    </w:p>
                    <w:p w14:paraId="5738EBEF" w14:textId="0E2E840F" w:rsidR="00A02293" w:rsidRPr="00240730" w:rsidRDefault="00C04BD5" w:rsidP="00240730">
                      <w:pPr>
                        <w:spacing w:after="0"/>
                        <w:rPr>
                          <w:rFonts w:asciiTheme="minorHAnsi" w:hAnsiTheme="minorHAnsi" w:cstheme="minorHAnsi"/>
                          <w:sz w:val="20"/>
                          <w:szCs w:val="20"/>
                          <w:lang w:val="fr-CA"/>
                        </w:rPr>
                      </w:pPr>
                      <w:r w:rsidRPr="00240730">
                        <w:rPr>
                          <w:rFonts w:asciiTheme="minorHAnsi" w:hAnsiTheme="minorHAnsi" w:cstheme="minorHAnsi"/>
                          <w:sz w:val="20"/>
                          <w:szCs w:val="20"/>
                          <w:lang w:val="fr-CA"/>
                        </w:rPr>
                        <w:t>Sous-type</w:t>
                      </w:r>
                      <w:r w:rsidR="00A02293" w:rsidRPr="00240730">
                        <w:rPr>
                          <w:rFonts w:asciiTheme="minorHAnsi" w:hAnsiTheme="minorHAnsi" w:cstheme="minorHAnsi"/>
                          <w:sz w:val="20"/>
                          <w:szCs w:val="20"/>
                          <w:lang w:val="fr-CA"/>
                        </w:rPr>
                        <w:t> :</w:t>
                      </w:r>
                      <w:r w:rsidR="00240730">
                        <w:rPr>
                          <w:rFonts w:asciiTheme="minorHAnsi" w:hAnsiTheme="minorHAnsi" w:cstheme="minorHAnsi"/>
                          <w:sz w:val="20"/>
                          <w:szCs w:val="20"/>
                          <w:lang w:val="fr-CA"/>
                        </w:rPr>
                        <w:t xml:space="preserve"> </w:t>
                      </w:r>
                      <w:r w:rsidR="00B079F8">
                        <w:rPr>
                          <w:rFonts w:asciiTheme="minorHAnsi" w:hAnsiTheme="minorHAnsi" w:cstheme="minorHAnsi"/>
                          <w:sz w:val="20"/>
                          <w:szCs w:val="20"/>
                          <w:lang w:val="fr-CA"/>
                        </w:rPr>
                        <w:t xml:space="preserve">ex. CLD, CARG, </w:t>
                      </w:r>
                      <w:r w:rsidR="00A3034F">
                        <w:rPr>
                          <w:rFonts w:asciiTheme="minorHAnsi" w:hAnsiTheme="minorHAnsi" w:cstheme="minorHAnsi"/>
                          <w:sz w:val="20"/>
                          <w:szCs w:val="20"/>
                          <w:lang w:val="fr-CA"/>
                        </w:rPr>
                        <w:t>coopérative, bureau d’étude, etc.</w:t>
                      </w:r>
                    </w:p>
                  </w:txbxContent>
                </v:textbox>
                <w10:wrap type="square"/>
              </v:shape>
            </w:pict>
          </mc:Fallback>
        </mc:AlternateContent>
      </w:r>
    </w:p>
    <w:p w14:paraId="30CDEC8F" w14:textId="5F432E9C" w:rsidR="00C13FD5" w:rsidRPr="00C345C4" w:rsidRDefault="00C13FD5" w:rsidP="00E416CC">
      <w:pPr>
        <w:rPr>
          <w:rFonts w:ascii="Avenir Next LT Pro" w:hAnsi="Avenir Next LT Pro"/>
          <w:lang w:eastAsia="fr-FR"/>
        </w:rPr>
      </w:pPr>
    </w:p>
    <w:p w14:paraId="0BC354A0" w14:textId="77777777" w:rsidR="003A4091" w:rsidRDefault="003A4091" w:rsidP="003A4091">
      <w:pPr>
        <w:spacing w:after="120"/>
        <w:jc w:val="both"/>
        <w:rPr>
          <w:rFonts w:ascii="Avenir Next LT Pro" w:hAnsi="Avenir Next LT Pro"/>
          <w:sz w:val="20"/>
          <w:szCs w:val="20"/>
          <w:highlight w:val="yellow"/>
          <w:lang w:eastAsia="fr-FR"/>
        </w:rPr>
      </w:pPr>
    </w:p>
    <w:p w14:paraId="51E63057" w14:textId="6E82BB3F" w:rsidR="00FB7BE6" w:rsidRDefault="00631B81" w:rsidP="003A4091">
      <w:pPr>
        <w:spacing w:after="120"/>
        <w:jc w:val="both"/>
        <w:rPr>
          <w:rFonts w:ascii="Avenir Next LT Pro" w:hAnsi="Avenir Next LT Pro"/>
          <w:sz w:val="20"/>
          <w:szCs w:val="20"/>
          <w:highlight w:val="yellow"/>
          <w:lang w:eastAsia="fr-FR"/>
        </w:rPr>
      </w:pPr>
      <w:r>
        <w:rPr>
          <w:noProof/>
        </w:rPr>
        <mc:AlternateContent>
          <mc:Choice Requires="wpg">
            <w:drawing>
              <wp:anchor distT="0" distB="0" distL="114300" distR="114300" simplePos="0" relativeHeight="251664896" behindDoc="0" locked="0" layoutInCell="1" allowOverlap="1" wp14:anchorId="6B821DE3" wp14:editId="2787491F">
                <wp:simplePos x="0" y="0"/>
                <wp:positionH relativeFrom="column">
                  <wp:posOffset>144001</wp:posOffset>
                </wp:positionH>
                <wp:positionV relativeFrom="paragraph">
                  <wp:posOffset>9944</wp:posOffset>
                </wp:positionV>
                <wp:extent cx="8307124" cy="5374257"/>
                <wp:effectExtent l="0" t="0" r="17780" b="1714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07124" cy="5374257"/>
                          <a:chOff x="2009775" y="0"/>
                          <a:chExt cx="7600469" cy="5738675"/>
                        </a:xfrm>
                      </wpg:grpSpPr>
                      <wps:wsp>
                        <wps:cNvPr id="30" name="Text Box 2"/>
                        <wps:cNvSpPr txBox="1"/>
                        <wps:spPr>
                          <a:xfrm>
                            <a:off x="2009775" y="2152084"/>
                            <a:ext cx="1676400" cy="1152064"/>
                          </a:xfrm>
                          <a:prstGeom prst="rect">
                            <a:avLst/>
                          </a:prstGeom>
                          <a:solidFill>
                            <a:sysClr val="window" lastClr="FFFFFF"/>
                          </a:solidFill>
                          <a:ln w="6350">
                            <a:solidFill>
                              <a:prstClr val="black"/>
                            </a:solidFill>
                          </a:ln>
                        </wps:spPr>
                        <wps:txbx>
                          <w:txbxContent>
                            <w:p w14:paraId="0CD98F97" w14:textId="77777777" w:rsidR="00FB7BE6" w:rsidRPr="0075114F" w:rsidRDefault="00FB7BE6" w:rsidP="00FB7BE6">
                              <w:pPr>
                                <w:spacing w:after="0" w:line="257" w:lineRule="auto"/>
                                <w:rPr>
                                  <w:b/>
                                  <w:bCs/>
                                  <w:sz w:val="20"/>
                                  <w:szCs w:val="20"/>
                                  <w:lang w:val="fr-CA"/>
                                </w:rPr>
                              </w:pPr>
                              <w:r w:rsidRPr="0075114F">
                                <w:rPr>
                                  <w:b/>
                                  <w:bCs/>
                                  <w:sz w:val="20"/>
                                  <w:szCs w:val="20"/>
                                  <w:lang w:val="fr-CA"/>
                                </w:rPr>
                                <w:t xml:space="preserve">Niveau 1 </w:t>
                              </w:r>
                            </w:p>
                            <w:p w14:paraId="11665BB7" w14:textId="77777777" w:rsidR="00FB7BE6" w:rsidRPr="0075114F" w:rsidRDefault="00FB7BE6" w:rsidP="00FB7BE6">
                              <w:pPr>
                                <w:spacing w:after="0" w:line="257" w:lineRule="auto"/>
                                <w:rPr>
                                  <w:sz w:val="20"/>
                                  <w:szCs w:val="20"/>
                                  <w:lang w:val="fr-CA"/>
                                </w:rPr>
                              </w:pPr>
                              <w:r w:rsidRPr="0075114F">
                                <w:rPr>
                                  <w:sz w:val="20"/>
                                  <w:szCs w:val="20"/>
                                  <w:lang w:val="fr-CA"/>
                                </w:rPr>
                                <w:t>Nom : PNUD</w:t>
                              </w:r>
                            </w:p>
                            <w:p w14:paraId="1ED93660" w14:textId="77777777" w:rsidR="00FB7BE6" w:rsidRPr="0075114F" w:rsidRDefault="00FB7BE6" w:rsidP="00FB7BE6">
                              <w:pPr>
                                <w:spacing w:after="0" w:line="257" w:lineRule="auto"/>
                                <w:rPr>
                                  <w:sz w:val="20"/>
                                  <w:szCs w:val="20"/>
                                  <w:lang w:val="fr-CA"/>
                                </w:rPr>
                              </w:pPr>
                              <w:r w:rsidRPr="0075114F">
                                <w:rPr>
                                  <w:sz w:val="20"/>
                                  <w:szCs w:val="20"/>
                                  <w:lang w:val="fr-CA"/>
                                </w:rPr>
                                <w:t>Type : Institution International Multilatérale</w:t>
                              </w:r>
                            </w:p>
                            <w:p w14:paraId="0E07D1E0" w14:textId="77777777" w:rsidR="00FB7BE6" w:rsidRPr="0075114F" w:rsidRDefault="00FB7BE6" w:rsidP="00FB7BE6">
                              <w:pPr>
                                <w:spacing w:after="0" w:line="257" w:lineRule="auto"/>
                                <w:rPr>
                                  <w:sz w:val="20"/>
                                  <w:szCs w:val="20"/>
                                  <w:lang w:val="fr-CA"/>
                                </w:rPr>
                              </w:pPr>
                              <w:r w:rsidRPr="0075114F">
                                <w:rPr>
                                  <w:sz w:val="20"/>
                                  <w:szCs w:val="20"/>
                                  <w:lang w:val="fr-CA"/>
                                </w:rPr>
                                <w:t>Budget (USD) : 3,100,000</w:t>
                              </w:r>
                            </w:p>
                            <w:p w14:paraId="5D0B3F69" w14:textId="77777777" w:rsidR="00FB7BE6" w:rsidRPr="0075114F" w:rsidRDefault="00FB7BE6" w:rsidP="00FB7BE6">
                              <w:pPr>
                                <w:spacing w:after="0" w:line="257" w:lineRule="auto"/>
                                <w:jc w:val="center"/>
                                <w:rPr>
                                  <w:sz w:val="20"/>
                                  <w:szCs w:val="20"/>
                                  <w:lang w:val="fr-CA"/>
                                </w:rPr>
                              </w:pPr>
                              <w:r w:rsidRPr="0075114F">
                                <w:rPr>
                                  <w:sz w:val="20"/>
                                  <w:szCs w:val="20"/>
                                  <w:lang w:val="fr-CA"/>
                                </w:rPr>
                                <w:t> </w:t>
                              </w:r>
                            </w:p>
                            <w:p w14:paraId="138C9276" w14:textId="77777777" w:rsidR="00FB7BE6" w:rsidRPr="0075114F" w:rsidRDefault="00FB7BE6" w:rsidP="00FB7BE6">
                              <w:pPr>
                                <w:spacing w:after="0" w:line="257" w:lineRule="auto"/>
                                <w:jc w:val="center"/>
                                <w:rPr>
                                  <w:sz w:val="20"/>
                                  <w:szCs w:val="20"/>
                                  <w:lang w:val="fr-CA"/>
                                </w:rPr>
                              </w:pPr>
                              <w:r w:rsidRPr="0075114F">
                                <w:rPr>
                                  <w:sz w:val="20"/>
                                  <w:szCs w:val="20"/>
                                  <w:lang w:val="fr-CA"/>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4276572" y="3495288"/>
                            <a:ext cx="2371725" cy="1400020"/>
                          </a:xfrm>
                          <a:prstGeom prst="rect">
                            <a:avLst/>
                          </a:prstGeom>
                          <a:solidFill>
                            <a:sysClr val="window" lastClr="FFFFFF"/>
                          </a:solidFill>
                          <a:ln w="6350">
                            <a:solidFill>
                              <a:prstClr val="black"/>
                            </a:solidFill>
                          </a:ln>
                        </wps:spPr>
                        <wps:txbx>
                          <w:txbxContent>
                            <w:p w14:paraId="12DB8140"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2 </w:t>
                              </w:r>
                            </w:p>
                            <w:p w14:paraId="09FA3990" w14:textId="77777777" w:rsidR="00FB7BE6" w:rsidRPr="0075114F" w:rsidRDefault="00FB7BE6" w:rsidP="00FB7BE6">
                              <w:pPr>
                                <w:spacing w:after="0" w:line="256" w:lineRule="auto"/>
                                <w:rPr>
                                  <w:sz w:val="20"/>
                                  <w:szCs w:val="20"/>
                                  <w:lang w:val="fr-CA"/>
                                </w:rPr>
                              </w:pPr>
                              <w:r w:rsidRPr="0075114F">
                                <w:rPr>
                                  <w:sz w:val="20"/>
                                  <w:szCs w:val="20"/>
                                  <w:lang w:val="fr-CA"/>
                                </w:rPr>
                                <w:t>Nom : Ministère des Finances</w:t>
                              </w:r>
                            </w:p>
                            <w:p w14:paraId="5F7EFD76"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25CE81E5"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w:t>
                              </w:r>
                            </w:p>
                            <w:p w14:paraId="5952CD5E" w14:textId="6BF285E6" w:rsidR="00FB7BE6" w:rsidRPr="0075114F" w:rsidRDefault="00FB7BE6" w:rsidP="00FB7BE6">
                              <w:pPr>
                                <w:spacing w:after="0" w:line="256" w:lineRule="auto"/>
                                <w:rPr>
                                  <w:sz w:val="20"/>
                                  <w:szCs w:val="20"/>
                                  <w:lang w:val="fr-CA"/>
                                </w:rPr>
                              </w:pPr>
                              <w:r w:rsidRPr="0075114F">
                                <w:rPr>
                                  <w:sz w:val="20"/>
                                  <w:szCs w:val="20"/>
                                  <w:lang w:val="fr-CA"/>
                                </w:rPr>
                                <w:t>Modalité contractuelle (LOA, Contrat de prestation</w:t>
                              </w:r>
                              <w:r w:rsidR="001D6859">
                                <w:rPr>
                                  <w:sz w:val="20"/>
                                  <w:szCs w:val="20"/>
                                  <w:lang w:val="fr-CA"/>
                                </w:rPr>
                                <w:t xml:space="preserve"> le cas échéant</w:t>
                              </w:r>
                              <w:r w:rsidRPr="0075114F">
                                <w:rPr>
                                  <w:sz w:val="20"/>
                                  <w:szCs w:val="20"/>
                                  <w:lang w:val="fr-CA"/>
                                </w:rPr>
                                <w:t>) </w:t>
                              </w:r>
                            </w:p>
                            <w:p w14:paraId="589D8802" w14:textId="77777777" w:rsidR="00FB7BE6" w:rsidRPr="0075114F" w:rsidRDefault="00FB7BE6" w:rsidP="00FB7BE6">
                              <w:pPr>
                                <w:spacing w:after="0" w:line="256" w:lineRule="auto"/>
                                <w:rPr>
                                  <w:sz w:val="20"/>
                                  <w:szCs w:val="20"/>
                                  <w:lang w:val="fr-CA"/>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4247998" y="1257159"/>
                            <a:ext cx="2400301" cy="1535285"/>
                          </a:xfrm>
                          <a:prstGeom prst="rect">
                            <a:avLst/>
                          </a:prstGeom>
                          <a:solidFill>
                            <a:sysClr val="window" lastClr="FFFFFF"/>
                          </a:solidFill>
                          <a:ln w="6350">
                            <a:solidFill>
                              <a:prstClr val="black"/>
                            </a:solidFill>
                          </a:ln>
                        </wps:spPr>
                        <wps:txbx>
                          <w:txbxContent>
                            <w:p w14:paraId="2E778E0B"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2 </w:t>
                              </w:r>
                            </w:p>
                            <w:p w14:paraId="3B910341" w14:textId="77777777" w:rsidR="00FB7BE6" w:rsidRPr="0075114F" w:rsidRDefault="00FB7BE6" w:rsidP="00FB7BE6">
                              <w:pPr>
                                <w:spacing w:after="0" w:line="256" w:lineRule="auto"/>
                                <w:rPr>
                                  <w:sz w:val="20"/>
                                  <w:szCs w:val="20"/>
                                  <w:lang w:val="fr-CA"/>
                                </w:rPr>
                              </w:pPr>
                              <w:r w:rsidRPr="0075114F">
                                <w:rPr>
                                  <w:sz w:val="20"/>
                                  <w:szCs w:val="20"/>
                                  <w:lang w:val="fr-CA"/>
                                </w:rPr>
                                <w:t>Nom : Ministère de l’Environnement et Développement Durable (MEDD)</w:t>
                              </w:r>
                            </w:p>
                            <w:p w14:paraId="4536A47D"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2E86267F" w14:textId="14D0C640" w:rsidR="00FB7BE6" w:rsidRPr="0075114F" w:rsidRDefault="00FB7BE6" w:rsidP="00FB7BE6">
                              <w:pPr>
                                <w:spacing w:after="0" w:line="256" w:lineRule="auto"/>
                                <w:rPr>
                                  <w:sz w:val="20"/>
                                  <w:szCs w:val="20"/>
                                  <w:lang w:val="fr-CA"/>
                                </w:rPr>
                              </w:pPr>
                              <w:r w:rsidRPr="0075114F">
                                <w:rPr>
                                  <w:sz w:val="20"/>
                                  <w:szCs w:val="20"/>
                                  <w:lang w:val="fr-CA"/>
                                </w:rPr>
                                <w:t>Modalité contractuelle (LOA, Contrat de prestation</w:t>
                              </w:r>
                              <w:r w:rsidR="001D6859">
                                <w:rPr>
                                  <w:sz w:val="20"/>
                                  <w:szCs w:val="20"/>
                                  <w:lang w:val="fr-CA"/>
                                </w:rPr>
                                <w:t xml:space="preserve"> le cas échéant</w:t>
                              </w:r>
                              <w:r w:rsidRPr="0075114F">
                                <w:rPr>
                                  <w:sz w:val="20"/>
                                  <w:szCs w:val="20"/>
                                  <w:lang w:val="fr-CA"/>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 name="Text Box 33"/>
                        <wps:cNvSpPr txBox="1"/>
                        <wps:spPr>
                          <a:xfrm>
                            <a:off x="7133880" y="0"/>
                            <a:ext cx="2428875" cy="1400020"/>
                          </a:xfrm>
                          <a:prstGeom prst="rect">
                            <a:avLst/>
                          </a:prstGeom>
                          <a:solidFill>
                            <a:sysClr val="window" lastClr="FFFFFF"/>
                          </a:solidFill>
                          <a:ln w="6350">
                            <a:solidFill>
                              <a:prstClr val="black"/>
                            </a:solidFill>
                          </a:ln>
                        </wps:spPr>
                        <wps:txbx>
                          <w:txbxContent>
                            <w:p w14:paraId="6B7F98E5"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19198354" w14:textId="77777777" w:rsidR="00FB7BE6" w:rsidRPr="0075114F" w:rsidRDefault="00FB7BE6" w:rsidP="00FB7BE6">
                              <w:pPr>
                                <w:spacing w:after="0" w:line="256" w:lineRule="auto"/>
                                <w:rPr>
                                  <w:sz w:val="20"/>
                                  <w:szCs w:val="20"/>
                                  <w:lang w:val="fr-CA"/>
                                </w:rPr>
                              </w:pPr>
                              <w:r w:rsidRPr="0075114F">
                                <w:rPr>
                                  <w:sz w:val="20"/>
                                  <w:szCs w:val="20"/>
                                  <w:lang w:val="fr-CA"/>
                                </w:rPr>
                                <w:t>Nom : Direction du Développement Durable (DDD)</w:t>
                              </w:r>
                            </w:p>
                            <w:p w14:paraId="02CFE3FE"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7C6A3CC5" w14:textId="77777777" w:rsidR="00FB7BE6" w:rsidRPr="0075114F" w:rsidRDefault="00FB7BE6" w:rsidP="00FB7BE6">
                              <w:pPr>
                                <w:spacing w:after="0" w:line="256" w:lineRule="auto"/>
                                <w:rPr>
                                  <w:sz w:val="20"/>
                                  <w:szCs w:val="20"/>
                                  <w:lang w:val="fr-CA"/>
                                </w:rPr>
                              </w:pPr>
                              <w:r w:rsidRPr="0075114F">
                                <w:rPr>
                                  <w:sz w:val="20"/>
                                  <w:szCs w:val="20"/>
                                  <w:lang w:val="fr-CA"/>
                                </w:rPr>
                                <w:t>Sous-type : Direction</w:t>
                              </w:r>
                            </w:p>
                            <w:p w14:paraId="2949AFAD" w14:textId="77777777" w:rsidR="00FB7BE6" w:rsidRPr="0075114F" w:rsidRDefault="00FB7BE6" w:rsidP="00FB7BE6">
                              <w:pPr>
                                <w:spacing w:after="0" w:line="256" w:lineRule="auto"/>
                                <w:rPr>
                                  <w:sz w:val="20"/>
                                  <w:szCs w:val="20"/>
                                  <w:lang w:val="fr-CA"/>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 name="Text Box 34"/>
                        <wps:cNvSpPr txBox="1"/>
                        <wps:spPr>
                          <a:xfrm>
                            <a:off x="7181369" y="4580193"/>
                            <a:ext cx="2428875" cy="1158482"/>
                          </a:xfrm>
                          <a:prstGeom prst="rect">
                            <a:avLst/>
                          </a:prstGeom>
                          <a:solidFill>
                            <a:sysClr val="window" lastClr="FFFFFF"/>
                          </a:solidFill>
                          <a:ln w="6350">
                            <a:solidFill>
                              <a:prstClr val="black"/>
                            </a:solidFill>
                          </a:ln>
                        </wps:spPr>
                        <wps:txbx>
                          <w:txbxContent>
                            <w:p w14:paraId="0AE54F20"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1A1938D9" w14:textId="77777777" w:rsidR="00FB7BE6" w:rsidRPr="0075114F" w:rsidRDefault="00FB7BE6" w:rsidP="00FB7BE6">
                              <w:pPr>
                                <w:spacing w:after="0" w:line="256" w:lineRule="auto"/>
                                <w:rPr>
                                  <w:sz w:val="20"/>
                                  <w:szCs w:val="20"/>
                                  <w:lang w:val="fr-CA"/>
                                </w:rPr>
                              </w:pPr>
                              <w:r w:rsidRPr="0075114F">
                                <w:rPr>
                                  <w:sz w:val="20"/>
                                  <w:szCs w:val="20"/>
                                  <w:lang w:val="fr-CA"/>
                                </w:rPr>
                                <w:t>Nom</w:t>
                              </w:r>
                            </w:p>
                            <w:p w14:paraId="54A6957A"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w:t>
                              </w:r>
                            </w:p>
                            <w:p w14:paraId="15C14F73"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w:t>
                              </w:r>
                            </w:p>
                            <w:p w14:paraId="3411B85C" w14:textId="77777777" w:rsidR="00FB7BE6" w:rsidRPr="0075114F" w:rsidRDefault="00FB7BE6" w:rsidP="00FB7BE6">
                              <w:pPr>
                                <w:spacing w:after="0" w:line="256" w:lineRule="auto"/>
                                <w:rPr>
                                  <w:sz w:val="20"/>
                                  <w:szCs w:val="20"/>
                                  <w:lang w:val="fr-CA"/>
                                </w:rPr>
                              </w:pPr>
                              <w:r w:rsidRPr="0075114F">
                                <w:rPr>
                                  <w:sz w:val="20"/>
                                  <w:szCs w:val="20"/>
                                  <w:lang w:val="fr-CA"/>
                                </w:rPr>
                                <w:t>Budget</w:t>
                              </w:r>
                            </w:p>
                            <w:p w14:paraId="26DA6323" w14:textId="77777777" w:rsidR="00FB7BE6" w:rsidRPr="0075114F" w:rsidRDefault="00FB7BE6" w:rsidP="00FB7BE6">
                              <w:pPr>
                                <w:spacing w:after="0" w:line="256" w:lineRule="auto"/>
                                <w:rPr>
                                  <w:sz w:val="20"/>
                                  <w:szCs w:val="20"/>
                                  <w:lang w:val="fr-CA"/>
                                </w:rPr>
                              </w:pPr>
                              <w:r w:rsidRPr="0075114F">
                                <w:rPr>
                                  <w:sz w:val="20"/>
                                  <w:szCs w:val="20"/>
                                  <w:lang w:val="fr-CA"/>
                                </w:rPr>
                                <w:t>Modalité contractuelle</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36" name="Group 36"/>
                        <wpg:cNvGrpSpPr/>
                        <wpg:grpSpPr>
                          <a:xfrm>
                            <a:off x="3686175" y="1809750"/>
                            <a:ext cx="590550" cy="2190750"/>
                            <a:chOff x="3686175" y="1809750"/>
                            <a:chExt cx="590550" cy="2190750"/>
                          </a:xfrm>
                        </wpg:grpSpPr>
                        <wps:wsp>
                          <wps:cNvPr id="37" name="Straight Connector 37"/>
                          <wps:cNvCnPr/>
                          <wps:spPr>
                            <a:xfrm>
                              <a:off x="3686175" y="2724150"/>
                              <a:ext cx="285750" cy="0"/>
                            </a:xfrm>
                            <a:prstGeom prst="line">
                              <a:avLst/>
                            </a:prstGeom>
                            <a:noFill/>
                            <a:ln w="6350" cap="flat" cmpd="sng" algn="ctr">
                              <a:solidFill>
                                <a:srgbClr val="549E39"/>
                              </a:solidFill>
                              <a:prstDash val="solid"/>
                              <a:miter lim="800000"/>
                            </a:ln>
                            <a:effectLst/>
                          </wps:spPr>
                          <wps:bodyPr/>
                        </wps:wsp>
                        <wps:wsp>
                          <wps:cNvPr id="38" name="Straight Connector 38"/>
                          <wps:cNvCnPr/>
                          <wps:spPr>
                            <a:xfrm>
                              <a:off x="3971925" y="1809750"/>
                              <a:ext cx="0" cy="2190750"/>
                            </a:xfrm>
                            <a:prstGeom prst="line">
                              <a:avLst/>
                            </a:prstGeom>
                            <a:noFill/>
                            <a:ln w="6350" cap="flat" cmpd="sng" algn="ctr">
                              <a:solidFill>
                                <a:srgbClr val="549E39"/>
                              </a:solidFill>
                              <a:prstDash val="solid"/>
                              <a:miter lim="800000"/>
                            </a:ln>
                            <a:effectLst/>
                          </wps:spPr>
                          <wps:bodyPr/>
                        </wps:wsp>
                        <wps:wsp>
                          <wps:cNvPr id="39" name="Straight Arrow Connector 39"/>
                          <wps:cNvCnPr/>
                          <wps:spPr>
                            <a:xfrm>
                              <a:off x="3971925" y="1809750"/>
                              <a:ext cx="276225" cy="0"/>
                            </a:xfrm>
                            <a:prstGeom prst="straightConnector1">
                              <a:avLst/>
                            </a:prstGeom>
                            <a:noFill/>
                            <a:ln w="6350" cap="flat" cmpd="sng" algn="ctr">
                              <a:solidFill>
                                <a:srgbClr val="549E39"/>
                              </a:solidFill>
                              <a:prstDash val="solid"/>
                              <a:miter lim="800000"/>
                              <a:tailEnd type="triangle"/>
                            </a:ln>
                            <a:effectLst/>
                          </wps:spPr>
                          <wps:bodyPr/>
                        </wps:wsp>
                        <wps:wsp>
                          <wps:cNvPr id="40" name="Straight Arrow Connector 40"/>
                          <wps:cNvCnPr/>
                          <wps:spPr>
                            <a:xfrm>
                              <a:off x="3971925" y="4000500"/>
                              <a:ext cx="304800" cy="0"/>
                            </a:xfrm>
                            <a:prstGeom prst="straightConnector1">
                              <a:avLst/>
                            </a:prstGeom>
                            <a:noFill/>
                            <a:ln w="6350" cap="flat" cmpd="sng" algn="ctr">
                              <a:solidFill>
                                <a:srgbClr val="549E39"/>
                              </a:solidFill>
                              <a:prstDash val="solid"/>
                              <a:miter lim="800000"/>
                              <a:tailEnd type="triangle"/>
                            </a:ln>
                            <a:effectLst/>
                          </wps:spPr>
                          <wps:bodyPr/>
                        </wps:wsp>
                      </wpg:grpSp>
                      <wps:wsp>
                        <wps:cNvPr id="41" name="Text Box 20"/>
                        <wps:cNvSpPr txBox="1"/>
                        <wps:spPr>
                          <a:xfrm>
                            <a:off x="7152928" y="1457164"/>
                            <a:ext cx="2409825" cy="1400020"/>
                          </a:xfrm>
                          <a:prstGeom prst="rect">
                            <a:avLst/>
                          </a:prstGeom>
                          <a:solidFill>
                            <a:sysClr val="window" lastClr="FFFFFF"/>
                          </a:solidFill>
                          <a:ln w="6350">
                            <a:solidFill>
                              <a:prstClr val="black"/>
                            </a:solidFill>
                          </a:ln>
                        </wps:spPr>
                        <wps:txbx>
                          <w:txbxContent>
                            <w:p w14:paraId="2319F4A8"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35CB9AB0" w14:textId="77777777" w:rsidR="00FB7BE6" w:rsidRPr="0075114F" w:rsidRDefault="00FB7BE6" w:rsidP="00FB7BE6">
                              <w:pPr>
                                <w:spacing w:after="0" w:line="256" w:lineRule="auto"/>
                                <w:rPr>
                                  <w:sz w:val="20"/>
                                  <w:szCs w:val="20"/>
                                  <w:lang w:val="fr-CA"/>
                                </w:rPr>
                              </w:pPr>
                              <w:r w:rsidRPr="0075114F">
                                <w:rPr>
                                  <w:sz w:val="20"/>
                                  <w:szCs w:val="20"/>
                                  <w:lang w:val="fr-CA"/>
                                </w:rPr>
                                <w:t>Nom : Autorité de Régulation du Mrché du Carbone (ARMCA)</w:t>
                              </w:r>
                            </w:p>
                            <w:p w14:paraId="5EFA1A9E"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3BDC0095"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 Autorité  </w:t>
                              </w:r>
                            </w:p>
                            <w:p w14:paraId="1904D00E" w14:textId="2852502E" w:rsidR="00FB7BE6" w:rsidRPr="0075114F" w:rsidRDefault="00FB7BE6" w:rsidP="00FB7BE6">
                              <w:pPr>
                                <w:spacing w:after="0" w:line="256" w:lineRule="auto"/>
                                <w:rPr>
                                  <w:sz w:val="20"/>
                                  <w:szCs w:val="20"/>
                                  <w:lang w:val="fr-CA"/>
                                </w:rPr>
                              </w:pPr>
                              <w:r w:rsidRPr="0075114F">
                                <w:rPr>
                                  <w:sz w:val="20"/>
                                  <w:szCs w:val="20"/>
                                  <w:lang w:val="fr-CA"/>
                                </w:rPr>
                                <w:t xml:space="preserve">Modalité contractuelle : </w:t>
                              </w:r>
                              <w:r w:rsidR="009E4DFD">
                                <w:rPr>
                                  <w:sz w:val="20"/>
                                  <w:szCs w:val="20"/>
                                  <w:lang w:val="fr-CA"/>
                                </w:rPr>
                                <w:t>RP</w:t>
                              </w:r>
                              <w:r w:rsidR="009E4DFD" w:rsidRPr="0075114F">
                                <w:rPr>
                                  <w:sz w:val="20"/>
                                  <w:szCs w:val="20"/>
                                  <w:lang w:val="fr-CA"/>
                                </w:rPr>
                                <w:t xml:space="preserve"> </w:t>
                              </w:r>
                            </w:p>
                            <w:p w14:paraId="68AE75AA" w14:textId="77777777" w:rsidR="00FB7BE6" w:rsidRPr="0075114F" w:rsidRDefault="00FB7BE6" w:rsidP="00FB7BE6">
                              <w:pPr>
                                <w:spacing w:after="0" w:line="256" w:lineRule="auto"/>
                                <w:rPr>
                                  <w:sz w:val="20"/>
                                  <w:szCs w:val="20"/>
                                  <w:lang w:val="fr-CA"/>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42" name="Group 42"/>
                        <wpg:cNvGrpSpPr/>
                        <wpg:grpSpPr>
                          <a:xfrm>
                            <a:off x="6648450" y="466725"/>
                            <a:ext cx="504825" cy="2190750"/>
                            <a:chOff x="6648450" y="466725"/>
                            <a:chExt cx="590550" cy="2190750"/>
                          </a:xfrm>
                        </wpg:grpSpPr>
                        <wps:wsp>
                          <wps:cNvPr id="43" name="Straight Connector 43"/>
                          <wps:cNvCnPr/>
                          <wps:spPr>
                            <a:xfrm>
                              <a:off x="6648450" y="2063275"/>
                              <a:ext cx="285750" cy="0"/>
                            </a:xfrm>
                            <a:prstGeom prst="line">
                              <a:avLst/>
                            </a:prstGeom>
                            <a:noFill/>
                            <a:ln w="6350" cap="flat" cmpd="sng" algn="ctr">
                              <a:solidFill>
                                <a:srgbClr val="549E39"/>
                              </a:solidFill>
                              <a:prstDash val="solid"/>
                              <a:miter lim="800000"/>
                            </a:ln>
                            <a:effectLst/>
                          </wps:spPr>
                          <wps:bodyPr/>
                        </wps:wsp>
                        <wps:wsp>
                          <wps:cNvPr id="44" name="Straight Connector 44"/>
                          <wps:cNvCnPr/>
                          <wps:spPr>
                            <a:xfrm>
                              <a:off x="6934200" y="466725"/>
                              <a:ext cx="0" cy="2190750"/>
                            </a:xfrm>
                            <a:prstGeom prst="line">
                              <a:avLst/>
                            </a:prstGeom>
                            <a:noFill/>
                            <a:ln w="6350" cap="flat" cmpd="sng" algn="ctr">
                              <a:solidFill>
                                <a:srgbClr val="549E39"/>
                              </a:solidFill>
                              <a:prstDash val="solid"/>
                              <a:miter lim="800000"/>
                            </a:ln>
                            <a:effectLst/>
                          </wps:spPr>
                          <wps:bodyPr/>
                        </wps:wsp>
                        <wps:wsp>
                          <wps:cNvPr id="45" name="Straight Arrow Connector 45"/>
                          <wps:cNvCnPr/>
                          <wps:spPr>
                            <a:xfrm>
                              <a:off x="6934200" y="466725"/>
                              <a:ext cx="276225" cy="0"/>
                            </a:xfrm>
                            <a:prstGeom prst="straightConnector1">
                              <a:avLst/>
                            </a:prstGeom>
                            <a:noFill/>
                            <a:ln w="6350" cap="flat" cmpd="sng" algn="ctr">
                              <a:solidFill>
                                <a:srgbClr val="549E39"/>
                              </a:solidFill>
                              <a:prstDash val="solid"/>
                              <a:miter lim="800000"/>
                              <a:tailEnd type="triangle"/>
                            </a:ln>
                            <a:effectLst/>
                          </wps:spPr>
                          <wps:bodyPr/>
                        </wps:wsp>
                        <wps:wsp>
                          <wps:cNvPr id="46" name="Straight Arrow Connector 46"/>
                          <wps:cNvCnPr/>
                          <wps:spPr>
                            <a:xfrm>
                              <a:off x="6934200" y="2657475"/>
                              <a:ext cx="304800" cy="0"/>
                            </a:xfrm>
                            <a:prstGeom prst="straightConnector1">
                              <a:avLst/>
                            </a:prstGeom>
                            <a:noFill/>
                            <a:ln w="6350" cap="flat" cmpd="sng" algn="ctr">
                              <a:solidFill>
                                <a:srgbClr val="549E39"/>
                              </a:solidFill>
                              <a:prstDash val="solid"/>
                              <a:miter lim="800000"/>
                              <a:tailEnd type="triangle"/>
                            </a:ln>
                            <a:effectLst/>
                          </wps:spPr>
                          <wps:bodyPr/>
                        </wps:wsp>
                      </wpg:grpSp>
                      <wps:wsp>
                        <wps:cNvPr id="47" name="Text Box 27"/>
                        <wps:cNvSpPr txBox="1"/>
                        <wps:spPr>
                          <a:xfrm>
                            <a:off x="7152928" y="3047662"/>
                            <a:ext cx="2428875" cy="1400020"/>
                          </a:xfrm>
                          <a:prstGeom prst="rect">
                            <a:avLst/>
                          </a:prstGeom>
                          <a:solidFill>
                            <a:sysClr val="window" lastClr="FFFFFF"/>
                          </a:solidFill>
                          <a:ln w="6350">
                            <a:solidFill>
                              <a:prstClr val="black"/>
                            </a:solidFill>
                          </a:ln>
                        </wps:spPr>
                        <wps:txbx>
                          <w:txbxContent>
                            <w:p w14:paraId="07E4DDAB"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7218939A" w14:textId="4E2C46A7" w:rsidR="00FB7BE6" w:rsidRPr="0075114F" w:rsidRDefault="00FB7BE6" w:rsidP="00FB7BE6">
                              <w:pPr>
                                <w:spacing w:after="0" w:line="256" w:lineRule="auto"/>
                                <w:rPr>
                                  <w:sz w:val="20"/>
                                  <w:szCs w:val="20"/>
                                  <w:lang w:val="fr-CA"/>
                                </w:rPr>
                              </w:pPr>
                              <w:r w:rsidRPr="0075114F">
                                <w:rPr>
                                  <w:sz w:val="20"/>
                                  <w:szCs w:val="20"/>
                                  <w:lang w:val="fr-CA"/>
                                </w:rPr>
                                <w:t xml:space="preserve">Nom : </w:t>
                              </w:r>
                              <w:r w:rsidR="00631B81" w:rsidRPr="0075114F">
                                <w:rPr>
                                  <w:sz w:val="20"/>
                                  <w:szCs w:val="20"/>
                                  <w:lang w:val="fr-CA"/>
                                </w:rPr>
                                <w:t>En</w:t>
                              </w:r>
                              <w:r w:rsidR="00C642A5" w:rsidRPr="0075114F">
                                <w:rPr>
                                  <w:sz w:val="20"/>
                                  <w:szCs w:val="20"/>
                                  <w:lang w:val="fr-CA"/>
                                </w:rPr>
                                <w:t>tité désignée</w:t>
                              </w:r>
                            </w:p>
                            <w:p w14:paraId="33E37AC6" w14:textId="77777777" w:rsidR="00FB7BE6" w:rsidRPr="0075114F" w:rsidRDefault="00FB7BE6" w:rsidP="00FB7BE6">
                              <w:pPr>
                                <w:spacing w:after="0" w:line="256" w:lineRule="auto"/>
                                <w:rPr>
                                  <w:sz w:val="20"/>
                                  <w:szCs w:val="20"/>
                                  <w:lang w:val="fr-CA"/>
                                </w:rPr>
                              </w:pPr>
                              <w:r w:rsidRPr="0075114F">
                                <w:rPr>
                                  <w:sz w:val="20"/>
                                  <w:szCs w:val="20"/>
                                  <w:lang w:val="fr-CA"/>
                                </w:rPr>
                                <w:t>Type : TBD</w:t>
                              </w:r>
                            </w:p>
                            <w:p w14:paraId="38E9D346"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 TBD </w:t>
                              </w:r>
                            </w:p>
                            <w:p w14:paraId="2635961D" w14:textId="78DAC0C3" w:rsidR="00FB7BE6" w:rsidRPr="0075114F" w:rsidRDefault="00FB7BE6" w:rsidP="00FB7BE6">
                              <w:pPr>
                                <w:spacing w:after="0" w:line="256" w:lineRule="auto"/>
                                <w:rPr>
                                  <w:sz w:val="20"/>
                                  <w:szCs w:val="20"/>
                                  <w:lang w:val="fr-CA"/>
                                </w:rPr>
                              </w:pPr>
                              <w:r w:rsidRPr="0075114F">
                                <w:rPr>
                                  <w:sz w:val="20"/>
                                  <w:szCs w:val="20"/>
                                  <w:lang w:val="fr-CA"/>
                                </w:rPr>
                                <w:t xml:space="preserve">Modalité contractuelle : </w:t>
                              </w:r>
                              <w:r w:rsidR="009E4DFD">
                                <w:rPr>
                                  <w:sz w:val="20"/>
                                  <w:szCs w:val="20"/>
                                  <w:lang w:val="fr-CA"/>
                                </w:rPr>
                                <w:t>RP</w:t>
                              </w:r>
                              <w:r w:rsidR="009E4DFD" w:rsidRPr="0075114F">
                                <w:rPr>
                                  <w:sz w:val="20"/>
                                  <w:szCs w:val="20"/>
                                  <w:lang w:val="fr-CA"/>
                                </w:rPr>
                                <w:t xml:space="preserve"> </w:t>
                              </w:r>
                            </w:p>
                            <w:p w14:paraId="70CC8E5B" w14:textId="77777777" w:rsidR="00FB7BE6" w:rsidRPr="0075114F" w:rsidRDefault="00FB7BE6" w:rsidP="00FB7BE6">
                              <w:pPr>
                                <w:spacing w:after="0" w:line="256" w:lineRule="auto"/>
                                <w:rPr>
                                  <w:sz w:val="20"/>
                                  <w:szCs w:val="20"/>
                                  <w:lang w:val="fr-CA"/>
                                </w:rPr>
                              </w:pP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48" name="Group 48"/>
                        <wpg:cNvGrpSpPr/>
                        <wpg:grpSpPr>
                          <a:xfrm>
                            <a:off x="6667500" y="3419475"/>
                            <a:ext cx="504825" cy="2190750"/>
                            <a:chOff x="6667500" y="3419475"/>
                            <a:chExt cx="590550" cy="2190750"/>
                          </a:xfrm>
                        </wpg:grpSpPr>
                        <wps:wsp>
                          <wps:cNvPr id="49" name="Straight Connector 49"/>
                          <wps:cNvCnPr/>
                          <wps:spPr>
                            <a:xfrm>
                              <a:off x="6667500" y="4242047"/>
                              <a:ext cx="285750" cy="0"/>
                            </a:xfrm>
                            <a:prstGeom prst="line">
                              <a:avLst/>
                            </a:prstGeom>
                            <a:noFill/>
                            <a:ln w="6350" cap="flat" cmpd="sng" algn="ctr">
                              <a:solidFill>
                                <a:srgbClr val="549E39"/>
                              </a:solidFill>
                              <a:prstDash val="solid"/>
                              <a:miter lim="800000"/>
                            </a:ln>
                            <a:effectLst/>
                          </wps:spPr>
                          <wps:bodyPr/>
                        </wps:wsp>
                        <wps:wsp>
                          <wps:cNvPr id="50" name="Straight Connector 50"/>
                          <wps:cNvCnPr/>
                          <wps:spPr>
                            <a:xfrm>
                              <a:off x="6953250" y="3419475"/>
                              <a:ext cx="0" cy="2190750"/>
                            </a:xfrm>
                            <a:prstGeom prst="line">
                              <a:avLst/>
                            </a:prstGeom>
                            <a:noFill/>
                            <a:ln w="6350" cap="flat" cmpd="sng" algn="ctr">
                              <a:solidFill>
                                <a:srgbClr val="549E39"/>
                              </a:solidFill>
                              <a:prstDash val="solid"/>
                              <a:miter lim="800000"/>
                            </a:ln>
                            <a:effectLst/>
                          </wps:spPr>
                          <wps:bodyPr/>
                        </wps:wsp>
                        <wps:wsp>
                          <wps:cNvPr id="51" name="Straight Arrow Connector 51"/>
                          <wps:cNvCnPr/>
                          <wps:spPr>
                            <a:xfrm>
                              <a:off x="6953250" y="3419475"/>
                              <a:ext cx="276225" cy="0"/>
                            </a:xfrm>
                            <a:prstGeom prst="straightConnector1">
                              <a:avLst/>
                            </a:prstGeom>
                            <a:noFill/>
                            <a:ln w="6350" cap="flat" cmpd="sng" algn="ctr">
                              <a:solidFill>
                                <a:srgbClr val="549E39"/>
                              </a:solidFill>
                              <a:prstDash val="solid"/>
                              <a:miter lim="800000"/>
                              <a:tailEnd type="triangle"/>
                            </a:ln>
                            <a:effectLst/>
                          </wps:spPr>
                          <wps:bodyPr/>
                        </wps:wsp>
                        <wps:wsp>
                          <wps:cNvPr id="52" name="Straight Arrow Connector 52"/>
                          <wps:cNvCnPr/>
                          <wps:spPr>
                            <a:xfrm>
                              <a:off x="6953250" y="5610225"/>
                              <a:ext cx="304800" cy="0"/>
                            </a:xfrm>
                            <a:prstGeom prst="straightConnector1">
                              <a:avLst/>
                            </a:prstGeom>
                            <a:noFill/>
                            <a:ln w="6350" cap="flat" cmpd="sng" algn="ctr">
                              <a:solidFill>
                                <a:srgbClr val="549E39"/>
                              </a:solidFill>
                              <a:prstDash val="solid"/>
                              <a:miter lim="800000"/>
                              <a:tailEnd type="triangle"/>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6B821DE3" id="Group 3" o:spid="_x0000_s1064" style="position:absolute;left:0;text-align:left;margin-left:11.35pt;margin-top:.8pt;width:654.1pt;height:423.15pt;z-index:251664896;mso-width-relative:margin;mso-height-relative:margin" coordorigin="20097" coordsize="76004,573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">
                <v:shape id="_x0000_s1065" type="#_x0000_t202" style="position:absolute;left:20097;top:21520;width:16764;height:11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" fillcolor="window" strokeweight=".5pt">
                  <v:textbox>
                    <w:txbxContent>
                      <w:p w14:paraId="0CD98F97" w14:textId="77777777" w:rsidR="00FB7BE6" w:rsidRPr="0075114F" w:rsidRDefault="00FB7BE6" w:rsidP="00FB7BE6">
                        <w:pPr>
                          <w:spacing w:after="0" w:line="257" w:lineRule="auto"/>
                          <w:rPr>
                            <w:b/>
                            <w:bCs/>
                            <w:sz w:val="20"/>
                            <w:szCs w:val="20"/>
                            <w:lang w:val="fr-CA"/>
                          </w:rPr>
                        </w:pPr>
                        <w:r w:rsidRPr="0075114F">
                          <w:rPr>
                            <w:b/>
                            <w:bCs/>
                            <w:sz w:val="20"/>
                            <w:szCs w:val="20"/>
                            <w:lang w:val="fr-CA"/>
                          </w:rPr>
                          <w:t xml:space="preserve">Niveau 1 </w:t>
                        </w:r>
                      </w:p>
                      <w:p w14:paraId="11665BB7" w14:textId="77777777" w:rsidR="00FB7BE6" w:rsidRPr="0075114F" w:rsidRDefault="00FB7BE6" w:rsidP="00FB7BE6">
                        <w:pPr>
                          <w:spacing w:after="0" w:line="257" w:lineRule="auto"/>
                          <w:rPr>
                            <w:sz w:val="20"/>
                            <w:szCs w:val="20"/>
                            <w:lang w:val="fr-CA"/>
                          </w:rPr>
                        </w:pPr>
                        <w:r w:rsidRPr="0075114F">
                          <w:rPr>
                            <w:sz w:val="20"/>
                            <w:szCs w:val="20"/>
                            <w:lang w:val="fr-CA"/>
                          </w:rPr>
                          <w:t>Nom : PNUD</w:t>
                        </w:r>
                      </w:p>
                      <w:p w14:paraId="1ED93660" w14:textId="77777777" w:rsidR="00FB7BE6" w:rsidRPr="0075114F" w:rsidRDefault="00FB7BE6" w:rsidP="00FB7BE6">
                        <w:pPr>
                          <w:spacing w:after="0" w:line="257" w:lineRule="auto"/>
                          <w:rPr>
                            <w:sz w:val="20"/>
                            <w:szCs w:val="20"/>
                            <w:lang w:val="fr-CA"/>
                          </w:rPr>
                        </w:pPr>
                        <w:r w:rsidRPr="0075114F">
                          <w:rPr>
                            <w:sz w:val="20"/>
                            <w:szCs w:val="20"/>
                            <w:lang w:val="fr-CA"/>
                          </w:rPr>
                          <w:t>Type : Institution International Multilatérale</w:t>
                        </w:r>
                      </w:p>
                      <w:p w14:paraId="0E07D1E0" w14:textId="77777777" w:rsidR="00FB7BE6" w:rsidRPr="0075114F" w:rsidRDefault="00FB7BE6" w:rsidP="00FB7BE6">
                        <w:pPr>
                          <w:spacing w:after="0" w:line="257" w:lineRule="auto"/>
                          <w:rPr>
                            <w:sz w:val="20"/>
                            <w:szCs w:val="20"/>
                            <w:lang w:val="fr-CA"/>
                          </w:rPr>
                        </w:pPr>
                        <w:r w:rsidRPr="0075114F">
                          <w:rPr>
                            <w:sz w:val="20"/>
                            <w:szCs w:val="20"/>
                            <w:lang w:val="fr-CA"/>
                          </w:rPr>
                          <w:t>Budget (USD) : 3,100,000</w:t>
                        </w:r>
                      </w:p>
                      <w:p w14:paraId="5D0B3F69" w14:textId="77777777" w:rsidR="00FB7BE6" w:rsidRPr="0075114F" w:rsidRDefault="00FB7BE6" w:rsidP="00FB7BE6">
                        <w:pPr>
                          <w:spacing w:after="0" w:line="257" w:lineRule="auto"/>
                          <w:jc w:val="center"/>
                          <w:rPr>
                            <w:sz w:val="20"/>
                            <w:szCs w:val="20"/>
                            <w:lang w:val="fr-CA"/>
                          </w:rPr>
                        </w:pPr>
                        <w:r w:rsidRPr="0075114F">
                          <w:rPr>
                            <w:sz w:val="20"/>
                            <w:szCs w:val="20"/>
                            <w:lang w:val="fr-CA"/>
                          </w:rPr>
                          <w:t> </w:t>
                        </w:r>
                      </w:p>
                      <w:p w14:paraId="138C9276" w14:textId="77777777" w:rsidR="00FB7BE6" w:rsidRPr="0075114F" w:rsidRDefault="00FB7BE6" w:rsidP="00FB7BE6">
                        <w:pPr>
                          <w:spacing w:after="0" w:line="257" w:lineRule="auto"/>
                          <w:jc w:val="center"/>
                          <w:rPr>
                            <w:sz w:val="20"/>
                            <w:szCs w:val="20"/>
                            <w:lang w:val="fr-CA"/>
                          </w:rPr>
                        </w:pPr>
                        <w:r w:rsidRPr="0075114F">
                          <w:rPr>
                            <w:sz w:val="20"/>
                            <w:szCs w:val="20"/>
                            <w:lang w:val="fr-CA"/>
                          </w:rPr>
                          <w:t> </w:t>
                        </w:r>
                      </w:p>
                    </w:txbxContent>
                  </v:textbox>
                </v:shape>
                <v:shape id="Text Box 31" o:spid="_x0000_s1066" type="#_x0000_t202" style="position:absolute;left:42765;top:34952;width:23717;height:1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" fillcolor="window" strokeweight=".5pt">
                  <v:textbox>
                    <w:txbxContent>
                      <w:p w14:paraId="12DB8140"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2 </w:t>
                        </w:r>
                      </w:p>
                      <w:p w14:paraId="09FA3990" w14:textId="77777777" w:rsidR="00FB7BE6" w:rsidRPr="0075114F" w:rsidRDefault="00FB7BE6" w:rsidP="00FB7BE6">
                        <w:pPr>
                          <w:spacing w:after="0" w:line="256" w:lineRule="auto"/>
                          <w:rPr>
                            <w:sz w:val="20"/>
                            <w:szCs w:val="20"/>
                            <w:lang w:val="fr-CA"/>
                          </w:rPr>
                        </w:pPr>
                        <w:r w:rsidRPr="0075114F">
                          <w:rPr>
                            <w:sz w:val="20"/>
                            <w:szCs w:val="20"/>
                            <w:lang w:val="fr-CA"/>
                          </w:rPr>
                          <w:t>Nom : Ministère des Finances</w:t>
                        </w:r>
                      </w:p>
                      <w:p w14:paraId="5F7EFD76"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25CE81E5"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w:t>
                        </w:r>
                      </w:p>
                      <w:p w14:paraId="5952CD5E" w14:textId="6BF285E6" w:rsidR="00FB7BE6" w:rsidRPr="0075114F" w:rsidRDefault="00FB7BE6" w:rsidP="00FB7BE6">
                        <w:pPr>
                          <w:spacing w:after="0" w:line="256" w:lineRule="auto"/>
                          <w:rPr>
                            <w:sz w:val="20"/>
                            <w:szCs w:val="20"/>
                            <w:lang w:val="fr-CA"/>
                          </w:rPr>
                        </w:pPr>
                        <w:r w:rsidRPr="0075114F">
                          <w:rPr>
                            <w:sz w:val="20"/>
                            <w:szCs w:val="20"/>
                            <w:lang w:val="fr-CA"/>
                          </w:rPr>
                          <w:t>Modalité contractuelle (LOA, Contrat de prestation</w:t>
                        </w:r>
                        <w:r w:rsidR="001D6859">
                          <w:rPr>
                            <w:sz w:val="20"/>
                            <w:szCs w:val="20"/>
                            <w:lang w:val="fr-CA"/>
                          </w:rPr>
                          <w:t xml:space="preserve"> le cas échéant</w:t>
                        </w:r>
                        <w:r w:rsidRPr="0075114F">
                          <w:rPr>
                            <w:sz w:val="20"/>
                            <w:szCs w:val="20"/>
                            <w:lang w:val="fr-CA"/>
                          </w:rPr>
                          <w:t>) </w:t>
                        </w:r>
                      </w:p>
                      <w:p w14:paraId="589D8802" w14:textId="77777777" w:rsidR="00FB7BE6" w:rsidRPr="0075114F" w:rsidRDefault="00FB7BE6" w:rsidP="00FB7BE6">
                        <w:pPr>
                          <w:spacing w:after="0" w:line="256" w:lineRule="auto"/>
                          <w:rPr>
                            <w:sz w:val="20"/>
                            <w:szCs w:val="20"/>
                            <w:lang w:val="fr-CA"/>
                          </w:rPr>
                        </w:pPr>
                      </w:p>
                    </w:txbxContent>
                  </v:textbox>
                </v:shape>
                <v:shape id="Text Box 32" o:spid="_x0000_s1067" type="#_x0000_t202" style="position:absolute;left:42479;top:12571;width:24003;height:15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" fillcolor="window" strokeweight=".5pt">
                  <v:textbox>
                    <w:txbxContent>
                      <w:p w14:paraId="2E778E0B"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2 </w:t>
                        </w:r>
                      </w:p>
                      <w:p w14:paraId="3B910341" w14:textId="77777777" w:rsidR="00FB7BE6" w:rsidRPr="0075114F" w:rsidRDefault="00FB7BE6" w:rsidP="00FB7BE6">
                        <w:pPr>
                          <w:spacing w:after="0" w:line="256" w:lineRule="auto"/>
                          <w:rPr>
                            <w:sz w:val="20"/>
                            <w:szCs w:val="20"/>
                            <w:lang w:val="fr-CA"/>
                          </w:rPr>
                        </w:pPr>
                        <w:r w:rsidRPr="0075114F">
                          <w:rPr>
                            <w:sz w:val="20"/>
                            <w:szCs w:val="20"/>
                            <w:lang w:val="fr-CA"/>
                          </w:rPr>
                          <w:t>Nom : Ministère de l’Environnement et Développement Durable (MEDD)</w:t>
                        </w:r>
                      </w:p>
                      <w:p w14:paraId="4536A47D"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2E86267F" w14:textId="14D0C640" w:rsidR="00FB7BE6" w:rsidRPr="0075114F" w:rsidRDefault="00FB7BE6" w:rsidP="00FB7BE6">
                        <w:pPr>
                          <w:spacing w:after="0" w:line="256" w:lineRule="auto"/>
                          <w:rPr>
                            <w:sz w:val="20"/>
                            <w:szCs w:val="20"/>
                            <w:lang w:val="fr-CA"/>
                          </w:rPr>
                        </w:pPr>
                        <w:r w:rsidRPr="0075114F">
                          <w:rPr>
                            <w:sz w:val="20"/>
                            <w:szCs w:val="20"/>
                            <w:lang w:val="fr-CA"/>
                          </w:rPr>
                          <w:t>Modalité contractuelle (LOA, Contrat de prestation</w:t>
                        </w:r>
                        <w:r w:rsidR="001D6859">
                          <w:rPr>
                            <w:sz w:val="20"/>
                            <w:szCs w:val="20"/>
                            <w:lang w:val="fr-CA"/>
                          </w:rPr>
                          <w:t xml:space="preserve"> le cas échéant</w:t>
                        </w:r>
                        <w:r w:rsidRPr="0075114F">
                          <w:rPr>
                            <w:sz w:val="20"/>
                            <w:szCs w:val="20"/>
                            <w:lang w:val="fr-CA"/>
                          </w:rPr>
                          <w:t xml:space="preserve">)  </w:t>
                        </w:r>
                      </w:p>
                    </w:txbxContent>
                  </v:textbox>
                </v:shape>
                <v:shape id="Text Box 33" o:spid="_x0000_s1068" type="#_x0000_t202" style="position:absolute;left:71338;width:24289;height: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" fillcolor="window" strokeweight=".5pt">
                  <v:textbox>
                    <w:txbxContent>
                      <w:p w14:paraId="6B7F98E5"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19198354" w14:textId="77777777" w:rsidR="00FB7BE6" w:rsidRPr="0075114F" w:rsidRDefault="00FB7BE6" w:rsidP="00FB7BE6">
                        <w:pPr>
                          <w:spacing w:after="0" w:line="256" w:lineRule="auto"/>
                          <w:rPr>
                            <w:sz w:val="20"/>
                            <w:szCs w:val="20"/>
                            <w:lang w:val="fr-CA"/>
                          </w:rPr>
                        </w:pPr>
                        <w:r w:rsidRPr="0075114F">
                          <w:rPr>
                            <w:sz w:val="20"/>
                            <w:szCs w:val="20"/>
                            <w:lang w:val="fr-CA"/>
                          </w:rPr>
                          <w:t>Nom : Direction du Développement Durable (DDD)</w:t>
                        </w:r>
                      </w:p>
                      <w:p w14:paraId="02CFE3FE"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7C6A3CC5" w14:textId="77777777" w:rsidR="00FB7BE6" w:rsidRPr="0075114F" w:rsidRDefault="00FB7BE6" w:rsidP="00FB7BE6">
                        <w:pPr>
                          <w:spacing w:after="0" w:line="256" w:lineRule="auto"/>
                          <w:rPr>
                            <w:sz w:val="20"/>
                            <w:szCs w:val="20"/>
                            <w:lang w:val="fr-CA"/>
                          </w:rPr>
                        </w:pPr>
                        <w:r w:rsidRPr="0075114F">
                          <w:rPr>
                            <w:sz w:val="20"/>
                            <w:szCs w:val="20"/>
                            <w:lang w:val="fr-CA"/>
                          </w:rPr>
                          <w:t>Sous-type : Direction</w:t>
                        </w:r>
                      </w:p>
                      <w:p w14:paraId="2949AFAD" w14:textId="77777777" w:rsidR="00FB7BE6" w:rsidRPr="0075114F" w:rsidRDefault="00FB7BE6" w:rsidP="00FB7BE6">
                        <w:pPr>
                          <w:spacing w:after="0" w:line="256" w:lineRule="auto"/>
                          <w:rPr>
                            <w:sz w:val="20"/>
                            <w:szCs w:val="20"/>
                            <w:lang w:val="fr-CA"/>
                          </w:rPr>
                        </w:pPr>
                      </w:p>
                    </w:txbxContent>
                  </v:textbox>
                </v:shape>
                <v:shape id="Text Box 34" o:spid="_x0000_s1069" type="#_x0000_t202" style="position:absolute;left:71813;top:45801;width:24289;height:11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" fillcolor="window" strokeweight=".5pt">
                  <v:textbox>
                    <w:txbxContent>
                      <w:p w14:paraId="0AE54F20"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1A1938D9" w14:textId="77777777" w:rsidR="00FB7BE6" w:rsidRPr="0075114F" w:rsidRDefault="00FB7BE6" w:rsidP="00FB7BE6">
                        <w:pPr>
                          <w:spacing w:after="0" w:line="256" w:lineRule="auto"/>
                          <w:rPr>
                            <w:sz w:val="20"/>
                            <w:szCs w:val="20"/>
                            <w:lang w:val="fr-CA"/>
                          </w:rPr>
                        </w:pPr>
                        <w:r w:rsidRPr="0075114F">
                          <w:rPr>
                            <w:sz w:val="20"/>
                            <w:szCs w:val="20"/>
                            <w:lang w:val="fr-CA"/>
                          </w:rPr>
                          <w:t>Nom</w:t>
                        </w:r>
                      </w:p>
                      <w:p w14:paraId="54A6957A"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w:t>
                        </w:r>
                      </w:p>
                      <w:p w14:paraId="15C14F73"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w:t>
                        </w:r>
                      </w:p>
                      <w:p w14:paraId="3411B85C" w14:textId="77777777" w:rsidR="00FB7BE6" w:rsidRPr="0075114F" w:rsidRDefault="00FB7BE6" w:rsidP="00FB7BE6">
                        <w:pPr>
                          <w:spacing w:after="0" w:line="256" w:lineRule="auto"/>
                          <w:rPr>
                            <w:sz w:val="20"/>
                            <w:szCs w:val="20"/>
                            <w:lang w:val="fr-CA"/>
                          </w:rPr>
                        </w:pPr>
                        <w:r w:rsidRPr="0075114F">
                          <w:rPr>
                            <w:sz w:val="20"/>
                            <w:szCs w:val="20"/>
                            <w:lang w:val="fr-CA"/>
                          </w:rPr>
                          <w:t>Budget</w:t>
                        </w:r>
                      </w:p>
                      <w:p w14:paraId="26DA6323" w14:textId="77777777" w:rsidR="00FB7BE6" w:rsidRPr="0075114F" w:rsidRDefault="00FB7BE6" w:rsidP="00FB7BE6">
                        <w:pPr>
                          <w:spacing w:after="0" w:line="256" w:lineRule="auto"/>
                          <w:rPr>
                            <w:sz w:val="20"/>
                            <w:szCs w:val="20"/>
                            <w:lang w:val="fr-CA"/>
                          </w:rPr>
                        </w:pPr>
                        <w:r w:rsidRPr="0075114F">
                          <w:rPr>
                            <w:sz w:val="20"/>
                            <w:szCs w:val="20"/>
                            <w:lang w:val="fr-CA"/>
                          </w:rPr>
                          <w:t>Modalité contractuelle</w:t>
                        </w:r>
                      </w:p>
                    </w:txbxContent>
                  </v:textbox>
                </v:shape>
                <v:group id="Group 36" o:spid="_x0000_s1070" style="position:absolute;left:36861;top:18097;width:5906;height:21908" coordorigin="36861,18097" coordsize="5905,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Straight Connector 37" o:spid="_x0000_s1071" style="position:absolute;visibility:visible;mso-wrap-style:square" from="36861,27241" to="39719,27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" strokecolor="#549e39" strokeweight=".5pt">
                    <v:stroke joinstyle="miter"/>
                  </v:line>
                  <v:line id="Straight Connector 38" o:spid="_x0000_s1072" style="position:absolute;visibility:visible;mso-wrap-style:square" from="39719,18097" to="39719,4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" strokecolor="#549e39" strokeweight=".5pt">
                    <v:stroke joinstyle="miter"/>
                  </v:line>
                  <v:shape id="Straight Arrow Connector 39" o:spid="_x0000_s1073" type="#_x0000_t32" style="position:absolute;left:39719;top:18097;width:2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" strokecolor="#549e39" strokeweight=".5pt">
                    <v:stroke endarrow="block" joinstyle="miter"/>
                  </v:shape>
                  <v:shape id="Straight Arrow Connector 40" o:spid="_x0000_s1074" type="#_x0000_t32" style="position:absolute;left:39719;top:40005;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" strokecolor="#549e39" strokeweight=".5pt">
                    <v:stroke endarrow="block" joinstyle="miter"/>
                  </v:shape>
                </v:group>
                <v:shape id="Text Box 20" o:spid="_x0000_s1075" type="#_x0000_t202" style="position:absolute;left:71529;top:14571;width:24098;height: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" fillcolor="window" strokeweight=".5pt">
                  <v:textbox>
                    <w:txbxContent>
                      <w:p w14:paraId="2319F4A8"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35CB9AB0" w14:textId="77777777" w:rsidR="00FB7BE6" w:rsidRPr="0075114F" w:rsidRDefault="00FB7BE6" w:rsidP="00FB7BE6">
                        <w:pPr>
                          <w:spacing w:after="0" w:line="256" w:lineRule="auto"/>
                          <w:rPr>
                            <w:sz w:val="20"/>
                            <w:szCs w:val="20"/>
                            <w:lang w:val="fr-CA"/>
                          </w:rPr>
                        </w:pPr>
                        <w:r w:rsidRPr="0075114F">
                          <w:rPr>
                            <w:sz w:val="20"/>
                            <w:szCs w:val="20"/>
                            <w:lang w:val="fr-CA"/>
                          </w:rPr>
                          <w:t>Nom : Autorité de Régulation du Mrché du Carbone (ARMCA)</w:t>
                        </w:r>
                      </w:p>
                      <w:p w14:paraId="5EFA1A9E" w14:textId="77777777" w:rsidR="00FB7BE6" w:rsidRPr="0075114F" w:rsidRDefault="00FB7BE6" w:rsidP="00FB7BE6">
                        <w:pPr>
                          <w:spacing w:after="0" w:line="256" w:lineRule="auto"/>
                          <w:rPr>
                            <w:sz w:val="20"/>
                            <w:szCs w:val="20"/>
                            <w:lang w:val="fr-CA"/>
                          </w:rPr>
                        </w:pPr>
                        <w:r w:rsidRPr="0075114F">
                          <w:rPr>
                            <w:sz w:val="20"/>
                            <w:szCs w:val="20"/>
                            <w:lang w:val="fr-CA"/>
                          </w:rPr>
                          <w:t xml:space="preserve">Type : Entité publique </w:t>
                        </w:r>
                      </w:p>
                      <w:p w14:paraId="3BDC0095"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 Autorité  </w:t>
                        </w:r>
                      </w:p>
                      <w:p w14:paraId="1904D00E" w14:textId="2852502E" w:rsidR="00FB7BE6" w:rsidRPr="0075114F" w:rsidRDefault="00FB7BE6" w:rsidP="00FB7BE6">
                        <w:pPr>
                          <w:spacing w:after="0" w:line="256" w:lineRule="auto"/>
                          <w:rPr>
                            <w:sz w:val="20"/>
                            <w:szCs w:val="20"/>
                            <w:lang w:val="fr-CA"/>
                          </w:rPr>
                        </w:pPr>
                        <w:r w:rsidRPr="0075114F">
                          <w:rPr>
                            <w:sz w:val="20"/>
                            <w:szCs w:val="20"/>
                            <w:lang w:val="fr-CA"/>
                          </w:rPr>
                          <w:t xml:space="preserve">Modalité contractuelle : </w:t>
                        </w:r>
                        <w:r w:rsidR="009E4DFD">
                          <w:rPr>
                            <w:sz w:val="20"/>
                            <w:szCs w:val="20"/>
                            <w:lang w:val="fr-CA"/>
                          </w:rPr>
                          <w:t>RP</w:t>
                        </w:r>
                        <w:r w:rsidR="009E4DFD" w:rsidRPr="0075114F">
                          <w:rPr>
                            <w:sz w:val="20"/>
                            <w:szCs w:val="20"/>
                            <w:lang w:val="fr-CA"/>
                          </w:rPr>
                          <w:t xml:space="preserve"> </w:t>
                        </w:r>
                      </w:p>
                      <w:p w14:paraId="68AE75AA" w14:textId="77777777" w:rsidR="00FB7BE6" w:rsidRPr="0075114F" w:rsidRDefault="00FB7BE6" w:rsidP="00FB7BE6">
                        <w:pPr>
                          <w:spacing w:after="0" w:line="256" w:lineRule="auto"/>
                          <w:rPr>
                            <w:sz w:val="20"/>
                            <w:szCs w:val="20"/>
                            <w:lang w:val="fr-CA"/>
                          </w:rPr>
                        </w:pPr>
                      </w:p>
                    </w:txbxContent>
                  </v:textbox>
                </v:shape>
                <v:group id="Group 42" o:spid="_x0000_s1076" style="position:absolute;left:66484;top:4667;width:5048;height:21907" coordorigin="66484,4667" coordsize="5905,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Straight Connector 43" o:spid="_x0000_s1077" style="position:absolute;visibility:visible;mso-wrap-style:square" from="66484,20632" to="69342,20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" strokecolor="#549e39" strokeweight=".5pt">
                    <v:stroke joinstyle="miter"/>
                  </v:line>
                  <v:line id="Straight Connector 44" o:spid="_x0000_s1078" style="position:absolute;visibility:visible;mso-wrap-style:square" from="69342,4667" to="69342,26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" strokecolor="#549e39" strokeweight=".5pt">
                    <v:stroke joinstyle="miter"/>
                  </v:line>
                  <v:shape id="Straight Arrow Connector 45" o:spid="_x0000_s1079" type="#_x0000_t32" style="position:absolute;left:69342;top:4667;width:2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" strokecolor="#549e39" strokeweight=".5pt">
                    <v:stroke endarrow="block" joinstyle="miter"/>
                  </v:shape>
                  <v:shape id="Straight Arrow Connector 46" o:spid="_x0000_s1080" type="#_x0000_t32" style="position:absolute;left:69342;top:26574;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" strokecolor="#549e39" strokeweight=".5pt">
                    <v:stroke endarrow="block" joinstyle="miter"/>
                  </v:shape>
                </v:group>
                <v:shape id="Text Box 27" o:spid="_x0000_s1081" type="#_x0000_t202" style="position:absolute;left:71529;top:30476;width:24289;height:1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" fillcolor="window" strokeweight=".5pt">
                  <v:textbox>
                    <w:txbxContent>
                      <w:p w14:paraId="07E4DDAB" w14:textId="77777777" w:rsidR="00FB7BE6" w:rsidRPr="0075114F" w:rsidRDefault="00FB7BE6" w:rsidP="00FB7BE6">
                        <w:pPr>
                          <w:spacing w:after="0" w:line="256" w:lineRule="auto"/>
                          <w:rPr>
                            <w:b/>
                            <w:bCs/>
                            <w:sz w:val="20"/>
                            <w:szCs w:val="20"/>
                            <w:lang w:val="fr-CA"/>
                          </w:rPr>
                        </w:pPr>
                        <w:r w:rsidRPr="0075114F">
                          <w:rPr>
                            <w:b/>
                            <w:bCs/>
                            <w:sz w:val="20"/>
                            <w:szCs w:val="20"/>
                            <w:lang w:val="fr-CA"/>
                          </w:rPr>
                          <w:t xml:space="preserve">Niveau 3 </w:t>
                        </w:r>
                      </w:p>
                      <w:p w14:paraId="7218939A" w14:textId="4E2C46A7" w:rsidR="00FB7BE6" w:rsidRPr="0075114F" w:rsidRDefault="00FB7BE6" w:rsidP="00FB7BE6">
                        <w:pPr>
                          <w:spacing w:after="0" w:line="256" w:lineRule="auto"/>
                          <w:rPr>
                            <w:sz w:val="20"/>
                            <w:szCs w:val="20"/>
                            <w:lang w:val="fr-CA"/>
                          </w:rPr>
                        </w:pPr>
                        <w:r w:rsidRPr="0075114F">
                          <w:rPr>
                            <w:sz w:val="20"/>
                            <w:szCs w:val="20"/>
                            <w:lang w:val="fr-CA"/>
                          </w:rPr>
                          <w:t xml:space="preserve">Nom : </w:t>
                        </w:r>
                        <w:r w:rsidR="00631B81" w:rsidRPr="0075114F">
                          <w:rPr>
                            <w:sz w:val="20"/>
                            <w:szCs w:val="20"/>
                            <w:lang w:val="fr-CA"/>
                          </w:rPr>
                          <w:t>En</w:t>
                        </w:r>
                        <w:r w:rsidR="00C642A5" w:rsidRPr="0075114F">
                          <w:rPr>
                            <w:sz w:val="20"/>
                            <w:szCs w:val="20"/>
                            <w:lang w:val="fr-CA"/>
                          </w:rPr>
                          <w:t>tité désignée</w:t>
                        </w:r>
                      </w:p>
                      <w:p w14:paraId="33E37AC6" w14:textId="77777777" w:rsidR="00FB7BE6" w:rsidRPr="0075114F" w:rsidRDefault="00FB7BE6" w:rsidP="00FB7BE6">
                        <w:pPr>
                          <w:spacing w:after="0" w:line="256" w:lineRule="auto"/>
                          <w:rPr>
                            <w:sz w:val="20"/>
                            <w:szCs w:val="20"/>
                            <w:lang w:val="fr-CA"/>
                          </w:rPr>
                        </w:pPr>
                        <w:r w:rsidRPr="0075114F">
                          <w:rPr>
                            <w:sz w:val="20"/>
                            <w:szCs w:val="20"/>
                            <w:lang w:val="fr-CA"/>
                          </w:rPr>
                          <w:t>Type : TBD</w:t>
                        </w:r>
                      </w:p>
                      <w:p w14:paraId="38E9D346" w14:textId="77777777" w:rsidR="00FB7BE6" w:rsidRPr="0075114F" w:rsidRDefault="00FB7BE6" w:rsidP="00FB7BE6">
                        <w:pPr>
                          <w:spacing w:after="0" w:line="256" w:lineRule="auto"/>
                          <w:rPr>
                            <w:sz w:val="20"/>
                            <w:szCs w:val="20"/>
                            <w:lang w:val="fr-CA"/>
                          </w:rPr>
                        </w:pPr>
                        <w:r w:rsidRPr="0075114F">
                          <w:rPr>
                            <w:sz w:val="20"/>
                            <w:szCs w:val="20"/>
                            <w:lang w:val="fr-CA"/>
                          </w:rPr>
                          <w:t xml:space="preserve">Sous-type : TBD </w:t>
                        </w:r>
                      </w:p>
                      <w:p w14:paraId="2635961D" w14:textId="78DAC0C3" w:rsidR="00FB7BE6" w:rsidRPr="0075114F" w:rsidRDefault="00FB7BE6" w:rsidP="00FB7BE6">
                        <w:pPr>
                          <w:spacing w:after="0" w:line="256" w:lineRule="auto"/>
                          <w:rPr>
                            <w:sz w:val="20"/>
                            <w:szCs w:val="20"/>
                            <w:lang w:val="fr-CA"/>
                          </w:rPr>
                        </w:pPr>
                        <w:r w:rsidRPr="0075114F">
                          <w:rPr>
                            <w:sz w:val="20"/>
                            <w:szCs w:val="20"/>
                            <w:lang w:val="fr-CA"/>
                          </w:rPr>
                          <w:t xml:space="preserve">Modalité contractuelle : </w:t>
                        </w:r>
                        <w:r w:rsidR="009E4DFD">
                          <w:rPr>
                            <w:sz w:val="20"/>
                            <w:szCs w:val="20"/>
                            <w:lang w:val="fr-CA"/>
                          </w:rPr>
                          <w:t>RP</w:t>
                        </w:r>
                        <w:r w:rsidR="009E4DFD" w:rsidRPr="0075114F">
                          <w:rPr>
                            <w:sz w:val="20"/>
                            <w:szCs w:val="20"/>
                            <w:lang w:val="fr-CA"/>
                          </w:rPr>
                          <w:t xml:space="preserve"> </w:t>
                        </w:r>
                      </w:p>
                      <w:p w14:paraId="70CC8E5B" w14:textId="77777777" w:rsidR="00FB7BE6" w:rsidRPr="0075114F" w:rsidRDefault="00FB7BE6" w:rsidP="00FB7BE6">
                        <w:pPr>
                          <w:spacing w:after="0" w:line="256" w:lineRule="auto"/>
                          <w:rPr>
                            <w:sz w:val="20"/>
                            <w:szCs w:val="20"/>
                            <w:lang w:val="fr-CA"/>
                          </w:rPr>
                        </w:pPr>
                      </w:p>
                    </w:txbxContent>
                  </v:textbox>
                </v:shape>
                <v:group id="Group 48" o:spid="_x0000_s1082" style="position:absolute;left:66675;top:34194;width:5048;height:21908" coordorigin="66675,34194" coordsize="5905,21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line id="Straight Connector 49" o:spid="_x0000_s1083" style="position:absolute;visibility:visible;mso-wrap-style:square" from="66675,42420" to="69532,42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" strokecolor="#549e39" strokeweight=".5pt">
                    <v:stroke joinstyle="miter"/>
                  </v:line>
                  <v:line id="Straight Connector 50" o:spid="_x0000_s1084" style="position:absolute;visibility:visible;mso-wrap-style:square" from="69532,34194" to="69532,56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" strokecolor="#549e39" strokeweight=".5pt">
                    <v:stroke joinstyle="miter"/>
                  </v:line>
                  <v:shape id="Straight Arrow Connector 51" o:spid="_x0000_s1085" type="#_x0000_t32" style="position:absolute;left:69532;top:34194;width:2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" strokecolor="#549e39" strokeweight=".5pt">
                    <v:stroke endarrow="block" joinstyle="miter"/>
                  </v:shape>
                  <v:shape id="Straight Arrow Connector 52" o:spid="_x0000_s1086" type="#_x0000_t32" style="position:absolute;left:69532;top:56102;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" strokecolor="#549e39" strokeweight=".5pt">
                    <v:stroke endarrow="block" joinstyle="miter"/>
                  </v:shape>
                </v:group>
              </v:group>
            </w:pict>
          </mc:Fallback>
        </mc:AlternateContent>
      </w:r>
    </w:p>
    <w:p w14:paraId="6DDF7CA1" w14:textId="77777777" w:rsidR="00FB7BE6" w:rsidRDefault="00FB7BE6" w:rsidP="003A4091">
      <w:pPr>
        <w:spacing w:after="120"/>
        <w:jc w:val="both"/>
        <w:rPr>
          <w:rFonts w:ascii="Avenir Next LT Pro" w:hAnsi="Avenir Next LT Pro"/>
          <w:sz w:val="20"/>
          <w:szCs w:val="20"/>
          <w:highlight w:val="yellow"/>
          <w:lang w:eastAsia="fr-FR"/>
        </w:rPr>
      </w:pPr>
    </w:p>
    <w:p w14:paraId="727E1F42" w14:textId="5B553297" w:rsidR="00FB7BE6" w:rsidRPr="001669B0" w:rsidRDefault="00FB7BE6" w:rsidP="00FB7BE6">
      <w:pPr>
        <w:rPr>
          <w:rFonts w:ascii="Avenir Next LT Pro" w:hAnsi="Avenir Next LT Pro"/>
          <w:lang w:eastAsia="fr-FR"/>
        </w:rPr>
        <w:sectPr w:rsidR="00FB7BE6" w:rsidRPr="001669B0" w:rsidSect="00FB7BE6">
          <w:headerReference w:type="default" r:id="rId23"/>
          <w:pgSz w:w="16838" w:h="11906" w:orient="landscape"/>
          <w:pgMar w:top="1417" w:right="1417" w:bottom="1417" w:left="1417" w:header="708" w:footer="708" w:gutter="0"/>
          <w:cols w:space="708"/>
          <w:docGrid w:linePitch="360"/>
        </w:sectPr>
      </w:pPr>
    </w:p>
    <w:p w14:paraId="6F76C6A6" w14:textId="77777777" w:rsidR="00FB7BE6" w:rsidRDefault="00FB7BE6" w:rsidP="003A4091">
      <w:pPr>
        <w:spacing w:after="120"/>
        <w:jc w:val="both"/>
        <w:rPr>
          <w:rFonts w:ascii="Avenir Next LT Pro" w:hAnsi="Avenir Next LT Pro"/>
          <w:sz w:val="20"/>
          <w:szCs w:val="20"/>
          <w:highlight w:val="yellow"/>
          <w:lang w:eastAsia="fr-FR"/>
        </w:rPr>
      </w:pPr>
    </w:p>
    <w:p w14:paraId="2A6ED572" w14:textId="77777777" w:rsidR="00E74151" w:rsidRPr="00C345C4" w:rsidRDefault="00E74151" w:rsidP="00E74151">
      <w:pPr>
        <w:pStyle w:val="Titre2"/>
        <w:rPr>
          <w:rFonts w:ascii="Avenir Next LT Pro" w:eastAsiaTheme="minorEastAsia" w:hAnsi="Avenir Next LT Pro"/>
          <w:sz w:val="20"/>
          <w:szCs w:val="20"/>
        </w:rPr>
      </w:pPr>
      <w:bookmarkStart w:id="47" w:name="_Toc163230382"/>
      <w:r w:rsidRPr="00C345C4">
        <w:rPr>
          <w:rFonts w:ascii="Avenir Next LT Pro" w:hAnsi="Avenir Next LT Pro"/>
        </w:rPr>
        <w:t>Capacités et expérience de l’organisation de mise en œuvre et de ses partenaires</w:t>
      </w:r>
      <w:bookmarkEnd w:id="47"/>
      <w:r w:rsidRPr="00C345C4">
        <w:rPr>
          <w:rFonts w:ascii="Avenir Next LT Pro" w:hAnsi="Avenir Next LT Pro"/>
        </w:rPr>
        <w:t xml:space="preserve">  </w:t>
      </w:r>
    </w:p>
    <w:p w14:paraId="09378E99" w14:textId="06BACFFB" w:rsidR="007E748A" w:rsidRPr="007E748A" w:rsidRDefault="007E748A" w:rsidP="007E748A">
      <w:pPr>
        <w:widowControl w:val="0"/>
        <w:autoSpaceDE w:val="0"/>
        <w:autoSpaceDN w:val="0"/>
        <w:spacing w:after="0"/>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 xml:space="preserve">Le </w:t>
      </w:r>
      <w:r w:rsidR="00233AA2">
        <w:rPr>
          <w:rFonts w:ascii="Avenir Next LT Pro" w:eastAsia="Arial Narrow" w:hAnsi="Avenir Next LT Pro" w:cstheme="minorHAnsi"/>
          <w:sz w:val="20"/>
          <w:szCs w:val="20"/>
        </w:rPr>
        <w:t>P</w:t>
      </w:r>
      <w:r w:rsidRPr="007E748A">
        <w:rPr>
          <w:rFonts w:ascii="Avenir Next LT Pro" w:eastAsia="Arial Narrow" w:hAnsi="Avenir Next LT Pro" w:cstheme="minorHAnsi"/>
          <w:sz w:val="20"/>
          <w:szCs w:val="20"/>
        </w:rPr>
        <w:t>rojet s'appuie sur l'expérience du PNUD dans le cadre de vastes programmes forestiers qui, grâce à un nombre de partenariats, s'élèvent actuellement à environ 750 millions de dollars américains. L'expertise du PNUD s’étend sur des domaines divers, notamment le renforcement de la gouvernance forestière (c'est-à-dire les capacités des administrations publiques à gérer durablement les ressources forestières et à renforcer la redevabilité redditionnelle) ; le développement des systèmes et des mécanismes financiers en appui à la gouvernance (par exemple, des incitations financières ; des programmes de PSE ; etc.) ; le développement des chaînes de valeur agricoles et forestières sans déforestation en partenariat avec le secteur privé ; l’engagement des peuples autochtones et de la société civile dans le processus décisionnel ; le développement des activités alternatives génératrices de revenus pour l’amélioration des conditions de vie des communautés tributaires des forêts.</w:t>
      </w:r>
    </w:p>
    <w:p w14:paraId="336636AF" w14:textId="77777777" w:rsidR="007E748A" w:rsidRPr="007E748A" w:rsidRDefault="007E748A" w:rsidP="007E748A">
      <w:pPr>
        <w:widowControl w:val="0"/>
        <w:autoSpaceDE w:val="0"/>
        <w:autoSpaceDN w:val="0"/>
        <w:spacing w:after="0"/>
        <w:jc w:val="both"/>
        <w:rPr>
          <w:rFonts w:ascii="Avenir Next LT Pro" w:eastAsia="Arial Narrow" w:hAnsi="Avenir Next LT Pro" w:cstheme="minorHAnsi"/>
          <w:sz w:val="20"/>
          <w:szCs w:val="20"/>
        </w:rPr>
      </w:pPr>
    </w:p>
    <w:p w14:paraId="734CACC4" w14:textId="47C9902C" w:rsidR="007E748A" w:rsidRPr="007E748A" w:rsidRDefault="007E748A" w:rsidP="007E748A">
      <w:pPr>
        <w:widowControl w:val="0"/>
        <w:autoSpaceDE w:val="0"/>
        <w:autoSpaceDN w:val="0"/>
        <w:spacing w:after="0"/>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 xml:space="preserve">Le </w:t>
      </w:r>
      <w:r w:rsidR="00043249">
        <w:rPr>
          <w:rFonts w:ascii="Avenir Next LT Pro" w:eastAsia="Arial Narrow" w:hAnsi="Avenir Next LT Pro" w:cstheme="minorHAnsi"/>
          <w:sz w:val="20"/>
          <w:szCs w:val="20"/>
        </w:rPr>
        <w:t>P</w:t>
      </w:r>
      <w:r w:rsidRPr="007E748A">
        <w:rPr>
          <w:rFonts w:ascii="Avenir Next LT Pro" w:eastAsia="Arial Narrow" w:hAnsi="Avenir Next LT Pro" w:cstheme="minorHAnsi"/>
          <w:sz w:val="20"/>
          <w:szCs w:val="20"/>
        </w:rPr>
        <w:t>rojet s'appuie également sur l'expérience du PNUD respectivement en tant que partenaire d’exécution du Programme ONU-REDD, du Fonds de partenariat pour le carbone forestier (FCPF), de l'Initiative du groupe de travail des gouverneurs sur le climat et les forêts (GCF-TF) et de CAFI. Le PNUD joue un rôle de premier plan en aidant les pays à élaborer des stratégies et des plans d'action nationaux REDD+ inclusifs et qui répondent aux priorités nationales de développement ainsi qu'aux exigences du processus de la CCNUCC. Le PNUD a déjà une expérience avérée en matière d’appui technique dans la transition de la phase de préparation à la phase d’investissement de la REDD+ dans plusieurs dans le monde, et notamment en RDC. Par exemple, au Viet Nam, le PNUD est la principale institution d’exécution de la phase 2 du programme ONU-REDD financé par la Norvège à hauteur de 30 millions USD. En Indonésie, le PNUD a établi une plateforme pour la mise en œuvre de la première phase (30 millions USD) de l'accord bilatéral REDD+ d’un montant total de 1 milliard USD avec la Norvège. En Équateur, le PNUD a développé le tout premier projet REDD+ approuvé par le Fonds Vert pour le Climat (18,6 millions USD) en 2014 et a soutenu plusieurs pays d'Afrique dans la phase d’investissement REDD+ (phase II), notamment la Zambie, le Libéria et l'Éthiopie.</w:t>
      </w:r>
    </w:p>
    <w:p w14:paraId="5F8CC932" w14:textId="77777777" w:rsidR="007E748A" w:rsidRPr="007E748A" w:rsidRDefault="007E748A" w:rsidP="007E748A">
      <w:pPr>
        <w:widowControl w:val="0"/>
        <w:autoSpaceDE w:val="0"/>
        <w:autoSpaceDN w:val="0"/>
        <w:spacing w:after="0"/>
        <w:jc w:val="both"/>
        <w:rPr>
          <w:rFonts w:ascii="Avenir Next LT Pro" w:eastAsia="Arial Narrow" w:hAnsi="Avenir Next LT Pro" w:cstheme="minorHAnsi"/>
          <w:sz w:val="20"/>
          <w:szCs w:val="20"/>
        </w:rPr>
      </w:pPr>
    </w:p>
    <w:p w14:paraId="370F75E1"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 xml:space="preserve">Par ailleurs, le PNUD est un leader et partenaire stratégique des pays en développement dans le cadre du développement et mise en œuvre de leur CDN, ainsi que l’accès aux marchés du carbone grâce à son initiative ‘Promesse Climatique’ et son Programme Climat &amp; Forêts. </w:t>
      </w:r>
    </w:p>
    <w:p w14:paraId="672A1619"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p>
    <w:p w14:paraId="549EA35C"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L’initiative Promesse Climatique du PNUD est la plus grande offre mondiale de soutien aux CDN, couvrant plus de 120 pays et territoires, représentant 80 % de tous les pays en développement dans le monde - dont 40 pays les moins avancés, 28 petits États insulaires en développement et 14 grands émetteurs - pour renforcer la mise en œuvre de la CDN dans le cadre de l'Accord de Paris sur le Climat. Mise en œuvre en collaboration avec une grande variété de partenaires, il s'agit de la plus grande offre de soutien au monde pour le renforcement des engagements climatiques.</w:t>
      </w:r>
    </w:p>
    <w:p w14:paraId="64EDD7F0"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p>
    <w:p w14:paraId="1381F206"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 xml:space="preserve">En Afrique, 44 des 46 pays de la région (96 %) ont reçu un soutien de l’initiative Promesse Climatique du PNUD pour préparer des CDN de deuxième génération. Parmi ceux-ci, 39 (89 %) ont soumis des CDN de deuxième génération au 15 juin 2022 (y compris les CDN provisoires du Togo et de l'Ouganda). Quatre pays (Botswana, Guinée équatoriale, Lesotho et Madagascar) prévoient de soumettre des CDN actualisées avant la COP27, tandis que le cas du Gabon reste incertain. </w:t>
      </w:r>
    </w:p>
    <w:p w14:paraId="7B2E8FDE"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p>
    <w:p w14:paraId="4452209F"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 xml:space="preserve">Le Programme Climat &amp; Forêts du PNUD aide les pays en développement et les juridictions infranationales à concevoir, adopter, financer, mettre en œuvre et suivre des politiques et des partenariats pour faire face aux crises interdépendantes du climat et de la déforestation et intégrer les forêts dans les voies de développement durable. Ce Programme gère un portefeuille de projets nationaux et juridictionnels à travers le monde, notamment en Afrique (ex. Ghana, RDC, Kenya, Cote d’Ivoire, etc.) et fournit une assistance technique internationale à différents pays et parties prenantes, selon trois approches fondamentales : (i) renforcement des ambitions et de la transparence dans les composantes forestières des CDN ; (ii) renforcement de l'accès au financement REDD+ basé sur la performance et aux marchés du carbone ; et (iii) promotion de l’intégrité environnementale et </w:t>
      </w:r>
      <w:r w:rsidRPr="007E748A">
        <w:rPr>
          <w:rFonts w:ascii="Avenir Next LT Pro" w:eastAsia="Arial Narrow" w:hAnsi="Avenir Next LT Pro" w:cstheme="minorHAnsi"/>
          <w:sz w:val="20"/>
          <w:szCs w:val="20"/>
        </w:rPr>
        <w:lastRenderedPageBreak/>
        <w:t>l’inclusion sociale des activités et financements REDD+.</w:t>
      </w:r>
    </w:p>
    <w:p w14:paraId="1DBA6009"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p>
    <w:p w14:paraId="1202FECE"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r w:rsidRPr="007E748A">
        <w:rPr>
          <w:rFonts w:ascii="Avenir Next LT Pro" w:hAnsi="Avenir Next LT Pro" w:cstheme="minorHAnsi"/>
          <w:sz w:val="20"/>
          <w:szCs w:val="20"/>
        </w:rPr>
        <w:t>Le PNUD a appuyé le Gouvernement de la RDC pour la révision de sa CDN en 2021 et la formulation du Plan National d’adaptation aux changements climatiques en 2020. Le PNUD a également fait le plaidoyer auprès des parlementaires pour l’élaboration d’une loi sur les changements climatiques et/ou d’un amendement visant une insertion des aspects réglementaires liés aux changements climatiques dans la loi portant code de l’environnement en RDC</w:t>
      </w:r>
      <w:r w:rsidRPr="007E748A">
        <w:rPr>
          <w:rFonts w:ascii="Avenir Next LT Pro" w:eastAsia="Arial Narrow" w:hAnsi="Avenir Next LT Pro" w:cstheme="minorHAnsi"/>
          <w:sz w:val="20"/>
          <w:szCs w:val="20"/>
        </w:rPr>
        <w:t>.</w:t>
      </w:r>
    </w:p>
    <w:p w14:paraId="17F5EDE5" w14:textId="77777777" w:rsidR="007E748A" w:rsidRPr="007E748A" w:rsidRDefault="007E748A" w:rsidP="007E748A">
      <w:pPr>
        <w:widowControl w:val="0"/>
        <w:autoSpaceDE w:val="0"/>
        <w:autoSpaceDN w:val="0"/>
        <w:adjustRightInd w:val="0"/>
        <w:spacing w:after="0"/>
        <w:jc w:val="both"/>
        <w:rPr>
          <w:rFonts w:ascii="Avenir Next LT Pro" w:eastAsia="Arial Narrow" w:hAnsi="Avenir Next LT Pro" w:cstheme="minorHAnsi"/>
          <w:sz w:val="20"/>
          <w:szCs w:val="20"/>
        </w:rPr>
      </w:pPr>
    </w:p>
    <w:p w14:paraId="50B4217D" w14:textId="77777777" w:rsidR="007E748A" w:rsidRDefault="007E748A" w:rsidP="007E748A">
      <w:pPr>
        <w:widowControl w:val="0"/>
        <w:autoSpaceDE w:val="0"/>
        <w:autoSpaceDN w:val="0"/>
        <w:spacing w:after="0"/>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Enfin, le PNUD met actuellement en œuvre plusieurs programmes d’investissement d’envergure contribuant à la lutte contre la déforestation et la dégradation des forêts tel qu’indiqué ci-dessous :</w:t>
      </w:r>
    </w:p>
    <w:p w14:paraId="494D2871" w14:textId="77777777" w:rsidR="007E748A" w:rsidRPr="007E748A" w:rsidRDefault="007E748A" w:rsidP="007E748A">
      <w:pPr>
        <w:widowControl w:val="0"/>
        <w:autoSpaceDE w:val="0"/>
        <w:autoSpaceDN w:val="0"/>
        <w:spacing w:after="0"/>
        <w:jc w:val="both"/>
        <w:rPr>
          <w:rFonts w:ascii="Avenir Next LT Pro" w:eastAsia="Arial Narrow" w:hAnsi="Avenir Next LT Pro" w:cstheme="minorHAnsi"/>
          <w:sz w:val="20"/>
          <w:szCs w:val="20"/>
        </w:rPr>
      </w:pPr>
    </w:p>
    <w:p w14:paraId="29759433" w14:textId="77777777" w:rsidR="007E748A" w:rsidRPr="007E748A" w:rsidRDefault="007E748A" w:rsidP="007E748A">
      <w:pPr>
        <w:widowControl w:val="0"/>
        <w:autoSpaceDE w:val="0"/>
        <w:autoSpaceDN w:val="0"/>
        <w:spacing w:after="0"/>
        <w:ind w:left="424" w:hanging="424"/>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 xml:space="preserve">1. Programme de Développement Local des 145 Territoires (PDL-145T) dans 9 provinces </w:t>
      </w:r>
    </w:p>
    <w:p w14:paraId="1EC32F90" w14:textId="77777777" w:rsidR="007E748A" w:rsidRPr="007E748A" w:rsidRDefault="007E748A" w:rsidP="007E748A">
      <w:pPr>
        <w:widowControl w:val="0"/>
        <w:autoSpaceDE w:val="0"/>
        <w:autoSpaceDN w:val="0"/>
        <w:spacing w:after="0"/>
        <w:ind w:left="424" w:hanging="424"/>
        <w:jc w:val="both"/>
        <w:rPr>
          <w:rFonts w:ascii="Avenir Next LT Pro" w:eastAsia="Arial Narrow" w:hAnsi="Avenir Next LT Pro" w:cstheme="minorHAnsi"/>
          <w:sz w:val="20"/>
          <w:szCs w:val="20"/>
          <w:lang w:val="fr-CD"/>
        </w:rPr>
      </w:pPr>
      <w:r w:rsidRPr="007E748A">
        <w:rPr>
          <w:rFonts w:ascii="Avenir Next LT Pro" w:eastAsia="Arial Narrow" w:hAnsi="Avenir Next LT Pro" w:cstheme="minorHAnsi"/>
          <w:sz w:val="20"/>
          <w:szCs w:val="20"/>
          <w:lang w:val="fr-CD"/>
        </w:rPr>
        <w:t>2. Programme Intégré REDD+-Oriental (PIREDD-O) et celui du Haut Uele</w:t>
      </w:r>
    </w:p>
    <w:p w14:paraId="41046248" w14:textId="77777777" w:rsidR="007E748A" w:rsidRPr="007E748A" w:rsidRDefault="007E748A" w:rsidP="007E748A">
      <w:pPr>
        <w:widowControl w:val="0"/>
        <w:autoSpaceDE w:val="0"/>
        <w:autoSpaceDN w:val="0"/>
        <w:spacing w:after="0"/>
        <w:ind w:left="424" w:hanging="424"/>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3. Programme de consommation durable et substitution partielle au bois-énergie</w:t>
      </w:r>
    </w:p>
    <w:p w14:paraId="603B3C1F" w14:textId="77777777" w:rsidR="007E748A" w:rsidRPr="007E748A" w:rsidRDefault="007E748A" w:rsidP="007E748A">
      <w:pPr>
        <w:widowControl w:val="0"/>
        <w:autoSpaceDE w:val="0"/>
        <w:autoSpaceDN w:val="0"/>
        <w:spacing w:after="0"/>
        <w:ind w:left="424" w:hanging="424"/>
        <w:jc w:val="both"/>
        <w:rPr>
          <w:rFonts w:ascii="Avenir Next LT Pro" w:eastAsia="Arial Narrow" w:hAnsi="Avenir Next LT Pro" w:cstheme="minorHAnsi"/>
          <w:sz w:val="20"/>
          <w:szCs w:val="20"/>
        </w:rPr>
      </w:pPr>
      <w:r w:rsidRPr="007E748A">
        <w:rPr>
          <w:rFonts w:ascii="Avenir Next LT Pro" w:eastAsia="Arial Narrow" w:hAnsi="Avenir Next LT Pro" w:cstheme="minorHAnsi"/>
          <w:sz w:val="20"/>
          <w:szCs w:val="20"/>
        </w:rPr>
        <w:t>4. Programme d’Appui à la réforme de l'Aménagement du Territoire</w:t>
      </w:r>
    </w:p>
    <w:p w14:paraId="47AE05B8" w14:textId="1BB64445" w:rsidR="00320D04" w:rsidRDefault="007E748A" w:rsidP="00320D04">
      <w:pPr>
        <w:pStyle w:val="Commentaire"/>
        <w:spacing w:after="0"/>
        <w:ind w:left="256" w:hanging="256"/>
        <w:rPr>
          <w:rFonts w:ascii="Avenir Next LT Pro" w:hAnsi="Avenir Next LT Pro" w:cstheme="minorHAnsi"/>
        </w:rPr>
      </w:pPr>
      <w:r w:rsidRPr="007E748A">
        <w:rPr>
          <w:rFonts w:ascii="Avenir Next LT Pro" w:eastAsia="Arial Narrow" w:hAnsi="Avenir Next LT Pro" w:cstheme="minorHAnsi"/>
        </w:rPr>
        <w:t>5.</w:t>
      </w:r>
      <w:r w:rsidRPr="007E748A">
        <w:rPr>
          <w:rFonts w:ascii="Avenir Next LT Pro" w:hAnsi="Avenir Next LT Pro" w:cstheme="minorHAnsi"/>
        </w:rPr>
        <w:t xml:space="preserve"> Projet d’appui à la mise en œuvre de la Contribution Déterminée à l’échelle Nationale (CDN)</w:t>
      </w:r>
      <w:r>
        <w:rPr>
          <w:rFonts w:ascii="Avenir Next LT Pro" w:hAnsi="Avenir Next LT Pro" w:cstheme="minorHAnsi"/>
        </w:rPr>
        <w:t xml:space="preserve"> </w:t>
      </w:r>
      <w:r w:rsidRPr="007E748A">
        <w:rPr>
          <w:rFonts w:ascii="Avenir Next LT Pro" w:hAnsi="Avenir Next LT Pro" w:cstheme="minorHAnsi"/>
        </w:rPr>
        <w:t>en République Démocratique du Congo</w:t>
      </w:r>
      <w:r w:rsidR="00320D04">
        <w:rPr>
          <w:rFonts w:ascii="Avenir Next LT Pro" w:hAnsi="Avenir Next LT Pro" w:cstheme="minorHAnsi"/>
        </w:rPr>
        <w:t>.</w:t>
      </w:r>
    </w:p>
    <w:p w14:paraId="65F085C0" w14:textId="77777777" w:rsidR="00320D04" w:rsidRDefault="00320D04" w:rsidP="00320D04">
      <w:pPr>
        <w:pStyle w:val="Commentaire"/>
        <w:spacing w:after="0"/>
        <w:ind w:left="256" w:hanging="256"/>
        <w:rPr>
          <w:rStyle w:val="Titre1Car"/>
          <w:rFonts w:ascii="Avenir Next LT Pro" w:hAnsi="Avenir Next LT Pro"/>
          <w:b w:val="0"/>
          <w:bCs w:val="0"/>
          <w:sz w:val="20"/>
        </w:rPr>
      </w:pPr>
    </w:p>
    <w:p w14:paraId="5773D80B" w14:textId="2CC97584" w:rsidR="00DF5138" w:rsidRPr="0074109B" w:rsidRDefault="00DF5138" w:rsidP="0074109B">
      <w:pPr>
        <w:jc w:val="both"/>
        <w:rPr>
          <w:rStyle w:val="Titre1Car"/>
          <w:rFonts w:ascii="Avenir Next LT Pro" w:hAnsi="Avenir Next LT Pro"/>
          <w:b w:val="0"/>
          <w:bCs w:val="0"/>
          <w:sz w:val="20"/>
          <w:szCs w:val="20"/>
        </w:rPr>
      </w:pPr>
      <w:r w:rsidRPr="0074109B">
        <w:rPr>
          <w:rStyle w:val="Titre1Car"/>
          <w:rFonts w:ascii="Avenir Next LT Pro" w:hAnsi="Avenir Next LT Pro"/>
          <w:b w:val="0"/>
          <w:bCs w:val="0"/>
          <w:sz w:val="20"/>
          <w:szCs w:val="20"/>
        </w:rPr>
        <w:t xml:space="preserve">Par contre, en partenariat avec le PNUD, la Direction de Développement Durable du Ministère de l’Environnement et Développement Durable dispose de plusieurs années d’expériences dans la gestion des projets liés à la lutte contre les changements climatiques et la protection de la biodiversité. C’est le cas de Projets Nationaux d’Adaptation aux Changements Climatiques (PANA : renforcement de la résilience du secteur agricole, femmes et enfants, et protection  de la zone côtière) sous financement du Fonds mondial pour l’environnement (GEF) pour un montant de plus de 15M de dollars. Le Fonds Vert pour le Climat (GCF) a également appuyé le MEDD via cette direction dans l’élaboration du Plan national d’adaptation. L’Union Européenne, l’Allemagne via le Ministère en charge de la coopération et GMZ ont appuyé le MEDD pour la révision de la CDN. </w:t>
      </w:r>
    </w:p>
    <w:p w14:paraId="16592A50" w14:textId="67EEC662" w:rsidR="00684E5E" w:rsidRPr="0074109B" w:rsidRDefault="00684E5E" w:rsidP="0074109B">
      <w:pPr>
        <w:pStyle w:val="Titre1"/>
        <w:rPr>
          <w:rFonts w:ascii="Avenir Next LT Pro" w:hAnsi="Avenir Next LT Pro"/>
          <w:sz w:val="20"/>
          <w:szCs w:val="20"/>
        </w:rPr>
      </w:pPr>
      <w:bookmarkStart w:id="48" w:name="_Toc163230383"/>
      <w:r w:rsidRPr="0074109B">
        <w:rPr>
          <w:rStyle w:val="Titre1Car"/>
          <w:rFonts w:ascii="Avenir Next LT Pro" w:hAnsi="Avenir Next LT Pro"/>
          <w:b/>
          <w:bCs/>
          <w:sz w:val="20"/>
          <w:szCs w:val="20"/>
        </w:rPr>
        <w:t>Stratégie d’engagement des parties prenantes</w:t>
      </w:r>
      <w:bookmarkEnd w:id="48"/>
      <w:r w:rsidRPr="0074109B">
        <w:rPr>
          <w:rFonts w:ascii="Avenir Next LT Pro" w:hAnsi="Avenir Next LT Pro"/>
          <w:sz w:val="20"/>
          <w:szCs w:val="20"/>
        </w:rPr>
        <w:t xml:space="preserve"> </w:t>
      </w:r>
    </w:p>
    <w:p w14:paraId="6A9E0F47" w14:textId="77777777" w:rsidR="00B24EDF" w:rsidRPr="0074109B" w:rsidRDefault="00B24EDF" w:rsidP="0074109B">
      <w:pPr>
        <w:spacing w:after="120"/>
        <w:jc w:val="both"/>
        <w:outlineLvl w:val="0"/>
        <w:rPr>
          <w:rFonts w:ascii="Avenir Next LT Pro" w:hAnsi="Avenir Next LT Pro" w:cstheme="minorHAnsi"/>
          <w:b/>
          <w:bCs/>
          <w:sz w:val="20"/>
          <w:szCs w:val="20"/>
          <w:lang w:val="fr-CD" w:eastAsia="fr-FR"/>
        </w:rPr>
      </w:pPr>
      <w:bookmarkStart w:id="49" w:name="_Toc159847014"/>
      <w:r w:rsidRPr="0074109B">
        <w:rPr>
          <w:rFonts w:ascii="Avenir Next LT Pro" w:eastAsia="Times New Roman" w:hAnsi="Avenir Next LT Pro" w:cstheme="minorHAnsi"/>
          <w:sz w:val="20"/>
          <w:szCs w:val="20"/>
          <w:lang w:val="fr-CD" w:eastAsia="en-GB"/>
        </w:rPr>
        <w:t>La mise en œuvre du présent projet fera intervenir plusieurs partenaires dont liste est loin d’être exhaustive. Toutefois, elle met en évidence les partenaires les plus importants du Projet. Il s’agit de :</w:t>
      </w:r>
      <w:bookmarkEnd w:id="49"/>
    </w:p>
    <w:p w14:paraId="4E759D50" w14:textId="77777777" w:rsidR="007407FE" w:rsidRPr="00C345C4" w:rsidRDefault="007407FE" w:rsidP="007407FE">
      <w:pPr>
        <w:pStyle w:val="Titre2"/>
        <w:rPr>
          <w:rFonts w:ascii="Avenir Next LT Pro" w:hAnsi="Avenir Next LT Pro"/>
        </w:rPr>
      </w:pPr>
      <w:bookmarkStart w:id="50" w:name="_Toc163230384"/>
      <w:r w:rsidRPr="00C345C4">
        <w:rPr>
          <w:rFonts w:ascii="Avenir Next LT Pro" w:hAnsi="Avenir Next LT Pro"/>
        </w:rPr>
        <w:t>Gouvernement</w:t>
      </w:r>
      <w:bookmarkEnd w:id="50"/>
    </w:p>
    <w:p w14:paraId="06BC502A" w14:textId="6AD0C1E0" w:rsidR="003A4091" w:rsidRPr="00BA0B12" w:rsidRDefault="00BA0B12" w:rsidP="003A4091">
      <w:pPr>
        <w:spacing w:after="120"/>
        <w:jc w:val="both"/>
        <w:rPr>
          <w:rFonts w:ascii="Avenir Next LT Pro" w:hAnsi="Avenir Next LT Pro"/>
          <w:sz w:val="20"/>
          <w:szCs w:val="20"/>
          <w:highlight w:val="yellow"/>
          <w:lang w:eastAsia="fr-FR"/>
        </w:rPr>
      </w:pPr>
      <w:r w:rsidRPr="00BA0B12">
        <w:rPr>
          <w:rFonts w:ascii="Avenir Next LT Pro" w:hAnsi="Avenir Next LT Pro" w:cstheme="minorHAnsi"/>
          <w:sz w:val="20"/>
          <w:szCs w:val="20"/>
          <w:lang w:val="fr-CD"/>
        </w:rPr>
        <w:t>Le Ministère de l’Environnement et Développement Durable</w:t>
      </w:r>
      <w:r w:rsidRPr="00BA0B12">
        <w:rPr>
          <w:rFonts w:ascii="Avenir Next LT Pro" w:hAnsi="Avenir Next LT Pro"/>
          <w:sz w:val="20"/>
          <w:szCs w:val="20"/>
          <w:lang w:val="fr-CD"/>
        </w:rPr>
        <w:t xml:space="preserve"> </w:t>
      </w:r>
      <w:r w:rsidRPr="00BA0B12">
        <w:rPr>
          <w:rFonts w:ascii="Avenir Next LT Pro" w:hAnsi="Avenir Next LT Pro" w:cstheme="minorHAnsi"/>
          <w:sz w:val="20"/>
          <w:szCs w:val="20"/>
          <w:lang w:val="fr-CD"/>
        </w:rPr>
        <w:t xml:space="preserve">assure l’ancrage institutionnel du Projet et assurera la supervision de la mise en œuvre de l’ensemble des activités. Il demeurera à ce titre, imputable envers le PNUD pour la production des outputs/produits escomptés. Il travaillera en étroite collaboration avec le </w:t>
      </w:r>
      <w:r w:rsidR="00213126" w:rsidRPr="00BA0B12">
        <w:rPr>
          <w:rFonts w:ascii="Avenir Next LT Pro" w:hAnsi="Avenir Next LT Pro" w:cstheme="minorHAnsi"/>
          <w:sz w:val="20"/>
          <w:szCs w:val="20"/>
          <w:lang w:val="fr-CD"/>
        </w:rPr>
        <w:t>ministère</w:t>
      </w:r>
      <w:r w:rsidRPr="00BA0B12">
        <w:rPr>
          <w:rFonts w:ascii="Avenir Next LT Pro" w:hAnsi="Avenir Next LT Pro" w:cstheme="minorHAnsi"/>
          <w:sz w:val="20"/>
          <w:szCs w:val="20"/>
          <w:lang w:val="fr-CD"/>
        </w:rPr>
        <w:t xml:space="preserve"> des Finances, qui jouera un rôle majeur, en liaison avec l’ARMCA, dans le développement des instruments financiers, la mise en place d’un système de financement pérenne ainsi que la mise en œuvre le mécanisme de partage des bénéfices promus par le Projet, et ce conformément aux dispositions en vigueur. D’autres ministères comme le Ministère de l’Agriculture, Ministère du Développement Rural et le Ministère de l’Energie seront directement impliqués dans la mise en œuvre de ce Projet car étant directement liés avec les quatre secteurs prioritaires retenus dans la CDN (forêt, agriculture, énergie et déchets) où des efforts doivent être faits pour réduire les émissions, sauvegarder l’environnement et préserver l’équilibre de la biodiversité. Le Projet œuvra aussi pour la promotion des porteurs de projets de crédit carbone dans ces secteurs. Le </w:t>
      </w:r>
      <w:r w:rsidR="008A5E83">
        <w:rPr>
          <w:rFonts w:ascii="Avenir Next LT Pro" w:hAnsi="Avenir Next LT Pro" w:cstheme="minorHAnsi"/>
          <w:sz w:val="20"/>
          <w:szCs w:val="20"/>
          <w:lang w:val="fr-CD"/>
        </w:rPr>
        <w:t>P</w:t>
      </w:r>
      <w:r w:rsidRPr="00BA0B12">
        <w:rPr>
          <w:rFonts w:ascii="Avenir Next LT Pro" w:hAnsi="Avenir Next LT Pro" w:cstheme="minorHAnsi"/>
          <w:sz w:val="20"/>
          <w:szCs w:val="20"/>
          <w:lang w:val="fr-CD"/>
        </w:rPr>
        <w:t>rojet mettra un accent particulier sur le renforcement des capacités institutionnelles de coordination et de l’intersectorialité.</w:t>
      </w:r>
    </w:p>
    <w:p w14:paraId="79EA0C7A" w14:textId="77777777" w:rsidR="00082E85" w:rsidRPr="00C345C4" w:rsidRDefault="00082E85" w:rsidP="000E7FF0">
      <w:pPr>
        <w:pStyle w:val="Titre2"/>
        <w:rPr>
          <w:rFonts w:ascii="Avenir Next LT Pro" w:hAnsi="Avenir Next LT Pro"/>
        </w:rPr>
      </w:pPr>
      <w:bookmarkStart w:id="51" w:name="_Toc163230385"/>
      <w:r w:rsidRPr="00C345C4">
        <w:rPr>
          <w:rFonts w:ascii="Avenir Next LT Pro" w:hAnsi="Avenir Next LT Pro"/>
        </w:rPr>
        <w:t>Donateurs et partenaires de développement</w:t>
      </w:r>
      <w:bookmarkEnd w:id="51"/>
    </w:p>
    <w:p w14:paraId="43607776" w14:textId="412A0F95" w:rsidR="003A4091" w:rsidRPr="00C345C4" w:rsidRDefault="00225E95" w:rsidP="003A4091">
      <w:pPr>
        <w:spacing w:after="120"/>
        <w:jc w:val="both"/>
        <w:rPr>
          <w:rFonts w:ascii="Avenir Next LT Pro" w:hAnsi="Avenir Next LT Pro"/>
          <w:sz w:val="20"/>
          <w:szCs w:val="20"/>
          <w:highlight w:val="yellow"/>
          <w:lang w:eastAsia="fr-FR"/>
        </w:rPr>
      </w:pPr>
      <w:r w:rsidRPr="00225E95">
        <w:rPr>
          <w:rFonts w:ascii="Avenir Next LT Pro" w:hAnsi="Avenir Next LT Pro"/>
          <w:sz w:val="20"/>
          <w:szCs w:val="20"/>
          <w:lang w:eastAsia="fr-FR"/>
        </w:rPr>
        <w:t xml:space="preserve">Le PNUD a appuyé le Gouvernement de la RDC dans la révision de sa CDN et l’élaboration de sa feuille de route. A plusieurs reprises, cette agence a réussi à mobiliser l’appui technique et financier des divers partenaires bi et multilatéraux pour faire avancer la cause de la lutte contre les changements climatiques en RDC. La dynamique actuelle de l’accompagnement des PTF au développement des marchés du carbone dans le pays, avec la création au sein du Groupe inter bailleurs (GIBEC), d’un cadre de concertation et de coordination des appuis offre l’opportunité de développement avec les PTF impliqués </w:t>
      </w:r>
      <w:r w:rsidR="00E1463F">
        <w:rPr>
          <w:rFonts w:ascii="Avenir Next LT Pro" w:hAnsi="Avenir Next LT Pro"/>
          <w:sz w:val="20"/>
          <w:szCs w:val="20"/>
          <w:lang w:eastAsia="fr-FR"/>
        </w:rPr>
        <w:t xml:space="preserve">dans </w:t>
      </w:r>
      <w:r w:rsidRPr="00225E95">
        <w:rPr>
          <w:rFonts w:ascii="Avenir Next LT Pro" w:hAnsi="Avenir Next LT Pro"/>
          <w:sz w:val="20"/>
          <w:szCs w:val="20"/>
          <w:lang w:eastAsia="fr-FR"/>
        </w:rPr>
        <w:t xml:space="preserve">des actions synergiques et complémentaires de </w:t>
      </w:r>
      <w:r w:rsidRPr="00225E95">
        <w:rPr>
          <w:rFonts w:ascii="Avenir Next LT Pro" w:hAnsi="Avenir Next LT Pro"/>
          <w:sz w:val="20"/>
          <w:szCs w:val="20"/>
          <w:lang w:eastAsia="fr-FR"/>
        </w:rPr>
        <w:lastRenderedPageBreak/>
        <w:t xml:space="preserve">mobilisation de ressources y compris les expertises techniques. A cet effet, les acteurs de ce cadre de concertation seront invités à prendre part aux </w:t>
      </w:r>
      <w:r w:rsidR="005D76F0">
        <w:rPr>
          <w:rFonts w:ascii="Avenir Next LT Pro" w:hAnsi="Avenir Next LT Pro"/>
          <w:sz w:val="20"/>
          <w:szCs w:val="20"/>
          <w:lang w:eastAsia="fr-FR"/>
        </w:rPr>
        <w:t xml:space="preserve">réunions du COTEH </w:t>
      </w:r>
      <w:r w:rsidRPr="00225E95">
        <w:rPr>
          <w:rFonts w:ascii="Avenir Next LT Pro" w:hAnsi="Avenir Next LT Pro"/>
          <w:sz w:val="20"/>
          <w:szCs w:val="20"/>
          <w:lang w:eastAsia="fr-FR"/>
        </w:rPr>
        <w:t>pour renforcer la synergie et mieux coordonner les appuis fournis au développement des marchés du carbone en RDC.</w:t>
      </w:r>
    </w:p>
    <w:p w14:paraId="0EBCBDD0" w14:textId="77777777" w:rsidR="00082E85" w:rsidRPr="00C345C4" w:rsidRDefault="00082E85" w:rsidP="000E7FF0">
      <w:pPr>
        <w:pStyle w:val="Titre2"/>
        <w:rPr>
          <w:rFonts w:ascii="Avenir Next LT Pro" w:hAnsi="Avenir Next LT Pro"/>
        </w:rPr>
      </w:pPr>
      <w:bookmarkStart w:id="52" w:name="_Toc163230386"/>
      <w:r w:rsidRPr="00C345C4">
        <w:rPr>
          <w:rFonts w:ascii="Avenir Next LT Pro" w:hAnsi="Avenir Next LT Pro"/>
        </w:rPr>
        <w:t>Société civile</w:t>
      </w:r>
      <w:bookmarkEnd w:id="52"/>
    </w:p>
    <w:p w14:paraId="6482E15C" w14:textId="354ACB3A" w:rsidR="003A4091" w:rsidRPr="00C345C4" w:rsidRDefault="007D7E1B" w:rsidP="003A4091">
      <w:pPr>
        <w:spacing w:after="120"/>
        <w:jc w:val="both"/>
        <w:rPr>
          <w:rFonts w:ascii="Avenir Next LT Pro" w:hAnsi="Avenir Next LT Pro"/>
          <w:sz w:val="20"/>
          <w:szCs w:val="20"/>
          <w:highlight w:val="yellow"/>
          <w:lang w:eastAsia="fr-FR"/>
        </w:rPr>
      </w:pPr>
      <w:r w:rsidRPr="00A9010F">
        <w:rPr>
          <w:rFonts w:asciiTheme="minorHAnsi" w:hAnsiTheme="minorHAnsi" w:cstheme="minorHAnsi"/>
          <w:lang w:val="fr-CD"/>
        </w:rPr>
        <w:t xml:space="preserve">Le </w:t>
      </w:r>
      <w:r w:rsidR="00E24606">
        <w:rPr>
          <w:rFonts w:asciiTheme="minorHAnsi" w:hAnsiTheme="minorHAnsi" w:cstheme="minorHAnsi"/>
          <w:lang w:val="fr-CD"/>
        </w:rPr>
        <w:t>P</w:t>
      </w:r>
      <w:r w:rsidRPr="00A9010F">
        <w:rPr>
          <w:rFonts w:asciiTheme="minorHAnsi" w:hAnsiTheme="minorHAnsi" w:cstheme="minorHAnsi"/>
          <w:lang w:val="fr-CD"/>
        </w:rPr>
        <w:t xml:space="preserve">rojet s'engagera de manière proactive avec une série de groupes de la société civile identifiés comme des partenaires essentiels et/ou des cibles du </w:t>
      </w:r>
      <w:r w:rsidR="00E428AD">
        <w:rPr>
          <w:rFonts w:asciiTheme="minorHAnsi" w:hAnsiTheme="minorHAnsi" w:cstheme="minorHAnsi"/>
          <w:lang w:val="fr-CD"/>
        </w:rPr>
        <w:t>P</w:t>
      </w:r>
      <w:r w:rsidRPr="00A9010F">
        <w:rPr>
          <w:rFonts w:asciiTheme="minorHAnsi" w:hAnsiTheme="minorHAnsi" w:cstheme="minorHAnsi"/>
          <w:lang w:val="fr-CD"/>
        </w:rPr>
        <w:t xml:space="preserve">rojet, y compris des organisations de la société civile, des groupes de femmes, des groupes de jeunes, des organisations confessionnelles, des chefs traditionnels, des organisations communautaires, des collectifs économiques et d'autres groupements. Le </w:t>
      </w:r>
      <w:r w:rsidR="00E428AD">
        <w:rPr>
          <w:rFonts w:asciiTheme="minorHAnsi" w:hAnsiTheme="minorHAnsi" w:cstheme="minorHAnsi"/>
          <w:lang w:val="fr-CD"/>
        </w:rPr>
        <w:t>P</w:t>
      </w:r>
      <w:r w:rsidRPr="00A9010F">
        <w:rPr>
          <w:rFonts w:asciiTheme="minorHAnsi" w:hAnsiTheme="minorHAnsi" w:cstheme="minorHAnsi"/>
          <w:lang w:val="fr-CD"/>
        </w:rPr>
        <w:t xml:space="preserve">rojet collaborera avec ces partenaires pour renforcer leurs capacités. Les ONG locales et les associations locales professionnelles et confessionnelles seront mises à contribution pour </w:t>
      </w:r>
      <w:r w:rsidR="00D21D7B">
        <w:rPr>
          <w:rFonts w:asciiTheme="minorHAnsi" w:hAnsiTheme="minorHAnsi" w:cstheme="minorHAnsi"/>
          <w:lang w:val="fr-CD"/>
        </w:rPr>
        <w:t xml:space="preserve">l’engagement et la </w:t>
      </w:r>
      <w:r w:rsidRPr="00A9010F">
        <w:rPr>
          <w:rFonts w:asciiTheme="minorHAnsi" w:hAnsiTheme="minorHAnsi" w:cstheme="minorHAnsi"/>
          <w:lang w:val="fr-CD"/>
        </w:rPr>
        <w:t>sensibilis</w:t>
      </w:r>
      <w:r w:rsidR="00D21D7B">
        <w:rPr>
          <w:rFonts w:asciiTheme="minorHAnsi" w:hAnsiTheme="minorHAnsi" w:cstheme="minorHAnsi"/>
          <w:lang w:val="fr-CD"/>
        </w:rPr>
        <w:t>ation</w:t>
      </w:r>
      <w:r w:rsidRPr="00A9010F">
        <w:rPr>
          <w:rFonts w:asciiTheme="minorHAnsi" w:hAnsiTheme="minorHAnsi" w:cstheme="minorHAnsi"/>
          <w:lang w:val="fr-CD"/>
        </w:rPr>
        <w:t xml:space="preserve"> </w:t>
      </w:r>
      <w:r w:rsidR="00D21D7B">
        <w:rPr>
          <w:rFonts w:asciiTheme="minorHAnsi" w:hAnsiTheme="minorHAnsi" w:cstheme="minorHAnsi"/>
          <w:lang w:val="fr-CD"/>
        </w:rPr>
        <w:t>d</w:t>
      </w:r>
      <w:r w:rsidRPr="00A9010F">
        <w:rPr>
          <w:rFonts w:asciiTheme="minorHAnsi" w:hAnsiTheme="minorHAnsi" w:cstheme="minorHAnsi"/>
          <w:lang w:val="fr-CD"/>
        </w:rPr>
        <w:t>es communautés locales et peuples autochtones.</w:t>
      </w:r>
      <w:r w:rsidRPr="00A9010F">
        <w:rPr>
          <w:lang w:val="fr-CD"/>
        </w:rPr>
        <w:t xml:space="preserve"> </w:t>
      </w:r>
      <w:r w:rsidRPr="00A9010F">
        <w:rPr>
          <w:rFonts w:asciiTheme="minorHAnsi" w:hAnsiTheme="minorHAnsi" w:cstheme="minorHAnsi"/>
          <w:lang w:val="fr-CD"/>
        </w:rPr>
        <w:t xml:space="preserve">Ces partenaires seront des intermédiaires importants pour atteindre les communautés afin de les engager dans le processus de réalisation des résultats du </w:t>
      </w:r>
      <w:r w:rsidR="0019122A">
        <w:rPr>
          <w:rFonts w:asciiTheme="minorHAnsi" w:hAnsiTheme="minorHAnsi" w:cstheme="minorHAnsi"/>
          <w:lang w:val="fr-CD"/>
        </w:rPr>
        <w:t>P</w:t>
      </w:r>
      <w:r w:rsidRPr="00A9010F">
        <w:rPr>
          <w:rFonts w:asciiTheme="minorHAnsi" w:hAnsiTheme="minorHAnsi" w:cstheme="minorHAnsi"/>
          <w:lang w:val="fr-CD"/>
        </w:rPr>
        <w:t>rojet.</w:t>
      </w:r>
    </w:p>
    <w:p w14:paraId="72EC0943" w14:textId="77777777" w:rsidR="00BD4AA7" w:rsidRPr="00C345C4" w:rsidRDefault="00082E85" w:rsidP="000E7FF0">
      <w:pPr>
        <w:pStyle w:val="Titre2"/>
        <w:rPr>
          <w:rFonts w:ascii="Avenir Next LT Pro" w:hAnsi="Avenir Next LT Pro"/>
        </w:rPr>
      </w:pPr>
      <w:bookmarkStart w:id="53" w:name="_Toc163230387"/>
      <w:r w:rsidRPr="00C345C4">
        <w:rPr>
          <w:rFonts w:ascii="Avenir Next LT Pro" w:hAnsi="Avenir Next LT Pro"/>
        </w:rPr>
        <w:t>Secteur privé</w:t>
      </w:r>
      <w:bookmarkEnd w:id="53"/>
    </w:p>
    <w:p w14:paraId="531D6D45" w14:textId="25476385" w:rsidR="003A4091" w:rsidRPr="00C345C4" w:rsidRDefault="00DE5EAA" w:rsidP="003A4091">
      <w:pPr>
        <w:spacing w:after="120"/>
        <w:jc w:val="both"/>
        <w:rPr>
          <w:rFonts w:ascii="Avenir Next LT Pro" w:hAnsi="Avenir Next LT Pro"/>
          <w:sz w:val="20"/>
          <w:szCs w:val="20"/>
          <w:highlight w:val="yellow"/>
          <w:lang w:eastAsia="fr-FR"/>
        </w:rPr>
      </w:pPr>
      <w:r w:rsidRPr="00DE5EAA">
        <w:rPr>
          <w:rFonts w:ascii="Avenir Next LT Pro" w:hAnsi="Avenir Next LT Pro"/>
          <w:sz w:val="20"/>
          <w:szCs w:val="20"/>
          <w:lang w:eastAsia="fr-FR"/>
        </w:rPr>
        <w:t xml:space="preserve">Le secteur privé a un rôle à jouer en tant qu'interlocuteur, </w:t>
      </w:r>
      <w:r w:rsidR="00E157A5">
        <w:rPr>
          <w:rFonts w:ascii="Avenir Next LT Pro" w:hAnsi="Avenir Next LT Pro"/>
          <w:sz w:val="20"/>
          <w:szCs w:val="20"/>
          <w:lang w:eastAsia="fr-FR"/>
        </w:rPr>
        <w:t>notamment dans le cadre du</w:t>
      </w:r>
      <w:r w:rsidRPr="00DE5EAA">
        <w:rPr>
          <w:rFonts w:ascii="Avenir Next LT Pro" w:hAnsi="Avenir Next LT Pro"/>
          <w:sz w:val="20"/>
          <w:szCs w:val="20"/>
          <w:lang w:eastAsia="fr-FR"/>
        </w:rPr>
        <w:t xml:space="preserve"> dialogue politique et </w:t>
      </w:r>
      <w:r w:rsidR="00E157A5">
        <w:rPr>
          <w:rFonts w:ascii="Avenir Next LT Pro" w:hAnsi="Avenir Next LT Pro"/>
          <w:sz w:val="20"/>
          <w:szCs w:val="20"/>
          <w:lang w:eastAsia="fr-FR"/>
        </w:rPr>
        <w:t>la mobilisation des financements</w:t>
      </w:r>
      <w:r w:rsidRPr="00DE5EAA">
        <w:rPr>
          <w:rFonts w:ascii="Avenir Next LT Pro" w:hAnsi="Avenir Next LT Pro"/>
          <w:sz w:val="20"/>
          <w:szCs w:val="20"/>
          <w:lang w:eastAsia="fr-FR"/>
        </w:rPr>
        <w:t xml:space="preserve">. La FEC (Fédération des entreprises congolaises) sera associée à la mise en œuvre de ce </w:t>
      </w:r>
      <w:r w:rsidR="00E157A5">
        <w:rPr>
          <w:rFonts w:ascii="Avenir Next LT Pro" w:hAnsi="Avenir Next LT Pro"/>
          <w:sz w:val="20"/>
          <w:szCs w:val="20"/>
          <w:lang w:eastAsia="fr-FR"/>
        </w:rPr>
        <w:t>P</w:t>
      </w:r>
      <w:r w:rsidRPr="00DE5EAA">
        <w:rPr>
          <w:rFonts w:ascii="Avenir Next LT Pro" w:hAnsi="Avenir Next LT Pro"/>
          <w:sz w:val="20"/>
          <w:szCs w:val="20"/>
          <w:lang w:eastAsia="fr-FR"/>
        </w:rPr>
        <w:t xml:space="preserve">rojet, notamment comme membre du Comité de Pilotage </w:t>
      </w:r>
      <w:r w:rsidR="0012389A">
        <w:rPr>
          <w:rFonts w:ascii="Avenir Next LT Pro" w:hAnsi="Avenir Next LT Pro"/>
          <w:sz w:val="20"/>
          <w:szCs w:val="20"/>
          <w:lang w:eastAsia="fr-FR"/>
        </w:rPr>
        <w:t xml:space="preserve">et du </w:t>
      </w:r>
      <w:r w:rsidR="0091434A">
        <w:rPr>
          <w:rFonts w:ascii="Avenir Next LT Pro" w:hAnsi="Avenir Next LT Pro"/>
          <w:sz w:val="20"/>
          <w:szCs w:val="20"/>
          <w:lang w:eastAsia="fr-FR"/>
        </w:rPr>
        <w:t>Comité</w:t>
      </w:r>
      <w:r w:rsidR="0012389A">
        <w:rPr>
          <w:rFonts w:ascii="Avenir Next LT Pro" w:hAnsi="Avenir Next LT Pro"/>
          <w:sz w:val="20"/>
          <w:szCs w:val="20"/>
          <w:lang w:eastAsia="fr-FR"/>
        </w:rPr>
        <w:t xml:space="preserve"> Technique</w:t>
      </w:r>
      <w:r w:rsidR="0091434A">
        <w:rPr>
          <w:rFonts w:ascii="Avenir Next LT Pro" w:hAnsi="Avenir Next LT Pro"/>
          <w:sz w:val="20"/>
          <w:szCs w:val="20"/>
          <w:lang w:eastAsia="fr-FR"/>
        </w:rPr>
        <w:t>, ainsi que</w:t>
      </w:r>
      <w:r w:rsidRPr="00DE5EAA">
        <w:rPr>
          <w:rFonts w:ascii="Avenir Next LT Pro" w:hAnsi="Avenir Next LT Pro"/>
          <w:sz w:val="20"/>
          <w:szCs w:val="20"/>
          <w:lang w:eastAsia="fr-FR"/>
        </w:rPr>
        <w:t xml:space="preserve"> parties prenantes des cadres de dialogue et de concertation qui seront mis en place </w:t>
      </w:r>
      <w:r w:rsidR="0091434A">
        <w:rPr>
          <w:rFonts w:ascii="Avenir Next LT Pro" w:hAnsi="Avenir Next LT Pro"/>
          <w:sz w:val="20"/>
          <w:szCs w:val="20"/>
          <w:lang w:eastAsia="fr-FR"/>
        </w:rPr>
        <w:t xml:space="preserve">ou mobilisés </w:t>
      </w:r>
      <w:r w:rsidRPr="00DE5EAA">
        <w:rPr>
          <w:rFonts w:ascii="Avenir Next LT Pro" w:hAnsi="Avenir Next LT Pro"/>
          <w:sz w:val="20"/>
          <w:szCs w:val="20"/>
          <w:lang w:eastAsia="fr-FR"/>
        </w:rPr>
        <w:t xml:space="preserve">avec l’appui du </w:t>
      </w:r>
      <w:r w:rsidR="0091434A">
        <w:rPr>
          <w:rFonts w:ascii="Avenir Next LT Pro" w:hAnsi="Avenir Next LT Pro"/>
          <w:sz w:val="20"/>
          <w:szCs w:val="20"/>
          <w:lang w:eastAsia="fr-FR"/>
        </w:rPr>
        <w:t>P</w:t>
      </w:r>
      <w:r w:rsidRPr="00DE5EAA">
        <w:rPr>
          <w:rFonts w:ascii="Avenir Next LT Pro" w:hAnsi="Avenir Next LT Pro"/>
          <w:sz w:val="20"/>
          <w:szCs w:val="20"/>
          <w:lang w:eastAsia="fr-FR"/>
        </w:rPr>
        <w:t>rojet.</w:t>
      </w:r>
    </w:p>
    <w:p w14:paraId="79CA7BAC" w14:textId="4EBDD2B6" w:rsidR="00082E85" w:rsidRPr="00C345C4" w:rsidRDefault="009E50D9" w:rsidP="000E7FF0">
      <w:pPr>
        <w:pStyle w:val="Titre2"/>
        <w:rPr>
          <w:rFonts w:ascii="Avenir Next LT Pro" w:hAnsi="Avenir Next LT Pro"/>
        </w:rPr>
      </w:pPr>
      <w:bookmarkStart w:id="54" w:name="_Toc163230388"/>
      <w:r w:rsidRPr="00C345C4">
        <w:rPr>
          <w:rFonts w:ascii="Avenir Next LT Pro" w:hAnsi="Avenir Next LT Pro"/>
        </w:rPr>
        <w:t>Autres</w:t>
      </w:r>
      <w:r w:rsidR="00A656D2" w:rsidRPr="00C345C4">
        <w:rPr>
          <w:rFonts w:ascii="Avenir Next LT Pro" w:hAnsi="Avenir Next LT Pro"/>
        </w:rPr>
        <w:t xml:space="preserve"> : </w:t>
      </w:r>
      <w:r w:rsidR="00BD4AA7" w:rsidRPr="00C345C4">
        <w:rPr>
          <w:rFonts w:ascii="Avenir Next LT Pro" w:hAnsi="Avenir Next LT Pro"/>
        </w:rPr>
        <w:t>Organisation d’éducation et</w:t>
      </w:r>
      <w:r w:rsidR="00081FA9" w:rsidRPr="00C345C4">
        <w:rPr>
          <w:rFonts w:ascii="Avenir Next LT Pro" w:hAnsi="Avenir Next LT Pro"/>
        </w:rPr>
        <w:t>/ou</w:t>
      </w:r>
      <w:r w:rsidR="00BD4AA7" w:rsidRPr="00C345C4">
        <w:rPr>
          <w:rFonts w:ascii="Avenir Next LT Pro" w:hAnsi="Avenir Next LT Pro"/>
        </w:rPr>
        <w:t xml:space="preserve"> de recherche</w:t>
      </w:r>
      <w:bookmarkEnd w:id="54"/>
      <w:r w:rsidR="00082E85" w:rsidRPr="00C345C4">
        <w:rPr>
          <w:rFonts w:ascii="Avenir Next LT Pro" w:hAnsi="Avenir Next LT Pro"/>
        </w:rPr>
        <w:t xml:space="preserve"> </w:t>
      </w:r>
    </w:p>
    <w:p w14:paraId="6ACE1AF9" w14:textId="24575230" w:rsidR="00597CAA" w:rsidRPr="00597CAA" w:rsidRDefault="00597CAA" w:rsidP="00597CAA">
      <w:pPr>
        <w:spacing w:after="120"/>
        <w:jc w:val="both"/>
        <w:rPr>
          <w:rFonts w:ascii="Avenir Next LT Pro" w:hAnsi="Avenir Next LT Pro"/>
          <w:sz w:val="20"/>
          <w:szCs w:val="20"/>
          <w:lang w:eastAsia="fr-FR"/>
        </w:rPr>
      </w:pPr>
      <w:r w:rsidRPr="00597CAA">
        <w:rPr>
          <w:rFonts w:ascii="Avenir Next LT Pro" w:hAnsi="Avenir Next LT Pro"/>
          <w:b/>
          <w:bCs/>
          <w:sz w:val="20"/>
          <w:szCs w:val="20"/>
          <w:lang w:eastAsia="fr-FR"/>
        </w:rPr>
        <w:t>Les Universités et Instituts de recherche</w:t>
      </w:r>
      <w:r w:rsidRPr="00597CAA">
        <w:rPr>
          <w:rFonts w:ascii="Avenir Next LT Pro" w:hAnsi="Avenir Next LT Pro"/>
          <w:sz w:val="20"/>
          <w:szCs w:val="20"/>
          <w:lang w:eastAsia="fr-FR"/>
        </w:rPr>
        <w:t xml:space="preserve"> : Le </w:t>
      </w:r>
      <w:r>
        <w:rPr>
          <w:rFonts w:ascii="Avenir Next LT Pro" w:hAnsi="Avenir Next LT Pro"/>
          <w:sz w:val="20"/>
          <w:szCs w:val="20"/>
          <w:lang w:eastAsia="fr-FR"/>
        </w:rPr>
        <w:t>P</w:t>
      </w:r>
      <w:r w:rsidRPr="00597CAA">
        <w:rPr>
          <w:rFonts w:ascii="Avenir Next LT Pro" w:hAnsi="Avenir Next LT Pro"/>
          <w:sz w:val="20"/>
          <w:szCs w:val="20"/>
          <w:lang w:eastAsia="fr-FR"/>
        </w:rPr>
        <w:t xml:space="preserve">rojet capitalisera sur les partenariats établis avec les centres et instituts de recherche et nouera au besoin de nouveaux partenariats en liaison avec le Laboratoire d’accélération du PNUD pour promouvoir des solutions éco-innovantes dans les secteurs de la foresterie, des énergies renouvelables et de la gestion des déchets. Une attention sera accordée au développement de capacités techniques et technologiques dans le déploiement de l’infrastructure des marchés du carbone. A ce niveau, le plaidoyer et la mise en place de plateformes de partage d’expériences pour la promotion des technologies propres, notamment dans les secteurs ci-dessus cités sera aussi promue. Le </w:t>
      </w:r>
      <w:r w:rsidR="00642075">
        <w:rPr>
          <w:rFonts w:ascii="Avenir Next LT Pro" w:hAnsi="Avenir Next LT Pro"/>
          <w:sz w:val="20"/>
          <w:szCs w:val="20"/>
          <w:lang w:eastAsia="fr-FR"/>
        </w:rPr>
        <w:t>P</w:t>
      </w:r>
      <w:r w:rsidRPr="00597CAA">
        <w:rPr>
          <w:rFonts w:ascii="Avenir Next LT Pro" w:hAnsi="Avenir Next LT Pro"/>
          <w:sz w:val="20"/>
          <w:szCs w:val="20"/>
          <w:lang w:eastAsia="fr-FR"/>
        </w:rPr>
        <w:t>rojet favorisera le partage des connaissances et les meilleures pratiques.</w:t>
      </w:r>
    </w:p>
    <w:p w14:paraId="7FEDBE3C" w14:textId="44F8BA87" w:rsidR="00597CAA" w:rsidRPr="00597CAA" w:rsidRDefault="00597CAA" w:rsidP="00597CAA">
      <w:pPr>
        <w:spacing w:after="120"/>
        <w:jc w:val="both"/>
        <w:rPr>
          <w:rFonts w:ascii="Avenir Next LT Pro" w:hAnsi="Avenir Next LT Pro"/>
          <w:sz w:val="20"/>
          <w:szCs w:val="20"/>
          <w:lang w:eastAsia="fr-FR"/>
        </w:rPr>
      </w:pPr>
      <w:r w:rsidRPr="00597CAA">
        <w:rPr>
          <w:rFonts w:ascii="Avenir Next LT Pro" w:hAnsi="Avenir Next LT Pro"/>
          <w:sz w:val="20"/>
          <w:szCs w:val="20"/>
          <w:lang w:eastAsia="fr-FR"/>
        </w:rPr>
        <w:t xml:space="preserve">Le </w:t>
      </w:r>
      <w:r w:rsidR="00642075">
        <w:rPr>
          <w:rFonts w:ascii="Avenir Next LT Pro" w:hAnsi="Avenir Next LT Pro"/>
          <w:sz w:val="20"/>
          <w:szCs w:val="20"/>
          <w:lang w:eastAsia="fr-FR"/>
        </w:rPr>
        <w:t>P</w:t>
      </w:r>
      <w:r w:rsidRPr="00597CAA">
        <w:rPr>
          <w:rFonts w:ascii="Avenir Next LT Pro" w:hAnsi="Avenir Next LT Pro"/>
          <w:sz w:val="20"/>
          <w:szCs w:val="20"/>
          <w:lang w:eastAsia="fr-FR"/>
        </w:rPr>
        <w:t>rojet utilisera une approche multipartenaire pour rassembler l’ensemble des acteurs autour d’un objectif commun et pour assurer la mise en œuvre de toutes les activités selon le calendrier et les jalons identifiés dans la Lettre d’intention (LOI).</w:t>
      </w:r>
    </w:p>
    <w:p w14:paraId="705A4D9A" w14:textId="77777777" w:rsidR="00972143" w:rsidRPr="00C345C4" w:rsidRDefault="00972143" w:rsidP="003A4091">
      <w:pPr>
        <w:spacing w:after="120"/>
        <w:jc w:val="both"/>
        <w:rPr>
          <w:rFonts w:ascii="Avenir Next LT Pro" w:hAnsi="Avenir Next LT Pro"/>
          <w:sz w:val="20"/>
          <w:szCs w:val="20"/>
          <w:highlight w:val="yellow"/>
          <w:lang w:eastAsia="fr-FR"/>
        </w:rPr>
      </w:pPr>
    </w:p>
    <w:p w14:paraId="1A7C6DDD" w14:textId="1E1CEBB3" w:rsidR="007B3327" w:rsidRPr="00C345C4" w:rsidRDefault="00684E5E" w:rsidP="007B3327">
      <w:pPr>
        <w:pStyle w:val="Titre1"/>
        <w:rPr>
          <w:rFonts w:ascii="Avenir Next LT Pro" w:hAnsi="Avenir Next LT Pro"/>
        </w:rPr>
      </w:pPr>
      <w:bookmarkStart w:id="55" w:name="_Toc163230389"/>
      <w:r w:rsidRPr="00C345C4">
        <w:rPr>
          <w:rFonts w:ascii="Avenir Next LT Pro" w:hAnsi="Avenir Next LT Pro"/>
        </w:rPr>
        <w:t xml:space="preserve">Gestion des </w:t>
      </w:r>
      <w:r w:rsidR="003C241B" w:rsidRPr="00C345C4">
        <w:rPr>
          <w:rFonts w:ascii="Avenir Next LT Pro" w:hAnsi="Avenir Next LT Pro"/>
        </w:rPr>
        <w:t>r</w:t>
      </w:r>
      <w:r w:rsidRPr="00C345C4">
        <w:rPr>
          <w:rFonts w:ascii="Avenir Next LT Pro" w:hAnsi="Avenir Next LT Pro"/>
        </w:rPr>
        <w:t>isques</w:t>
      </w:r>
      <w:r w:rsidR="004138D2" w:rsidRPr="00C345C4">
        <w:rPr>
          <w:rFonts w:ascii="Avenir Next LT Pro" w:hAnsi="Avenir Next LT Pro"/>
        </w:rPr>
        <w:t xml:space="preserve"> et </w:t>
      </w:r>
      <w:r w:rsidR="003A35DC" w:rsidRPr="00C345C4">
        <w:rPr>
          <w:rFonts w:ascii="Avenir Next LT Pro" w:hAnsi="Avenir Next LT Pro"/>
        </w:rPr>
        <w:t xml:space="preserve">des </w:t>
      </w:r>
      <w:r w:rsidR="004138D2" w:rsidRPr="00C345C4">
        <w:rPr>
          <w:rFonts w:ascii="Avenir Next LT Pro" w:hAnsi="Avenir Next LT Pro"/>
        </w:rPr>
        <w:t>sauvegardes</w:t>
      </w:r>
      <w:bookmarkEnd w:id="55"/>
      <w:r w:rsidR="004138D2" w:rsidRPr="00C345C4">
        <w:rPr>
          <w:rFonts w:ascii="Avenir Next LT Pro" w:hAnsi="Avenir Next LT Pro"/>
        </w:rPr>
        <w:t xml:space="preserve"> </w:t>
      </w:r>
    </w:p>
    <w:p w14:paraId="295F2BFB" w14:textId="299DAB67" w:rsidR="00B811C5" w:rsidRPr="00C345C4" w:rsidRDefault="00366D2E" w:rsidP="000E7FF0">
      <w:pPr>
        <w:pStyle w:val="Titre2"/>
        <w:rPr>
          <w:rFonts w:ascii="Avenir Next LT Pro" w:hAnsi="Avenir Next LT Pro"/>
        </w:rPr>
      </w:pPr>
      <w:bookmarkStart w:id="56" w:name="_Toc163230390"/>
      <w:r w:rsidRPr="00C345C4">
        <w:rPr>
          <w:rFonts w:ascii="Avenir Next LT Pro" w:hAnsi="Avenir Next LT Pro"/>
        </w:rPr>
        <w:t>Risques et mesures d’atténuation</w:t>
      </w:r>
      <w:bookmarkEnd w:id="56"/>
      <w:r w:rsidRPr="00C345C4">
        <w:rPr>
          <w:rFonts w:ascii="Avenir Next LT Pro" w:hAnsi="Avenir Next LT Pro"/>
        </w:rPr>
        <w:t xml:space="preserve"> </w:t>
      </w:r>
    </w:p>
    <w:p w14:paraId="5366A5A4" w14:textId="77777777" w:rsidR="001D2ECF" w:rsidRPr="00C345C4" w:rsidRDefault="001D2ECF" w:rsidP="003A4091">
      <w:pPr>
        <w:spacing w:after="120"/>
        <w:jc w:val="both"/>
        <w:rPr>
          <w:rFonts w:ascii="Avenir Next LT Pro" w:hAnsi="Avenir Next LT Pro"/>
          <w:sz w:val="20"/>
          <w:szCs w:val="20"/>
          <w:highlight w:val="yellow"/>
          <w:lang w:eastAsia="fr-FR"/>
        </w:rPr>
      </w:pPr>
    </w:p>
    <w:p w14:paraId="744272DD" w14:textId="77777777" w:rsidR="00684E5E" w:rsidRPr="00C345C4" w:rsidRDefault="00684E5E" w:rsidP="003A4091">
      <w:pPr>
        <w:spacing w:after="120"/>
        <w:jc w:val="both"/>
        <w:rPr>
          <w:rFonts w:ascii="Avenir Next LT Pro" w:hAnsi="Avenir Next LT Pro"/>
          <w:sz w:val="20"/>
          <w:szCs w:val="20"/>
          <w:highlight w:val="yellow"/>
          <w:lang w:eastAsia="fr-FR"/>
        </w:rPr>
      </w:pPr>
    </w:p>
    <w:p w14:paraId="343D88A3" w14:textId="77777777" w:rsidR="00684E5E" w:rsidRPr="00C345C4" w:rsidRDefault="00684E5E" w:rsidP="003A4091">
      <w:pPr>
        <w:spacing w:after="120"/>
        <w:jc w:val="both"/>
        <w:rPr>
          <w:rFonts w:ascii="Avenir Next LT Pro" w:hAnsi="Avenir Next LT Pro"/>
          <w:sz w:val="20"/>
          <w:szCs w:val="20"/>
          <w:highlight w:val="yellow"/>
          <w:lang w:eastAsia="fr-FR"/>
        </w:rPr>
        <w:sectPr w:rsidR="00684E5E" w:rsidRPr="00C345C4" w:rsidSect="00861E2D">
          <w:headerReference w:type="default" r:id="rId24"/>
          <w:pgSz w:w="11906" w:h="16838"/>
          <w:pgMar w:top="1417" w:right="1417" w:bottom="1417" w:left="1417" w:header="708" w:footer="708" w:gutter="0"/>
          <w:cols w:space="708"/>
          <w:docGrid w:linePitch="360"/>
        </w:sectPr>
      </w:pPr>
    </w:p>
    <w:p w14:paraId="37AFB4E6" w14:textId="77777777" w:rsidR="00684E5E" w:rsidRPr="00C345C4" w:rsidRDefault="00684E5E" w:rsidP="00684E5E">
      <w:pPr>
        <w:spacing w:after="0"/>
        <w:rPr>
          <w:rFonts w:ascii="Avenir Next LT Pro" w:hAnsi="Avenir Next LT Pro"/>
          <w:b/>
          <w:bCs/>
          <w:sz w:val="20"/>
          <w:szCs w:val="20"/>
          <w:lang w:eastAsia="fr-FR"/>
        </w:rPr>
        <w:sectPr w:rsidR="00684E5E" w:rsidRPr="00C345C4" w:rsidSect="00861E2D">
          <w:type w:val="continuous"/>
          <w:pgSz w:w="11906" w:h="16838"/>
          <w:pgMar w:top="1418" w:right="1418" w:bottom="1418" w:left="1418" w:header="709" w:footer="709" w:gutter="0"/>
          <w:cols w:space="708"/>
          <w:docGrid w:linePitch="360"/>
        </w:sectPr>
      </w:pPr>
    </w:p>
    <w:p w14:paraId="6ABBB3AB" w14:textId="49D1CCF5" w:rsidR="00684E5E" w:rsidRPr="00C345C4" w:rsidRDefault="00684E5E" w:rsidP="00684E5E">
      <w:pPr>
        <w:spacing w:after="0"/>
        <w:rPr>
          <w:rFonts w:ascii="Avenir Next LT Pro" w:hAnsi="Avenir Next LT Pro"/>
          <w:b/>
          <w:bCs/>
          <w:sz w:val="20"/>
          <w:szCs w:val="20"/>
          <w:lang w:eastAsia="fr-FR"/>
        </w:rPr>
      </w:pPr>
      <w:r w:rsidRPr="00C345C4">
        <w:rPr>
          <w:rFonts w:ascii="Avenir Next LT Pro" w:hAnsi="Avenir Next LT Pro"/>
          <w:b/>
          <w:bCs/>
          <w:sz w:val="20"/>
          <w:szCs w:val="20"/>
          <w:lang w:eastAsia="fr-FR"/>
        </w:rPr>
        <w:lastRenderedPageBreak/>
        <w:t xml:space="preserve">Matrice de gestion des risques liés au </w:t>
      </w:r>
      <w:r w:rsidR="00C420ED" w:rsidRPr="00C345C4">
        <w:rPr>
          <w:rFonts w:ascii="Avenir Next LT Pro" w:hAnsi="Avenir Next LT Pro"/>
          <w:b/>
          <w:bCs/>
          <w:sz w:val="20"/>
          <w:szCs w:val="20"/>
          <w:lang w:eastAsia="fr-FR"/>
        </w:rPr>
        <w:t>projet</w:t>
      </w:r>
    </w:p>
    <w:p w14:paraId="32DC6DAE" w14:textId="10B0BFBA" w:rsidR="00485B13" w:rsidRPr="00C345C4" w:rsidRDefault="0070389B" w:rsidP="000D7E34">
      <w:pPr>
        <w:spacing w:after="0"/>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La catégorisation des risques ci-dessous se base</w:t>
      </w:r>
      <w:r w:rsidR="00030955" w:rsidRPr="00C345C4">
        <w:rPr>
          <w:rFonts w:ascii="Avenir Next LT Pro" w:hAnsi="Avenir Next LT Pro"/>
          <w:color w:val="3E762A" w:themeColor="accent1" w:themeShade="BF"/>
          <w:sz w:val="20"/>
          <w:szCs w:val="20"/>
          <w:lang w:eastAsia="fr-FR"/>
        </w:rPr>
        <w:t xml:space="preserve"> sur </w:t>
      </w:r>
      <w:hyperlink r:id="rId25" w:history="1">
        <w:r w:rsidR="00030955" w:rsidRPr="00C345C4">
          <w:rPr>
            <w:rStyle w:val="Lienhypertexte"/>
            <w:rFonts w:ascii="Avenir Next LT Pro" w:hAnsi="Avenir Next LT Pro"/>
            <w:sz w:val="20"/>
            <w:szCs w:val="20"/>
            <w:lang w:eastAsia="fr-FR"/>
          </w:rPr>
          <w:t>les catégories de risques du PNUD consultable</w:t>
        </w:r>
        <w:r w:rsidR="007A2159" w:rsidRPr="00C345C4">
          <w:rPr>
            <w:rStyle w:val="Lienhypertexte"/>
            <w:rFonts w:ascii="Avenir Next LT Pro" w:hAnsi="Avenir Next LT Pro"/>
            <w:sz w:val="20"/>
            <w:szCs w:val="20"/>
            <w:lang w:eastAsia="fr-FR"/>
          </w:rPr>
          <w:t>s</w:t>
        </w:r>
        <w:r w:rsidR="00030955" w:rsidRPr="00C345C4">
          <w:rPr>
            <w:rStyle w:val="Lienhypertexte"/>
            <w:rFonts w:ascii="Avenir Next LT Pro" w:hAnsi="Avenir Next LT Pro"/>
            <w:sz w:val="20"/>
            <w:szCs w:val="20"/>
            <w:lang w:eastAsia="fr-FR"/>
          </w:rPr>
          <w:t xml:space="preserve"> </w:t>
        </w:r>
        <w:r w:rsidR="007A2159" w:rsidRPr="00C345C4">
          <w:rPr>
            <w:rStyle w:val="Lienhypertexte"/>
            <w:rFonts w:ascii="Avenir Next LT Pro" w:hAnsi="Avenir Next LT Pro"/>
            <w:sz w:val="20"/>
            <w:szCs w:val="20"/>
            <w:lang w:eastAsia="fr-FR"/>
          </w:rPr>
          <w:t>dans ce lien</w:t>
        </w:r>
      </w:hyperlink>
      <w:hyperlink r:id="rId26" w:history="1">
        <w:r w:rsidR="00D40603" w:rsidRPr="00C345C4">
          <w:rPr>
            <w:rStyle w:val="Lienhypertexte"/>
            <w:rFonts w:ascii="Avenir Next LT Pro" w:hAnsi="Avenir Next LT Pro"/>
            <w:color w:val="3E762A" w:themeColor="accent1" w:themeShade="BF"/>
            <w:sz w:val="20"/>
            <w:szCs w:val="20"/>
            <w:u w:val="none"/>
            <w:lang w:eastAsia="fr-FR"/>
          </w:rPr>
          <w:t>.</w:t>
        </w:r>
        <w:r w:rsidR="00030955" w:rsidRPr="00C345C4">
          <w:rPr>
            <w:rStyle w:val="Lienhypertexte"/>
            <w:rFonts w:ascii="Avenir Next LT Pro" w:hAnsi="Avenir Next LT Pro"/>
            <w:color w:val="3E762A" w:themeColor="accent1" w:themeShade="BF"/>
            <w:sz w:val="20"/>
            <w:szCs w:val="20"/>
            <w:u w:val="none"/>
            <w:lang w:eastAsia="fr-FR"/>
          </w:rPr>
          <w:t> </w:t>
        </w:r>
      </w:hyperlink>
      <w:r w:rsidR="00995808" w:rsidRPr="00C345C4">
        <w:rPr>
          <w:rFonts w:ascii="Avenir Next LT Pro" w:hAnsi="Avenir Next LT Pro"/>
          <w:color w:val="3E762A" w:themeColor="accent1" w:themeShade="BF"/>
          <w:sz w:val="20"/>
          <w:szCs w:val="20"/>
          <w:lang w:eastAsia="fr-FR"/>
        </w:rPr>
        <w:t xml:space="preserve">Parmi les risques qu’il convient de prendre en compte, </w:t>
      </w:r>
      <w:r w:rsidR="006E1705" w:rsidRPr="00C345C4">
        <w:rPr>
          <w:rFonts w:ascii="Avenir Next LT Pro" w:hAnsi="Avenir Next LT Pro"/>
          <w:color w:val="3E762A" w:themeColor="accent1" w:themeShade="BF"/>
          <w:sz w:val="20"/>
          <w:szCs w:val="20"/>
          <w:lang w:eastAsia="fr-FR"/>
        </w:rPr>
        <w:t>on rappellera l’importance de</w:t>
      </w:r>
      <w:r w:rsidR="003F10A9">
        <w:rPr>
          <w:rFonts w:ascii="Avenir Next LT Pro" w:hAnsi="Avenir Next LT Pro"/>
          <w:color w:val="3E762A" w:themeColor="accent1" w:themeShade="BF"/>
          <w:sz w:val="20"/>
          <w:szCs w:val="20"/>
          <w:lang w:eastAsia="fr-FR"/>
        </w:rPr>
        <w:t>s risques</w:t>
      </w:r>
      <w:r w:rsidR="006E1705" w:rsidRPr="00C345C4">
        <w:rPr>
          <w:rFonts w:ascii="Avenir Next LT Pro" w:hAnsi="Avenir Next LT Pro"/>
          <w:color w:val="3E762A" w:themeColor="accent1" w:themeShade="BF"/>
          <w:sz w:val="20"/>
          <w:szCs w:val="20"/>
          <w:lang w:eastAsia="fr-FR"/>
        </w:rPr>
        <w:t xml:space="preserve"> liés </w:t>
      </w:r>
      <w:r w:rsidR="001209C2" w:rsidRPr="00C345C4">
        <w:rPr>
          <w:rFonts w:ascii="Avenir Next LT Pro" w:hAnsi="Avenir Next LT Pro"/>
          <w:color w:val="3E762A" w:themeColor="accent1" w:themeShade="BF"/>
          <w:sz w:val="20"/>
          <w:szCs w:val="20"/>
          <w:lang w:eastAsia="fr-FR"/>
        </w:rPr>
        <w:t>à la sécurisation foncière</w:t>
      </w:r>
      <w:r w:rsidR="006E1705" w:rsidRPr="00C345C4">
        <w:rPr>
          <w:rFonts w:ascii="Avenir Next LT Pro" w:hAnsi="Avenir Next LT Pro"/>
          <w:color w:val="3E762A" w:themeColor="accent1" w:themeShade="BF"/>
          <w:sz w:val="20"/>
          <w:szCs w:val="20"/>
          <w:lang w:eastAsia="fr-FR"/>
        </w:rPr>
        <w:t xml:space="preserve">, </w:t>
      </w:r>
      <w:r w:rsidR="00197613" w:rsidRPr="00C345C4">
        <w:rPr>
          <w:rFonts w:ascii="Avenir Next LT Pro" w:hAnsi="Avenir Next LT Pro"/>
          <w:color w:val="3E762A" w:themeColor="accent1" w:themeShade="BF"/>
          <w:sz w:val="20"/>
          <w:szCs w:val="20"/>
          <w:lang w:eastAsia="fr-FR"/>
        </w:rPr>
        <w:t>aux</w:t>
      </w:r>
      <w:r w:rsidR="000D7E34" w:rsidRPr="00C345C4">
        <w:rPr>
          <w:rFonts w:ascii="Avenir Next LT Pro" w:hAnsi="Avenir Next LT Pro"/>
          <w:color w:val="3E762A" w:themeColor="accent1" w:themeShade="BF"/>
          <w:sz w:val="20"/>
          <w:szCs w:val="20"/>
          <w:lang w:eastAsia="fr-FR"/>
        </w:rPr>
        <w:t xml:space="preserve"> droits</w:t>
      </w:r>
      <w:r w:rsidR="006E1705" w:rsidRPr="00C345C4">
        <w:rPr>
          <w:rFonts w:ascii="Avenir Next LT Pro" w:hAnsi="Avenir Next LT Pro"/>
          <w:color w:val="3E762A" w:themeColor="accent1" w:themeShade="BF"/>
          <w:sz w:val="20"/>
          <w:szCs w:val="20"/>
          <w:lang w:eastAsia="fr-FR"/>
        </w:rPr>
        <w:t xml:space="preserve"> des peuples autochtones</w:t>
      </w:r>
      <w:r w:rsidR="000D7E34" w:rsidRPr="00C345C4">
        <w:rPr>
          <w:rFonts w:ascii="Avenir Next LT Pro" w:hAnsi="Avenir Next LT Pro"/>
          <w:color w:val="3E762A" w:themeColor="accent1" w:themeShade="BF"/>
          <w:sz w:val="20"/>
          <w:szCs w:val="20"/>
          <w:lang w:eastAsia="fr-FR"/>
        </w:rPr>
        <w:t xml:space="preserve">, à la sécurité des équipes et </w:t>
      </w:r>
      <w:r w:rsidR="00197613" w:rsidRPr="00C345C4">
        <w:rPr>
          <w:rFonts w:ascii="Avenir Next LT Pro" w:hAnsi="Avenir Next LT Pro"/>
          <w:color w:val="3E762A" w:themeColor="accent1" w:themeShade="BF"/>
          <w:sz w:val="20"/>
          <w:szCs w:val="20"/>
          <w:lang w:eastAsia="fr-FR"/>
        </w:rPr>
        <w:t xml:space="preserve">des </w:t>
      </w:r>
      <w:r w:rsidR="000D7E34" w:rsidRPr="00C345C4">
        <w:rPr>
          <w:rFonts w:ascii="Avenir Next LT Pro" w:hAnsi="Avenir Next LT Pro"/>
          <w:color w:val="3E762A" w:themeColor="accent1" w:themeShade="BF"/>
          <w:sz w:val="20"/>
          <w:szCs w:val="20"/>
          <w:lang w:eastAsia="fr-FR"/>
        </w:rPr>
        <w:t>bénéficiaires</w:t>
      </w:r>
      <w:r w:rsidR="009155F1" w:rsidRPr="00C345C4">
        <w:rPr>
          <w:rFonts w:ascii="Avenir Next LT Pro" w:hAnsi="Avenir Next LT Pro"/>
          <w:color w:val="3E762A" w:themeColor="accent1" w:themeShade="BF"/>
          <w:sz w:val="20"/>
          <w:szCs w:val="20"/>
          <w:lang w:eastAsia="fr-FR"/>
        </w:rPr>
        <w:t>,</w:t>
      </w:r>
      <w:r w:rsidR="000D7E34" w:rsidRPr="00C345C4">
        <w:rPr>
          <w:rFonts w:ascii="Avenir Next LT Pro" w:hAnsi="Avenir Next LT Pro"/>
          <w:color w:val="3E762A" w:themeColor="accent1" w:themeShade="BF"/>
          <w:sz w:val="20"/>
          <w:szCs w:val="20"/>
          <w:lang w:eastAsia="fr-FR"/>
        </w:rPr>
        <w:t xml:space="preserve"> </w:t>
      </w:r>
      <w:r w:rsidR="00B054EC">
        <w:rPr>
          <w:rFonts w:ascii="Avenir Next LT Pro" w:hAnsi="Avenir Next LT Pro"/>
          <w:color w:val="3E762A" w:themeColor="accent1" w:themeShade="BF"/>
          <w:sz w:val="20"/>
          <w:szCs w:val="20"/>
          <w:lang w:eastAsia="fr-FR"/>
        </w:rPr>
        <w:t xml:space="preserve">à la conservation de la biodiversité, </w:t>
      </w:r>
      <w:r w:rsidR="009006D0" w:rsidRPr="00C345C4">
        <w:rPr>
          <w:rFonts w:ascii="Avenir Next LT Pro" w:hAnsi="Avenir Next LT Pro"/>
          <w:color w:val="3E762A" w:themeColor="accent1" w:themeShade="BF"/>
          <w:sz w:val="20"/>
          <w:szCs w:val="20"/>
          <w:lang w:eastAsia="fr-FR"/>
        </w:rPr>
        <w:t>etc.</w:t>
      </w:r>
      <w:r w:rsidR="006E1705" w:rsidRPr="00C345C4">
        <w:rPr>
          <w:rFonts w:ascii="Avenir Next LT Pro" w:hAnsi="Avenir Next LT Pro"/>
          <w:color w:val="3E762A" w:themeColor="accent1" w:themeShade="BF"/>
          <w:sz w:val="20"/>
          <w:szCs w:val="20"/>
          <w:lang w:eastAsia="fr-FR"/>
        </w:rPr>
        <w:t xml:space="preserve"> </w:t>
      </w:r>
    </w:p>
    <w:p w14:paraId="7C37EC5D" w14:textId="77777777" w:rsidR="00FF672C" w:rsidRDefault="00FF672C" w:rsidP="00FF672C">
      <w:pPr>
        <w:pStyle w:val="Lgende"/>
        <w:spacing w:after="0"/>
        <w:rPr>
          <w:b/>
          <w:bCs/>
          <w:i w:val="0"/>
          <w:iCs w:val="0"/>
          <w:sz w:val="24"/>
          <w:szCs w:val="24"/>
        </w:rPr>
      </w:pPr>
      <w:bookmarkStart w:id="57" w:name="_Toc179238789"/>
    </w:p>
    <w:p w14:paraId="3DE89857" w14:textId="5999CC1A" w:rsidR="00684E5E" w:rsidRPr="00320D04" w:rsidRDefault="0016601A" w:rsidP="00320D04">
      <w:pPr>
        <w:pStyle w:val="Lgende"/>
        <w:rPr>
          <w:rFonts w:ascii="Avenir Next LT Pro" w:hAnsi="Avenir Next LT Pro"/>
          <w:b/>
          <w:bCs/>
          <w:sz w:val="28"/>
          <w:szCs w:val="28"/>
          <w:lang w:eastAsia="fr-FR"/>
        </w:rPr>
      </w:pPr>
      <w:r w:rsidRPr="00320D04">
        <w:rPr>
          <w:b/>
          <w:bCs/>
          <w:i w:val="0"/>
          <w:iCs w:val="0"/>
          <w:sz w:val="24"/>
          <w:szCs w:val="24"/>
        </w:rPr>
        <w:t xml:space="preserve">Tableau </w:t>
      </w:r>
      <w:r w:rsidRPr="00320D04">
        <w:rPr>
          <w:b/>
          <w:bCs/>
          <w:i w:val="0"/>
          <w:iCs w:val="0"/>
          <w:sz w:val="24"/>
          <w:szCs w:val="24"/>
        </w:rPr>
        <w:fldChar w:fldCharType="begin"/>
      </w:r>
      <w:r w:rsidRPr="00320D04">
        <w:rPr>
          <w:b/>
          <w:bCs/>
          <w:i w:val="0"/>
          <w:iCs w:val="0"/>
          <w:sz w:val="24"/>
          <w:szCs w:val="24"/>
        </w:rPr>
        <w:instrText xml:space="preserve"> SEQ Tableau \* ARABIC </w:instrText>
      </w:r>
      <w:r w:rsidRPr="00320D04">
        <w:rPr>
          <w:b/>
          <w:bCs/>
          <w:i w:val="0"/>
          <w:iCs w:val="0"/>
          <w:sz w:val="24"/>
          <w:szCs w:val="24"/>
        </w:rPr>
        <w:fldChar w:fldCharType="separate"/>
      </w:r>
      <w:r w:rsidR="0059639C">
        <w:rPr>
          <w:b/>
          <w:bCs/>
          <w:i w:val="0"/>
          <w:iCs w:val="0"/>
          <w:noProof/>
          <w:sz w:val="24"/>
          <w:szCs w:val="24"/>
        </w:rPr>
        <w:t>5</w:t>
      </w:r>
      <w:r w:rsidRPr="00320D04">
        <w:rPr>
          <w:b/>
          <w:bCs/>
          <w:i w:val="0"/>
          <w:iCs w:val="0"/>
          <w:sz w:val="24"/>
          <w:szCs w:val="24"/>
        </w:rPr>
        <w:fldChar w:fldCharType="end"/>
      </w:r>
      <w:r w:rsidRPr="00320D04">
        <w:rPr>
          <w:b/>
          <w:bCs/>
          <w:i w:val="0"/>
          <w:iCs w:val="0"/>
          <w:sz w:val="24"/>
          <w:szCs w:val="24"/>
        </w:rPr>
        <w:t xml:space="preserve"> Risques et mesures de mitigation</w:t>
      </w:r>
      <w:bookmarkEnd w:id="57"/>
    </w:p>
    <w:tbl>
      <w:tblPr>
        <w:tblW w:w="14664"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ED2"/>
        <w:tblLayout w:type="fixed"/>
        <w:tblLook w:val="04A0" w:firstRow="1" w:lastRow="0" w:firstColumn="1" w:lastColumn="0" w:noHBand="0" w:noVBand="1"/>
      </w:tblPr>
      <w:tblGrid>
        <w:gridCol w:w="2723"/>
        <w:gridCol w:w="1735"/>
        <w:gridCol w:w="1842"/>
        <w:gridCol w:w="1560"/>
        <w:gridCol w:w="4961"/>
        <w:gridCol w:w="1843"/>
      </w:tblGrid>
      <w:tr w:rsidR="00DC7AEA" w:rsidRPr="0085123F" w14:paraId="6C7D2361" w14:textId="77777777" w:rsidTr="00282FA5">
        <w:trPr>
          <w:trHeight w:val="990"/>
        </w:trPr>
        <w:tc>
          <w:tcPr>
            <w:tcW w:w="2723" w:type="dxa"/>
            <w:shd w:val="clear" w:color="auto" w:fill="3E762A" w:themeFill="accent1" w:themeFillShade="BF"/>
            <w:vAlign w:val="center"/>
          </w:tcPr>
          <w:p w14:paraId="1F2906B1" w14:textId="77777777" w:rsidR="00684E5E" w:rsidRPr="0085123F" w:rsidRDefault="00684E5E" w:rsidP="00C5130F">
            <w:pPr>
              <w:spacing w:line="264" w:lineRule="auto"/>
              <w:jc w:val="center"/>
              <w:rPr>
                <w:rFonts w:ascii="Avenir Next LT Pro" w:eastAsia="Cambria" w:hAnsi="Avenir Next LT Pro" w:cstheme="minorHAnsi"/>
                <w:color w:val="FFFFFF" w:themeColor="background1"/>
                <w:sz w:val="20"/>
                <w:szCs w:val="20"/>
              </w:rPr>
            </w:pPr>
            <w:r w:rsidRPr="0085123F">
              <w:rPr>
                <w:rFonts w:ascii="Avenir Next LT Pro" w:hAnsi="Avenir Next LT Pro" w:cstheme="minorHAnsi"/>
                <w:b/>
                <w:color w:val="FFFFFF" w:themeColor="background1"/>
                <w:sz w:val="20"/>
                <w:szCs w:val="20"/>
              </w:rPr>
              <w:t>Risques</w:t>
            </w:r>
          </w:p>
        </w:tc>
        <w:tc>
          <w:tcPr>
            <w:tcW w:w="1735" w:type="dxa"/>
            <w:shd w:val="clear" w:color="auto" w:fill="3E762A" w:themeFill="accent1" w:themeFillShade="BF"/>
            <w:vAlign w:val="center"/>
          </w:tcPr>
          <w:p w14:paraId="03F279EA" w14:textId="77777777" w:rsidR="00684E5E" w:rsidRPr="0085123F" w:rsidRDefault="00684E5E" w:rsidP="00912D67">
            <w:pPr>
              <w:spacing w:after="0" w:line="264" w:lineRule="auto"/>
              <w:jc w:val="center"/>
              <w:rPr>
                <w:rFonts w:ascii="Avenir Next LT Pro" w:eastAsia="Cambria" w:hAnsi="Avenir Next LT Pro" w:cstheme="minorHAnsi"/>
                <w:color w:val="FFFFFF" w:themeColor="background1"/>
                <w:sz w:val="20"/>
                <w:szCs w:val="20"/>
              </w:rPr>
            </w:pPr>
            <w:r w:rsidRPr="0085123F">
              <w:rPr>
                <w:rFonts w:ascii="Avenir Next LT Pro" w:hAnsi="Avenir Next LT Pro" w:cstheme="minorHAnsi"/>
                <w:b/>
                <w:color w:val="FFFFFF" w:themeColor="background1"/>
                <w:sz w:val="20"/>
                <w:szCs w:val="20"/>
              </w:rPr>
              <w:t>Niveau de risque :</w:t>
            </w:r>
          </w:p>
          <w:p w14:paraId="083BAFAC" w14:textId="68056E87" w:rsidR="00684E5E" w:rsidRPr="0085123F" w:rsidRDefault="00684E5E" w:rsidP="00C5130F">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Très élevé</w:t>
            </w:r>
          </w:p>
          <w:p w14:paraId="74CF0CA8" w14:textId="201D0C58" w:rsidR="00684E5E" w:rsidRPr="0085123F" w:rsidRDefault="00684E5E" w:rsidP="00912D67">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Haut</w:t>
            </w:r>
          </w:p>
          <w:p w14:paraId="46258B8E" w14:textId="628B7500" w:rsidR="00684E5E" w:rsidRPr="0085123F" w:rsidRDefault="00DC268B" w:rsidP="00912D67">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M</w:t>
            </w:r>
            <w:r w:rsidR="00684E5E" w:rsidRPr="0085123F">
              <w:rPr>
                <w:rFonts w:ascii="Avenir Next LT Pro" w:hAnsi="Avenir Next LT Pro" w:cstheme="minorHAnsi"/>
                <w:color w:val="FFFFFF" w:themeColor="background1"/>
                <w:sz w:val="16"/>
                <w:szCs w:val="16"/>
              </w:rPr>
              <w:t>oyen</w:t>
            </w:r>
          </w:p>
          <w:p w14:paraId="2967B09C" w14:textId="77777777" w:rsidR="00684E5E" w:rsidRPr="0085123F" w:rsidRDefault="00684E5E" w:rsidP="00912D67">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Bas</w:t>
            </w:r>
          </w:p>
          <w:p w14:paraId="09EF2B57" w14:textId="77777777" w:rsidR="00684E5E" w:rsidRPr="0085123F" w:rsidRDefault="00684E5E" w:rsidP="00C5130F">
            <w:pPr>
              <w:spacing w:after="0" w:line="264" w:lineRule="auto"/>
              <w:jc w:val="center"/>
              <w:rPr>
                <w:rFonts w:ascii="Avenir Next LT Pro" w:eastAsia="Cambria" w:hAnsi="Avenir Next LT Pro" w:cstheme="minorHAnsi"/>
                <w:color w:val="FFFFFF" w:themeColor="background1"/>
                <w:sz w:val="20"/>
                <w:szCs w:val="20"/>
              </w:rPr>
            </w:pPr>
            <w:r w:rsidRPr="0085123F">
              <w:rPr>
                <w:rFonts w:ascii="Avenir Next LT Pro" w:hAnsi="Avenir Next LT Pro" w:cstheme="minorHAnsi"/>
                <w:color w:val="FFFFFF" w:themeColor="background1"/>
                <w:sz w:val="16"/>
                <w:szCs w:val="16"/>
              </w:rPr>
              <w:t>(Probabilité x impact)</w:t>
            </w:r>
          </w:p>
        </w:tc>
        <w:tc>
          <w:tcPr>
            <w:tcW w:w="1842" w:type="dxa"/>
            <w:shd w:val="clear" w:color="auto" w:fill="3E762A" w:themeFill="accent1" w:themeFillShade="BF"/>
            <w:vAlign w:val="center"/>
          </w:tcPr>
          <w:p w14:paraId="375E53D7" w14:textId="4DBCFBCE" w:rsidR="00684E5E" w:rsidRPr="0085123F" w:rsidRDefault="00684E5E" w:rsidP="00DD3161">
            <w:pPr>
              <w:spacing w:after="60" w:line="23" w:lineRule="atLeast"/>
              <w:jc w:val="center"/>
              <w:rPr>
                <w:rFonts w:ascii="Avenir Next LT Pro" w:hAnsi="Avenir Next LT Pro" w:cstheme="minorHAnsi"/>
                <w:b/>
                <w:color w:val="FFFFFF" w:themeColor="background1"/>
                <w:sz w:val="20"/>
                <w:szCs w:val="20"/>
              </w:rPr>
            </w:pPr>
            <w:r w:rsidRPr="0085123F">
              <w:rPr>
                <w:rFonts w:ascii="Avenir Next LT Pro" w:hAnsi="Avenir Next LT Pro" w:cstheme="minorHAnsi"/>
                <w:b/>
                <w:color w:val="FFFFFF" w:themeColor="background1"/>
                <w:sz w:val="20"/>
                <w:szCs w:val="20"/>
              </w:rPr>
              <w:t>Vraisemblance</w:t>
            </w:r>
            <w:r w:rsidR="009270C7" w:rsidRPr="0085123F">
              <w:rPr>
                <w:rFonts w:ascii="Avenir Next LT Pro" w:hAnsi="Avenir Next LT Pro" w:cstheme="minorHAnsi"/>
                <w:b/>
                <w:color w:val="FFFFFF" w:themeColor="background1"/>
                <w:sz w:val="20"/>
                <w:szCs w:val="20"/>
              </w:rPr>
              <w:t xml:space="preserve"> </w:t>
            </w:r>
            <w:r w:rsidRPr="0085123F">
              <w:rPr>
                <w:rFonts w:ascii="Avenir Next LT Pro" w:hAnsi="Avenir Next LT Pro" w:cstheme="minorHAnsi"/>
                <w:b/>
                <w:color w:val="FFFFFF" w:themeColor="background1"/>
                <w:sz w:val="20"/>
                <w:szCs w:val="20"/>
              </w:rPr>
              <w:t>:</w:t>
            </w:r>
          </w:p>
          <w:p w14:paraId="38C33187" w14:textId="77777777" w:rsidR="00684E5E" w:rsidRPr="0085123F" w:rsidRDefault="00684E5E" w:rsidP="00C5130F">
            <w:pPr>
              <w:spacing w:after="0" w:line="23" w:lineRule="atLeast"/>
              <w:jc w:val="center"/>
              <w:rPr>
                <w:rFonts w:ascii="Avenir Next LT Pro"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Presque certain - 5</w:t>
            </w:r>
          </w:p>
          <w:p w14:paraId="334FDA64" w14:textId="77777777" w:rsidR="00684E5E" w:rsidRPr="0085123F" w:rsidRDefault="00684E5E" w:rsidP="00C5130F">
            <w:pPr>
              <w:spacing w:after="0" w:line="23" w:lineRule="atLeast"/>
              <w:jc w:val="center"/>
              <w:rPr>
                <w:rFonts w:ascii="Avenir Next LT Pro"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Probable - 4</w:t>
            </w:r>
          </w:p>
          <w:p w14:paraId="1979F9B5" w14:textId="77777777" w:rsidR="00684E5E" w:rsidRPr="0085123F" w:rsidRDefault="00684E5E" w:rsidP="00C5130F">
            <w:pPr>
              <w:spacing w:after="0" w:line="23" w:lineRule="atLeast"/>
              <w:jc w:val="center"/>
              <w:rPr>
                <w:rFonts w:ascii="Avenir Next LT Pro"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Possible - 3</w:t>
            </w:r>
          </w:p>
          <w:p w14:paraId="776D6440" w14:textId="77777777" w:rsidR="00684E5E" w:rsidRPr="0085123F" w:rsidRDefault="00684E5E" w:rsidP="00C5130F">
            <w:pPr>
              <w:spacing w:after="0" w:line="23" w:lineRule="atLeast"/>
              <w:jc w:val="center"/>
              <w:rPr>
                <w:rFonts w:ascii="Avenir Next LT Pro"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Peu probable - 2</w:t>
            </w:r>
          </w:p>
          <w:p w14:paraId="3AABE0BD" w14:textId="138728B7" w:rsidR="00684E5E" w:rsidRPr="0085123F" w:rsidRDefault="00684E5E" w:rsidP="00C5130F">
            <w:pPr>
              <w:spacing w:after="0" w:line="23" w:lineRule="atLeast"/>
              <w:jc w:val="center"/>
              <w:rPr>
                <w:rFonts w:ascii="Avenir Next LT Pro" w:hAnsi="Avenir Next LT Pro" w:cstheme="minorHAnsi"/>
                <w:color w:val="FFFFFF" w:themeColor="background1"/>
                <w:sz w:val="20"/>
                <w:szCs w:val="20"/>
              </w:rPr>
            </w:pPr>
            <w:r w:rsidRPr="0085123F">
              <w:rPr>
                <w:rFonts w:ascii="Avenir Next LT Pro" w:hAnsi="Avenir Next LT Pro" w:cstheme="minorHAnsi"/>
                <w:color w:val="FFFFFF" w:themeColor="background1"/>
                <w:sz w:val="16"/>
                <w:szCs w:val="16"/>
              </w:rPr>
              <w:t xml:space="preserve">Rare </w:t>
            </w:r>
            <w:r w:rsidR="009270C7" w:rsidRPr="0085123F">
              <w:rPr>
                <w:rFonts w:ascii="Avenir Next LT Pro" w:hAnsi="Avenir Next LT Pro" w:cstheme="minorHAnsi"/>
                <w:color w:val="FFFFFF" w:themeColor="background1"/>
                <w:sz w:val="16"/>
                <w:szCs w:val="16"/>
              </w:rPr>
              <w:t>-</w:t>
            </w:r>
            <w:r w:rsidRPr="0085123F">
              <w:rPr>
                <w:rFonts w:ascii="Avenir Next LT Pro" w:hAnsi="Avenir Next LT Pro" w:cstheme="minorHAnsi"/>
                <w:color w:val="FFFFFF" w:themeColor="background1"/>
                <w:sz w:val="16"/>
                <w:szCs w:val="16"/>
              </w:rPr>
              <w:t xml:space="preserve"> 1</w:t>
            </w:r>
          </w:p>
        </w:tc>
        <w:tc>
          <w:tcPr>
            <w:tcW w:w="1560" w:type="dxa"/>
            <w:shd w:val="clear" w:color="auto" w:fill="3E762A" w:themeFill="accent1" w:themeFillShade="BF"/>
            <w:vAlign w:val="center"/>
          </w:tcPr>
          <w:p w14:paraId="6ED9854E" w14:textId="6614E92C" w:rsidR="00684E5E" w:rsidRPr="0085123F" w:rsidRDefault="00684E5E" w:rsidP="00DD3161">
            <w:pPr>
              <w:spacing w:after="60" w:line="23" w:lineRule="atLeast"/>
              <w:jc w:val="center"/>
              <w:rPr>
                <w:rFonts w:ascii="Avenir Next LT Pro" w:hAnsi="Avenir Next LT Pro" w:cstheme="minorHAnsi"/>
                <w:b/>
                <w:color w:val="FFFFFF" w:themeColor="background1"/>
                <w:sz w:val="20"/>
                <w:szCs w:val="20"/>
              </w:rPr>
            </w:pPr>
            <w:r w:rsidRPr="0085123F">
              <w:rPr>
                <w:rFonts w:ascii="Avenir Next LT Pro" w:hAnsi="Avenir Next LT Pro" w:cstheme="minorHAnsi"/>
                <w:b/>
                <w:color w:val="FFFFFF" w:themeColor="background1"/>
                <w:sz w:val="20"/>
                <w:szCs w:val="20"/>
              </w:rPr>
              <w:t>Impact</w:t>
            </w:r>
            <w:r w:rsidR="009270C7" w:rsidRPr="0085123F">
              <w:rPr>
                <w:rFonts w:ascii="Avenir Next LT Pro" w:hAnsi="Avenir Next LT Pro" w:cstheme="minorHAnsi"/>
                <w:b/>
                <w:color w:val="FFFFFF" w:themeColor="background1"/>
                <w:sz w:val="20"/>
                <w:szCs w:val="20"/>
              </w:rPr>
              <w:t xml:space="preserve"> </w:t>
            </w:r>
            <w:r w:rsidRPr="0085123F">
              <w:rPr>
                <w:rFonts w:ascii="Avenir Next LT Pro" w:hAnsi="Avenir Next LT Pro" w:cstheme="minorHAnsi"/>
                <w:b/>
                <w:color w:val="FFFFFF" w:themeColor="background1"/>
                <w:sz w:val="20"/>
                <w:szCs w:val="20"/>
              </w:rPr>
              <w:t>:</w:t>
            </w:r>
          </w:p>
          <w:p w14:paraId="29DBE897" w14:textId="694CE150" w:rsidR="00684E5E" w:rsidRPr="0085123F" w:rsidRDefault="00684E5E" w:rsidP="00C5130F">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 xml:space="preserve">Extrême </w:t>
            </w:r>
            <w:r w:rsidR="009270C7" w:rsidRPr="0085123F">
              <w:rPr>
                <w:rFonts w:ascii="Avenir Next LT Pro" w:hAnsi="Avenir Next LT Pro" w:cstheme="minorHAnsi"/>
                <w:color w:val="FFFFFF" w:themeColor="background1"/>
                <w:sz w:val="16"/>
                <w:szCs w:val="16"/>
              </w:rPr>
              <w:t>-</w:t>
            </w:r>
            <w:r w:rsidRPr="0085123F">
              <w:rPr>
                <w:rFonts w:ascii="Avenir Next LT Pro" w:hAnsi="Avenir Next LT Pro" w:cstheme="minorHAnsi"/>
                <w:color w:val="FFFFFF" w:themeColor="background1"/>
                <w:sz w:val="16"/>
                <w:szCs w:val="16"/>
              </w:rPr>
              <w:t xml:space="preserve"> 5</w:t>
            </w:r>
          </w:p>
          <w:p w14:paraId="7476A804" w14:textId="77777777" w:rsidR="00684E5E" w:rsidRPr="0085123F" w:rsidRDefault="00684E5E" w:rsidP="00C5130F">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Majeur - 4</w:t>
            </w:r>
          </w:p>
          <w:p w14:paraId="0718A661" w14:textId="77777777" w:rsidR="00684E5E" w:rsidRPr="0085123F" w:rsidRDefault="00684E5E" w:rsidP="00C5130F">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Modéré - 3</w:t>
            </w:r>
          </w:p>
          <w:p w14:paraId="57B393B4" w14:textId="77777777" w:rsidR="00684E5E" w:rsidRPr="0085123F" w:rsidRDefault="00684E5E" w:rsidP="00C5130F">
            <w:pPr>
              <w:spacing w:after="0" w:line="264" w:lineRule="auto"/>
              <w:jc w:val="center"/>
              <w:rPr>
                <w:rFonts w:ascii="Avenir Next LT Pro" w:eastAsia="Cambria" w:hAnsi="Avenir Next LT Pro" w:cstheme="minorHAnsi"/>
                <w:color w:val="FFFFFF" w:themeColor="background1"/>
                <w:sz w:val="16"/>
                <w:szCs w:val="16"/>
              </w:rPr>
            </w:pPr>
            <w:r w:rsidRPr="0085123F">
              <w:rPr>
                <w:rFonts w:ascii="Avenir Next LT Pro" w:hAnsi="Avenir Next LT Pro" w:cstheme="minorHAnsi"/>
                <w:color w:val="FFFFFF" w:themeColor="background1"/>
                <w:sz w:val="16"/>
                <w:szCs w:val="16"/>
              </w:rPr>
              <w:t>Mineur - 2</w:t>
            </w:r>
          </w:p>
          <w:p w14:paraId="1F3650A3" w14:textId="77777777" w:rsidR="00684E5E" w:rsidRPr="0085123F" w:rsidRDefault="00684E5E" w:rsidP="00733F6B">
            <w:pPr>
              <w:spacing w:after="0" w:line="264" w:lineRule="auto"/>
              <w:jc w:val="center"/>
              <w:rPr>
                <w:rFonts w:ascii="Avenir Next LT Pro" w:eastAsia="Cambria" w:hAnsi="Avenir Next LT Pro" w:cstheme="minorHAnsi"/>
                <w:color w:val="FFFFFF" w:themeColor="background1"/>
                <w:sz w:val="20"/>
                <w:szCs w:val="20"/>
              </w:rPr>
            </w:pPr>
            <w:r w:rsidRPr="0085123F">
              <w:rPr>
                <w:rFonts w:ascii="Avenir Next LT Pro" w:hAnsi="Avenir Next LT Pro" w:cstheme="minorHAnsi"/>
                <w:color w:val="FFFFFF" w:themeColor="background1"/>
                <w:sz w:val="16"/>
                <w:szCs w:val="16"/>
              </w:rPr>
              <w:t>Insignifiant - 1</w:t>
            </w:r>
          </w:p>
        </w:tc>
        <w:tc>
          <w:tcPr>
            <w:tcW w:w="4961" w:type="dxa"/>
            <w:shd w:val="clear" w:color="auto" w:fill="3E762A" w:themeFill="accent1" w:themeFillShade="BF"/>
            <w:vAlign w:val="center"/>
          </w:tcPr>
          <w:p w14:paraId="01C03471" w14:textId="77777777" w:rsidR="00684E5E" w:rsidRPr="0085123F" w:rsidRDefault="00684E5E" w:rsidP="00C5130F">
            <w:pPr>
              <w:spacing w:line="264" w:lineRule="auto"/>
              <w:jc w:val="center"/>
              <w:rPr>
                <w:rFonts w:ascii="Avenir Next LT Pro" w:eastAsia="Cambria" w:hAnsi="Avenir Next LT Pro" w:cstheme="minorHAnsi"/>
                <w:color w:val="FFFFFF" w:themeColor="background1"/>
                <w:sz w:val="20"/>
                <w:szCs w:val="20"/>
              </w:rPr>
            </w:pPr>
            <w:r w:rsidRPr="0085123F">
              <w:rPr>
                <w:rFonts w:ascii="Avenir Next LT Pro" w:hAnsi="Avenir Next LT Pro" w:cstheme="minorHAnsi"/>
                <w:b/>
                <w:color w:val="FFFFFF" w:themeColor="background1"/>
                <w:sz w:val="20"/>
                <w:szCs w:val="20"/>
              </w:rPr>
              <w:t>Mesures d’atténuation</w:t>
            </w:r>
          </w:p>
        </w:tc>
        <w:tc>
          <w:tcPr>
            <w:tcW w:w="1843" w:type="dxa"/>
            <w:shd w:val="clear" w:color="auto" w:fill="3E762A" w:themeFill="accent1" w:themeFillShade="BF"/>
            <w:vAlign w:val="center"/>
          </w:tcPr>
          <w:p w14:paraId="45A88182" w14:textId="77777777" w:rsidR="00684E5E" w:rsidRPr="0085123F" w:rsidRDefault="00684E5E" w:rsidP="00C5130F">
            <w:pPr>
              <w:spacing w:line="264" w:lineRule="auto"/>
              <w:jc w:val="center"/>
              <w:rPr>
                <w:rFonts w:ascii="Avenir Next LT Pro" w:eastAsia="Cambria" w:hAnsi="Avenir Next LT Pro" w:cstheme="minorHAnsi"/>
                <w:b/>
                <w:color w:val="FFFFFF" w:themeColor="background1"/>
                <w:sz w:val="20"/>
                <w:szCs w:val="20"/>
              </w:rPr>
            </w:pPr>
            <w:r w:rsidRPr="0085123F">
              <w:rPr>
                <w:rFonts w:ascii="Avenir Next LT Pro" w:hAnsi="Avenir Next LT Pro" w:cstheme="minorHAnsi"/>
                <w:b/>
                <w:color w:val="FFFFFF" w:themeColor="background1"/>
                <w:sz w:val="20"/>
                <w:szCs w:val="20"/>
              </w:rPr>
              <w:t>Unité/personne responsable</w:t>
            </w:r>
          </w:p>
        </w:tc>
      </w:tr>
      <w:tr w:rsidR="000C71B4" w:rsidRPr="00C345C4" w14:paraId="0BC5F27F" w14:textId="77777777" w:rsidTr="00656EF6">
        <w:trPr>
          <w:trHeight w:val="273"/>
        </w:trPr>
        <w:tc>
          <w:tcPr>
            <w:tcW w:w="12821" w:type="dxa"/>
            <w:gridSpan w:val="5"/>
            <w:shd w:val="clear" w:color="auto" w:fill="B7DFA8" w:themeFill="accent1" w:themeFillTint="66"/>
          </w:tcPr>
          <w:p w14:paraId="17C33834" w14:textId="200F6A20" w:rsidR="00684E5E" w:rsidRPr="00C345C4" w:rsidRDefault="00684E5E" w:rsidP="00C5130F">
            <w:pPr>
              <w:spacing w:after="0" w:line="264" w:lineRule="auto"/>
              <w:jc w:val="both"/>
              <w:rPr>
                <w:rFonts w:ascii="Avenir Next LT Pro" w:eastAsia="Cambria" w:hAnsi="Avenir Next LT Pro" w:cstheme="minorHAnsi"/>
                <w:sz w:val="20"/>
                <w:szCs w:val="20"/>
              </w:rPr>
            </w:pPr>
            <w:r w:rsidRPr="00C345C4">
              <w:rPr>
                <w:rFonts w:ascii="Avenir Next LT Pro" w:hAnsi="Avenir Next LT Pro" w:cstheme="minorHAnsi"/>
                <w:b/>
                <w:sz w:val="20"/>
                <w:szCs w:val="20"/>
              </w:rPr>
              <w:t xml:space="preserve">Risques </w:t>
            </w:r>
            <w:r w:rsidR="000D7E34" w:rsidRPr="00C345C4">
              <w:rPr>
                <w:rFonts w:ascii="Avenir Next LT Pro" w:hAnsi="Avenir Next LT Pro" w:cstheme="minorHAnsi"/>
                <w:b/>
                <w:sz w:val="20"/>
                <w:szCs w:val="20"/>
              </w:rPr>
              <w:t xml:space="preserve">socio-environnementaux </w:t>
            </w:r>
          </w:p>
        </w:tc>
        <w:tc>
          <w:tcPr>
            <w:tcW w:w="1843" w:type="dxa"/>
            <w:shd w:val="clear" w:color="auto" w:fill="B7DFA8" w:themeFill="accent1" w:themeFillTint="66"/>
          </w:tcPr>
          <w:p w14:paraId="374FCF06" w14:textId="77777777" w:rsidR="00684E5E" w:rsidRPr="00C345C4" w:rsidRDefault="00684E5E" w:rsidP="00C5130F">
            <w:pPr>
              <w:spacing w:after="0" w:line="264" w:lineRule="auto"/>
              <w:jc w:val="both"/>
              <w:rPr>
                <w:rFonts w:ascii="Avenir Next LT Pro" w:eastAsia="Cambria" w:hAnsi="Avenir Next LT Pro" w:cstheme="minorHAnsi"/>
                <w:b/>
                <w:sz w:val="20"/>
                <w:szCs w:val="20"/>
              </w:rPr>
            </w:pPr>
          </w:p>
        </w:tc>
      </w:tr>
      <w:tr w:rsidR="00341098" w:rsidRPr="00C345C4" w14:paraId="293DED5B" w14:textId="77777777" w:rsidTr="00282FA5">
        <w:tc>
          <w:tcPr>
            <w:tcW w:w="2723" w:type="dxa"/>
            <w:shd w:val="clear" w:color="auto" w:fill="auto"/>
          </w:tcPr>
          <w:p w14:paraId="43F4B965" w14:textId="77777777" w:rsidR="00684E5E" w:rsidRPr="00C345C4" w:rsidRDefault="00684E5E" w:rsidP="00C5130F">
            <w:pPr>
              <w:spacing w:after="0" w:line="264" w:lineRule="auto"/>
              <w:jc w:val="both"/>
              <w:rPr>
                <w:rFonts w:ascii="Avenir Next LT Pro" w:eastAsia="Cambria" w:hAnsi="Avenir Next LT Pro" w:cstheme="minorHAnsi"/>
                <w:sz w:val="20"/>
                <w:szCs w:val="20"/>
              </w:rPr>
            </w:pPr>
          </w:p>
        </w:tc>
        <w:tc>
          <w:tcPr>
            <w:tcW w:w="1735" w:type="dxa"/>
            <w:shd w:val="clear" w:color="auto" w:fill="auto"/>
          </w:tcPr>
          <w:p w14:paraId="1E792791" w14:textId="77777777" w:rsidR="00684E5E" w:rsidRPr="00C345C4" w:rsidRDefault="00684E5E" w:rsidP="00C5130F">
            <w:pPr>
              <w:spacing w:after="0" w:line="264" w:lineRule="auto"/>
              <w:jc w:val="center"/>
              <w:rPr>
                <w:rFonts w:ascii="Avenir Next LT Pro" w:eastAsia="Cambria" w:hAnsi="Avenir Next LT Pro" w:cstheme="minorHAnsi"/>
                <w:sz w:val="20"/>
                <w:szCs w:val="20"/>
              </w:rPr>
            </w:pPr>
          </w:p>
        </w:tc>
        <w:tc>
          <w:tcPr>
            <w:tcW w:w="1842" w:type="dxa"/>
            <w:shd w:val="clear" w:color="auto" w:fill="auto"/>
          </w:tcPr>
          <w:p w14:paraId="28EFB148" w14:textId="77777777" w:rsidR="00684E5E" w:rsidRPr="00C345C4" w:rsidRDefault="00684E5E" w:rsidP="00C5130F">
            <w:pPr>
              <w:spacing w:after="0" w:line="264" w:lineRule="auto"/>
              <w:jc w:val="center"/>
              <w:rPr>
                <w:rFonts w:ascii="Avenir Next LT Pro" w:eastAsia="Cambria" w:hAnsi="Avenir Next LT Pro" w:cstheme="minorHAnsi"/>
                <w:sz w:val="20"/>
                <w:szCs w:val="20"/>
              </w:rPr>
            </w:pPr>
          </w:p>
        </w:tc>
        <w:tc>
          <w:tcPr>
            <w:tcW w:w="1560" w:type="dxa"/>
            <w:shd w:val="clear" w:color="auto" w:fill="auto"/>
          </w:tcPr>
          <w:p w14:paraId="0E70D533" w14:textId="77777777" w:rsidR="00684E5E" w:rsidRPr="00C345C4" w:rsidRDefault="00684E5E" w:rsidP="00C5130F">
            <w:pPr>
              <w:spacing w:after="0" w:line="264" w:lineRule="auto"/>
              <w:jc w:val="center"/>
              <w:rPr>
                <w:rFonts w:ascii="Avenir Next LT Pro" w:eastAsia="Cambria" w:hAnsi="Avenir Next LT Pro" w:cstheme="minorHAnsi"/>
                <w:sz w:val="20"/>
                <w:szCs w:val="20"/>
              </w:rPr>
            </w:pPr>
          </w:p>
        </w:tc>
        <w:tc>
          <w:tcPr>
            <w:tcW w:w="4961" w:type="dxa"/>
            <w:shd w:val="clear" w:color="auto" w:fill="auto"/>
          </w:tcPr>
          <w:p w14:paraId="19AFC84B" w14:textId="77777777" w:rsidR="00684E5E" w:rsidRPr="00C345C4" w:rsidRDefault="00684E5E" w:rsidP="00C5130F">
            <w:pPr>
              <w:spacing w:after="0" w:line="264" w:lineRule="auto"/>
              <w:jc w:val="both"/>
              <w:rPr>
                <w:rFonts w:ascii="Avenir Next LT Pro" w:eastAsia="Cambria" w:hAnsi="Avenir Next LT Pro" w:cstheme="minorHAnsi"/>
                <w:sz w:val="20"/>
                <w:szCs w:val="20"/>
              </w:rPr>
            </w:pPr>
          </w:p>
        </w:tc>
        <w:tc>
          <w:tcPr>
            <w:tcW w:w="1843" w:type="dxa"/>
            <w:shd w:val="clear" w:color="auto" w:fill="auto"/>
          </w:tcPr>
          <w:p w14:paraId="07A392A8" w14:textId="77777777" w:rsidR="00684E5E" w:rsidRPr="00C345C4" w:rsidRDefault="00684E5E" w:rsidP="00C5130F">
            <w:pPr>
              <w:spacing w:after="0" w:line="264" w:lineRule="auto"/>
              <w:jc w:val="both"/>
              <w:rPr>
                <w:rFonts w:ascii="Avenir Next LT Pro" w:eastAsia="Cambria" w:hAnsi="Avenir Next LT Pro" w:cstheme="minorHAnsi"/>
                <w:sz w:val="20"/>
                <w:szCs w:val="20"/>
              </w:rPr>
            </w:pPr>
          </w:p>
        </w:tc>
      </w:tr>
      <w:tr w:rsidR="00341098" w:rsidRPr="00C345C4" w14:paraId="0EB63327" w14:textId="77777777" w:rsidTr="00282FA5">
        <w:tc>
          <w:tcPr>
            <w:tcW w:w="2723" w:type="dxa"/>
            <w:shd w:val="clear" w:color="auto" w:fill="auto"/>
          </w:tcPr>
          <w:p w14:paraId="47C789FC" w14:textId="77777777" w:rsidR="00684E5E" w:rsidRPr="00C345C4" w:rsidRDefault="00684E5E" w:rsidP="00C5130F">
            <w:pPr>
              <w:spacing w:after="0" w:line="264" w:lineRule="auto"/>
              <w:jc w:val="both"/>
              <w:rPr>
                <w:rFonts w:ascii="Avenir Next LT Pro" w:eastAsia="Cambria" w:hAnsi="Avenir Next LT Pro" w:cstheme="minorHAnsi"/>
                <w:sz w:val="20"/>
                <w:szCs w:val="20"/>
              </w:rPr>
            </w:pPr>
          </w:p>
        </w:tc>
        <w:tc>
          <w:tcPr>
            <w:tcW w:w="1735" w:type="dxa"/>
            <w:shd w:val="clear" w:color="auto" w:fill="auto"/>
          </w:tcPr>
          <w:p w14:paraId="4D055ECA" w14:textId="77777777" w:rsidR="00684E5E" w:rsidRPr="00C345C4" w:rsidRDefault="00684E5E" w:rsidP="00C5130F">
            <w:pPr>
              <w:spacing w:after="0" w:line="264" w:lineRule="auto"/>
              <w:jc w:val="center"/>
              <w:rPr>
                <w:rFonts w:ascii="Avenir Next LT Pro" w:eastAsia="Cambria" w:hAnsi="Avenir Next LT Pro" w:cstheme="minorHAnsi"/>
                <w:sz w:val="20"/>
                <w:szCs w:val="20"/>
              </w:rPr>
            </w:pPr>
          </w:p>
        </w:tc>
        <w:tc>
          <w:tcPr>
            <w:tcW w:w="1842" w:type="dxa"/>
            <w:shd w:val="clear" w:color="auto" w:fill="auto"/>
          </w:tcPr>
          <w:p w14:paraId="621247D8" w14:textId="77777777" w:rsidR="00684E5E" w:rsidRPr="00C345C4" w:rsidRDefault="00684E5E" w:rsidP="00C5130F">
            <w:pPr>
              <w:spacing w:after="0" w:line="264" w:lineRule="auto"/>
              <w:jc w:val="center"/>
              <w:rPr>
                <w:rFonts w:ascii="Avenir Next LT Pro" w:eastAsia="Cambria" w:hAnsi="Avenir Next LT Pro" w:cstheme="minorHAnsi"/>
                <w:sz w:val="20"/>
                <w:szCs w:val="20"/>
              </w:rPr>
            </w:pPr>
          </w:p>
        </w:tc>
        <w:tc>
          <w:tcPr>
            <w:tcW w:w="1560" w:type="dxa"/>
            <w:shd w:val="clear" w:color="auto" w:fill="auto"/>
          </w:tcPr>
          <w:p w14:paraId="725B08DA" w14:textId="77777777" w:rsidR="00684E5E" w:rsidRPr="00C345C4" w:rsidRDefault="00684E5E" w:rsidP="00C5130F">
            <w:pPr>
              <w:spacing w:after="0" w:line="264" w:lineRule="auto"/>
              <w:jc w:val="center"/>
              <w:rPr>
                <w:rFonts w:ascii="Avenir Next LT Pro" w:eastAsia="Cambria" w:hAnsi="Avenir Next LT Pro" w:cstheme="minorHAnsi"/>
                <w:sz w:val="20"/>
                <w:szCs w:val="20"/>
              </w:rPr>
            </w:pPr>
          </w:p>
        </w:tc>
        <w:tc>
          <w:tcPr>
            <w:tcW w:w="4961" w:type="dxa"/>
            <w:shd w:val="clear" w:color="auto" w:fill="auto"/>
          </w:tcPr>
          <w:p w14:paraId="296F75CD" w14:textId="77777777" w:rsidR="00684E5E" w:rsidRPr="00C345C4" w:rsidRDefault="00684E5E" w:rsidP="00C5130F">
            <w:pPr>
              <w:spacing w:after="0" w:line="264" w:lineRule="auto"/>
              <w:jc w:val="both"/>
              <w:rPr>
                <w:rFonts w:ascii="Avenir Next LT Pro" w:eastAsia="Cambria" w:hAnsi="Avenir Next LT Pro" w:cstheme="minorHAnsi"/>
                <w:sz w:val="20"/>
                <w:szCs w:val="20"/>
              </w:rPr>
            </w:pPr>
          </w:p>
        </w:tc>
        <w:tc>
          <w:tcPr>
            <w:tcW w:w="1843" w:type="dxa"/>
            <w:shd w:val="clear" w:color="auto" w:fill="auto"/>
          </w:tcPr>
          <w:p w14:paraId="340714D0" w14:textId="77777777" w:rsidR="00684E5E" w:rsidRPr="00C345C4" w:rsidRDefault="00684E5E" w:rsidP="00C5130F">
            <w:pPr>
              <w:spacing w:after="0" w:line="264" w:lineRule="auto"/>
              <w:jc w:val="both"/>
              <w:rPr>
                <w:rFonts w:ascii="Avenir Next LT Pro" w:eastAsia="Cambria" w:hAnsi="Avenir Next LT Pro" w:cstheme="minorHAnsi"/>
                <w:sz w:val="20"/>
                <w:szCs w:val="20"/>
              </w:rPr>
            </w:pPr>
          </w:p>
        </w:tc>
      </w:tr>
      <w:tr w:rsidR="000C71B4" w:rsidRPr="00C345C4" w14:paraId="09711665" w14:textId="77777777" w:rsidTr="00656EF6">
        <w:trPr>
          <w:trHeight w:val="251"/>
        </w:trPr>
        <w:tc>
          <w:tcPr>
            <w:tcW w:w="12821" w:type="dxa"/>
            <w:gridSpan w:val="5"/>
            <w:shd w:val="clear" w:color="auto" w:fill="B7DFA8" w:themeFill="accent1" w:themeFillTint="66"/>
          </w:tcPr>
          <w:p w14:paraId="7ED50C7F" w14:textId="36A5ED33" w:rsidR="00684E5E" w:rsidRPr="00C345C4" w:rsidRDefault="00684E5E" w:rsidP="00C5130F">
            <w:pPr>
              <w:spacing w:after="0" w:line="264" w:lineRule="auto"/>
              <w:jc w:val="both"/>
              <w:rPr>
                <w:rFonts w:ascii="Avenir Next LT Pro" w:eastAsia="Cambria" w:hAnsi="Avenir Next LT Pro" w:cstheme="minorHAnsi"/>
                <w:b/>
                <w:sz w:val="20"/>
                <w:szCs w:val="20"/>
              </w:rPr>
            </w:pPr>
            <w:r w:rsidRPr="00C345C4">
              <w:rPr>
                <w:rFonts w:ascii="Avenir Next LT Pro" w:hAnsi="Avenir Next LT Pro" w:cstheme="minorHAnsi"/>
                <w:b/>
                <w:sz w:val="20"/>
                <w:szCs w:val="20"/>
              </w:rPr>
              <w:t xml:space="preserve">Risques </w:t>
            </w:r>
            <w:r w:rsidR="00844AE7" w:rsidRPr="00C345C4">
              <w:rPr>
                <w:rFonts w:ascii="Avenir Next LT Pro" w:hAnsi="Avenir Next LT Pro" w:cstheme="minorHAnsi"/>
                <w:b/>
                <w:sz w:val="20"/>
                <w:szCs w:val="20"/>
              </w:rPr>
              <w:t xml:space="preserve">politiques et réglementaires </w:t>
            </w:r>
          </w:p>
        </w:tc>
        <w:tc>
          <w:tcPr>
            <w:tcW w:w="1843" w:type="dxa"/>
            <w:shd w:val="clear" w:color="auto" w:fill="B7DFA8" w:themeFill="accent1" w:themeFillTint="66"/>
          </w:tcPr>
          <w:p w14:paraId="4E4D6038" w14:textId="77777777" w:rsidR="00684E5E" w:rsidRPr="00C345C4" w:rsidRDefault="00684E5E" w:rsidP="00C5130F">
            <w:pPr>
              <w:spacing w:after="0" w:line="264" w:lineRule="auto"/>
              <w:jc w:val="both"/>
              <w:rPr>
                <w:rFonts w:ascii="Avenir Next LT Pro" w:eastAsia="Cambria" w:hAnsi="Avenir Next LT Pro" w:cstheme="minorHAnsi"/>
                <w:b/>
                <w:sz w:val="20"/>
                <w:szCs w:val="20"/>
              </w:rPr>
            </w:pPr>
          </w:p>
        </w:tc>
      </w:tr>
      <w:tr w:rsidR="00D506E5" w:rsidRPr="00C345C4" w14:paraId="28AFA800" w14:textId="77777777" w:rsidTr="00F852E8">
        <w:tc>
          <w:tcPr>
            <w:tcW w:w="2723" w:type="dxa"/>
            <w:shd w:val="clear" w:color="auto" w:fill="auto"/>
            <w:vAlign w:val="center"/>
          </w:tcPr>
          <w:p w14:paraId="5274D032" w14:textId="3BA695A0" w:rsidR="00D506E5" w:rsidRPr="00723776" w:rsidRDefault="00D506E5" w:rsidP="00F852E8">
            <w:pPr>
              <w:spacing w:after="0" w:line="264" w:lineRule="auto"/>
              <w:rPr>
                <w:rFonts w:ascii="Avenir Next LT Pro" w:eastAsia="Cambria" w:hAnsi="Avenir Next LT Pro" w:cstheme="minorHAnsi"/>
                <w:sz w:val="20"/>
                <w:szCs w:val="20"/>
              </w:rPr>
            </w:pPr>
            <w:r w:rsidRPr="00723776">
              <w:rPr>
                <w:rFonts w:ascii="Avenir Next LT Pro" w:hAnsi="Avenir Next LT Pro" w:cstheme="minorHAnsi"/>
                <w:sz w:val="20"/>
                <w:szCs w:val="20"/>
              </w:rPr>
              <w:t>Expropriation et ingérence de l’État</w:t>
            </w:r>
          </w:p>
        </w:tc>
        <w:tc>
          <w:tcPr>
            <w:tcW w:w="1735" w:type="dxa"/>
            <w:shd w:val="clear" w:color="auto" w:fill="auto"/>
            <w:vAlign w:val="center"/>
          </w:tcPr>
          <w:p w14:paraId="6663EE25" w14:textId="72404151"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Bas</w:t>
            </w:r>
          </w:p>
        </w:tc>
        <w:tc>
          <w:tcPr>
            <w:tcW w:w="1842" w:type="dxa"/>
            <w:shd w:val="clear" w:color="auto" w:fill="auto"/>
            <w:vAlign w:val="center"/>
          </w:tcPr>
          <w:p w14:paraId="22B3F56F" w14:textId="35AE6DD3"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6CDB5DB1" w14:textId="6787CEC6"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Mineur</w:t>
            </w:r>
          </w:p>
        </w:tc>
        <w:tc>
          <w:tcPr>
            <w:tcW w:w="4961" w:type="dxa"/>
            <w:shd w:val="clear" w:color="auto" w:fill="auto"/>
            <w:vAlign w:val="center"/>
          </w:tcPr>
          <w:p w14:paraId="36A63C3F" w14:textId="6014795D" w:rsidR="00D506E5" w:rsidRPr="00723776" w:rsidRDefault="00D506E5" w:rsidP="00F852E8">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Consolider les arrangements institutionnels afin de réduire la probabilité d’une intervention étatique sur le projet en vue de l’implication de l’Etat.</w:t>
            </w:r>
          </w:p>
        </w:tc>
        <w:tc>
          <w:tcPr>
            <w:tcW w:w="1843" w:type="dxa"/>
            <w:shd w:val="clear" w:color="auto" w:fill="auto"/>
            <w:vAlign w:val="center"/>
          </w:tcPr>
          <w:p w14:paraId="22621AED" w14:textId="4F2BCC48"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lang w:val="fr-CD"/>
              </w:rPr>
              <w:t>MEDD</w:t>
            </w:r>
          </w:p>
        </w:tc>
      </w:tr>
      <w:tr w:rsidR="00D506E5" w:rsidRPr="00C345C4" w14:paraId="11E44415" w14:textId="77777777" w:rsidTr="00F852E8">
        <w:tc>
          <w:tcPr>
            <w:tcW w:w="2723" w:type="dxa"/>
            <w:shd w:val="clear" w:color="auto" w:fill="auto"/>
            <w:vAlign w:val="center"/>
          </w:tcPr>
          <w:p w14:paraId="75CCE0C9" w14:textId="2ABD8B7F" w:rsidR="00D506E5" w:rsidRPr="00723776" w:rsidRDefault="00D506E5" w:rsidP="00F852E8">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Instabilité politique et insécurité</w:t>
            </w:r>
          </w:p>
        </w:tc>
        <w:tc>
          <w:tcPr>
            <w:tcW w:w="1735" w:type="dxa"/>
            <w:shd w:val="clear" w:color="auto" w:fill="auto"/>
            <w:vAlign w:val="center"/>
          </w:tcPr>
          <w:p w14:paraId="4FD88896" w14:textId="24E79BA8"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Moyen</w:t>
            </w:r>
          </w:p>
        </w:tc>
        <w:tc>
          <w:tcPr>
            <w:tcW w:w="1842" w:type="dxa"/>
            <w:shd w:val="clear" w:color="auto" w:fill="auto"/>
            <w:vAlign w:val="center"/>
          </w:tcPr>
          <w:p w14:paraId="40FCCF37" w14:textId="00B7C969"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3DA639F6" w14:textId="0A78AA71"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Modéré</w:t>
            </w:r>
          </w:p>
        </w:tc>
        <w:tc>
          <w:tcPr>
            <w:tcW w:w="4961" w:type="dxa"/>
            <w:shd w:val="clear" w:color="auto" w:fill="auto"/>
          </w:tcPr>
          <w:p w14:paraId="2D0A6910" w14:textId="522F7070" w:rsidR="00D506E5" w:rsidRPr="00723776" w:rsidRDefault="00D506E5" w:rsidP="00D506E5">
            <w:pPr>
              <w:spacing w:after="0" w:line="264" w:lineRule="auto"/>
              <w:jc w:val="both"/>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 xml:space="preserve">Consolider les arrangements institutionnels afin que tout acte violent ou hostile ayant pour but de remplacer ou de renverser le gouvernement d’un pays en cette année électorale soit réduite </w:t>
            </w:r>
          </w:p>
        </w:tc>
        <w:tc>
          <w:tcPr>
            <w:tcW w:w="1843" w:type="dxa"/>
            <w:shd w:val="clear" w:color="auto" w:fill="auto"/>
            <w:vAlign w:val="center"/>
          </w:tcPr>
          <w:p w14:paraId="036D445D" w14:textId="334E7A7B" w:rsidR="00D506E5" w:rsidRPr="00723776" w:rsidRDefault="00D506E5" w:rsidP="00F852E8">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MEDD</w:t>
            </w:r>
          </w:p>
        </w:tc>
      </w:tr>
      <w:tr w:rsidR="00D506E5" w:rsidRPr="00C345C4" w14:paraId="1C0CEE1C" w14:textId="77777777" w:rsidTr="00192D83">
        <w:tc>
          <w:tcPr>
            <w:tcW w:w="2723" w:type="dxa"/>
            <w:shd w:val="clear" w:color="auto" w:fill="auto"/>
            <w:vAlign w:val="center"/>
          </w:tcPr>
          <w:p w14:paraId="7D14981E" w14:textId="37B5B534" w:rsidR="00D506E5" w:rsidRPr="00723776" w:rsidRDefault="00D506E5" w:rsidP="00601E93">
            <w:pPr>
              <w:spacing w:after="0" w:line="264" w:lineRule="auto"/>
              <w:rPr>
                <w:rFonts w:ascii="Avenir Next LT Pro" w:hAnsi="Avenir Next LT Pro" w:cstheme="minorHAnsi"/>
                <w:bCs/>
                <w:color w:val="000000"/>
                <w:sz w:val="20"/>
                <w:szCs w:val="20"/>
              </w:rPr>
            </w:pPr>
            <w:r w:rsidRPr="00723776">
              <w:rPr>
                <w:rFonts w:ascii="Avenir Next LT Pro" w:eastAsia="Cambria" w:hAnsi="Avenir Next LT Pro" w:cstheme="minorHAnsi"/>
                <w:sz w:val="20"/>
                <w:szCs w:val="20"/>
              </w:rPr>
              <w:t xml:space="preserve">Engagement institutionnel insuffisant </w:t>
            </w:r>
          </w:p>
        </w:tc>
        <w:tc>
          <w:tcPr>
            <w:tcW w:w="1735" w:type="dxa"/>
            <w:shd w:val="clear" w:color="auto" w:fill="auto"/>
            <w:vAlign w:val="center"/>
          </w:tcPr>
          <w:p w14:paraId="1A1CA379" w14:textId="1D316B85" w:rsidR="00D506E5" w:rsidRPr="00723776" w:rsidRDefault="00D506E5" w:rsidP="00521397">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Bas</w:t>
            </w:r>
          </w:p>
        </w:tc>
        <w:tc>
          <w:tcPr>
            <w:tcW w:w="1842" w:type="dxa"/>
            <w:shd w:val="clear" w:color="auto" w:fill="auto"/>
            <w:vAlign w:val="center"/>
          </w:tcPr>
          <w:p w14:paraId="57B81413" w14:textId="0BF68F42" w:rsidR="00D506E5" w:rsidRPr="00723776" w:rsidRDefault="00D506E5" w:rsidP="00521397">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4BE702CE" w14:textId="0CE28476" w:rsidR="00D506E5" w:rsidRPr="00723776" w:rsidRDefault="00D506E5" w:rsidP="00521397">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Modéré</w:t>
            </w:r>
          </w:p>
        </w:tc>
        <w:tc>
          <w:tcPr>
            <w:tcW w:w="4961" w:type="dxa"/>
            <w:shd w:val="clear" w:color="auto" w:fill="auto"/>
            <w:vAlign w:val="center"/>
          </w:tcPr>
          <w:p w14:paraId="53BA034F" w14:textId="77777777" w:rsidR="00D506E5" w:rsidRPr="00723776" w:rsidRDefault="00D506E5" w:rsidP="00521397">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 xml:space="preserve">Renforcer le leadership et l’intersectorialité avec un engagement au plus haut niveau du Gouvernement ; Impliquer les parties prenantes (Parlement, secteur privé, société civile, communautés) dans une approche consultative inclusive et dans la prise de décision ; </w:t>
            </w:r>
          </w:p>
          <w:p w14:paraId="221DD34E" w14:textId="77777777" w:rsidR="00D506E5" w:rsidRPr="00723776" w:rsidRDefault="00D506E5" w:rsidP="00521397">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 xml:space="preserve">Développer une stratégie de communication proactive autour des activités du projet ; </w:t>
            </w:r>
          </w:p>
          <w:p w14:paraId="786373DF" w14:textId="6D401680" w:rsidR="00D506E5" w:rsidRPr="00723776" w:rsidRDefault="00D506E5" w:rsidP="00521397">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lastRenderedPageBreak/>
              <w:t>Mobiliser les acteurs des plateformes/groupes de travail existants au niveau national et local</w:t>
            </w:r>
          </w:p>
        </w:tc>
        <w:tc>
          <w:tcPr>
            <w:tcW w:w="1843" w:type="dxa"/>
            <w:shd w:val="clear" w:color="auto" w:fill="auto"/>
            <w:vAlign w:val="center"/>
          </w:tcPr>
          <w:p w14:paraId="1A612674" w14:textId="593F35CE" w:rsidR="00D506E5" w:rsidRPr="00723776" w:rsidRDefault="00D506E5" w:rsidP="00192D83">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lastRenderedPageBreak/>
              <w:t>MEDD, Min</w:t>
            </w:r>
            <w:r w:rsidR="006E1C34">
              <w:rPr>
                <w:rFonts w:ascii="Avenir Next LT Pro" w:eastAsia="Cambria" w:hAnsi="Avenir Next LT Pro" w:cstheme="minorHAnsi"/>
                <w:sz w:val="20"/>
                <w:szCs w:val="20"/>
              </w:rPr>
              <w:t xml:space="preserve"> </w:t>
            </w:r>
            <w:r w:rsidRPr="00723776">
              <w:rPr>
                <w:rFonts w:ascii="Avenir Next LT Pro" w:eastAsia="Cambria" w:hAnsi="Avenir Next LT Pro" w:cstheme="minorHAnsi"/>
                <w:sz w:val="20"/>
                <w:szCs w:val="20"/>
              </w:rPr>
              <w:t>Fi</w:t>
            </w:r>
            <w:r w:rsidR="006E1C34">
              <w:rPr>
                <w:rFonts w:ascii="Avenir Next LT Pro" w:eastAsia="Cambria" w:hAnsi="Avenir Next LT Pro" w:cstheme="minorHAnsi"/>
                <w:sz w:val="20"/>
                <w:szCs w:val="20"/>
              </w:rPr>
              <w:t>n</w:t>
            </w:r>
          </w:p>
        </w:tc>
      </w:tr>
      <w:tr w:rsidR="000C71B4" w:rsidRPr="00C345C4" w14:paraId="4536FA13" w14:textId="77777777" w:rsidTr="00656EF6">
        <w:tc>
          <w:tcPr>
            <w:tcW w:w="12821" w:type="dxa"/>
            <w:gridSpan w:val="5"/>
            <w:shd w:val="clear" w:color="auto" w:fill="B7DFA8" w:themeFill="accent1" w:themeFillTint="66"/>
          </w:tcPr>
          <w:p w14:paraId="371763F7" w14:textId="5F163179" w:rsidR="00684E5E" w:rsidRPr="00C345C4" w:rsidRDefault="00684E5E" w:rsidP="00C5130F">
            <w:pPr>
              <w:spacing w:after="0" w:line="264" w:lineRule="auto"/>
              <w:jc w:val="both"/>
              <w:rPr>
                <w:rFonts w:ascii="Avenir Next LT Pro" w:eastAsia="Cambria" w:hAnsi="Avenir Next LT Pro" w:cstheme="minorHAnsi"/>
                <w:b/>
                <w:sz w:val="20"/>
                <w:szCs w:val="20"/>
              </w:rPr>
            </w:pPr>
            <w:r w:rsidRPr="00C345C4">
              <w:rPr>
                <w:rFonts w:ascii="Avenir Next LT Pro" w:hAnsi="Avenir Next LT Pro" w:cstheme="minorHAnsi"/>
                <w:b/>
                <w:sz w:val="20"/>
                <w:szCs w:val="20"/>
              </w:rPr>
              <w:t xml:space="preserve">Risques </w:t>
            </w:r>
            <w:r w:rsidR="00353B93" w:rsidRPr="00C345C4">
              <w:rPr>
                <w:rFonts w:ascii="Avenir Next LT Pro" w:hAnsi="Avenir Next LT Pro" w:cstheme="minorHAnsi"/>
                <w:b/>
                <w:sz w:val="20"/>
                <w:szCs w:val="20"/>
              </w:rPr>
              <w:t xml:space="preserve">financiers </w:t>
            </w:r>
          </w:p>
        </w:tc>
        <w:tc>
          <w:tcPr>
            <w:tcW w:w="1843" w:type="dxa"/>
            <w:shd w:val="clear" w:color="auto" w:fill="B7DFA8" w:themeFill="accent1" w:themeFillTint="66"/>
          </w:tcPr>
          <w:p w14:paraId="1762D2A0" w14:textId="77777777" w:rsidR="00684E5E" w:rsidRPr="00C345C4" w:rsidRDefault="00684E5E" w:rsidP="00C5130F">
            <w:pPr>
              <w:spacing w:after="0" w:line="264" w:lineRule="auto"/>
              <w:jc w:val="both"/>
              <w:rPr>
                <w:rFonts w:ascii="Avenir Next LT Pro" w:eastAsia="Cambria" w:hAnsi="Avenir Next LT Pro" w:cstheme="minorHAnsi"/>
                <w:b/>
                <w:sz w:val="20"/>
                <w:szCs w:val="20"/>
              </w:rPr>
            </w:pPr>
          </w:p>
        </w:tc>
      </w:tr>
      <w:tr w:rsidR="00367A9D" w:rsidRPr="00C345C4" w14:paraId="21E04D81" w14:textId="77777777" w:rsidTr="00192D83">
        <w:tc>
          <w:tcPr>
            <w:tcW w:w="2723" w:type="dxa"/>
            <w:shd w:val="clear" w:color="auto" w:fill="auto"/>
            <w:vAlign w:val="center"/>
          </w:tcPr>
          <w:p w14:paraId="171F557E" w14:textId="77777777" w:rsidR="00367A9D" w:rsidRPr="00723776" w:rsidRDefault="00367A9D" w:rsidP="00367A9D">
            <w:pPr>
              <w:spacing w:after="0"/>
              <w:rPr>
                <w:rFonts w:ascii="Avenir Next LT Pro" w:hAnsi="Avenir Next LT Pro" w:cstheme="minorHAnsi"/>
                <w:sz w:val="20"/>
                <w:szCs w:val="20"/>
              </w:rPr>
            </w:pPr>
            <w:r w:rsidRPr="00723776">
              <w:rPr>
                <w:rFonts w:ascii="Avenir Next LT Pro" w:hAnsi="Avenir Next LT Pro" w:cstheme="minorHAnsi"/>
                <w:sz w:val="20"/>
                <w:szCs w:val="20"/>
              </w:rPr>
              <w:t>Insuffisance de mobilisation de ressources pour le financement des activités</w:t>
            </w:r>
          </w:p>
          <w:p w14:paraId="281F73DA" w14:textId="77777777" w:rsidR="00367A9D" w:rsidRPr="00723776" w:rsidRDefault="00367A9D" w:rsidP="00367A9D">
            <w:pPr>
              <w:spacing w:after="0"/>
              <w:rPr>
                <w:rFonts w:ascii="Avenir Next LT Pro" w:hAnsi="Avenir Next LT Pro" w:cstheme="minorHAnsi"/>
                <w:sz w:val="20"/>
                <w:szCs w:val="20"/>
              </w:rPr>
            </w:pPr>
          </w:p>
          <w:p w14:paraId="59AC4B0F" w14:textId="77777777" w:rsidR="00367A9D" w:rsidRPr="00723776" w:rsidRDefault="00367A9D" w:rsidP="00367A9D">
            <w:pPr>
              <w:spacing w:after="0"/>
              <w:rPr>
                <w:rFonts w:ascii="Avenir Next LT Pro" w:hAnsi="Avenir Next LT Pro" w:cstheme="minorHAnsi"/>
                <w:sz w:val="20"/>
                <w:szCs w:val="20"/>
              </w:rPr>
            </w:pPr>
            <w:r w:rsidRPr="00723776">
              <w:rPr>
                <w:rFonts w:ascii="Avenir Next LT Pro" w:hAnsi="Avenir Next LT Pro" w:cstheme="minorHAnsi"/>
                <w:sz w:val="20"/>
                <w:szCs w:val="20"/>
              </w:rPr>
              <w:t xml:space="preserve">Faiblesses des mécanismes de partage des bénéfices et des revenus financiers issus de la vente des crédits carbone </w:t>
            </w:r>
          </w:p>
          <w:p w14:paraId="69247C59" w14:textId="41C8689F" w:rsidR="00367A9D" w:rsidRPr="00723776" w:rsidRDefault="00367A9D" w:rsidP="00367A9D">
            <w:pPr>
              <w:spacing w:after="0" w:line="264" w:lineRule="auto"/>
              <w:rPr>
                <w:rFonts w:ascii="Avenir Next LT Pro" w:eastAsia="Cambria" w:hAnsi="Avenir Next LT Pro" w:cstheme="minorHAnsi"/>
                <w:sz w:val="20"/>
                <w:szCs w:val="20"/>
              </w:rPr>
            </w:pPr>
            <w:r w:rsidRPr="00723776">
              <w:rPr>
                <w:rFonts w:ascii="Avenir Next LT Pro" w:hAnsi="Avenir Next LT Pro" w:cstheme="minorHAnsi"/>
                <w:sz w:val="20"/>
                <w:szCs w:val="20"/>
              </w:rPr>
              <w:t>sur le marché</w:t>
            </w:r>
          </w:p>
        </w:tc>
        <w:tc>
          <w:tcPr>
            <w:tcW w:w="1735" w:type="dxa"/>
            <w:shd w:val="clear" w:color="auto" w:fill="auto"/>
            <w:vAlign w:val="center"/>
          </w:tcPr>
          <w:p w14:paraId="37C34D2E" w14:textId="387DA19F" w:rsidR="00367A9D" w:rsidRPr="00723776" w:rsidRDefault="00367A9D" w:rsidP="00367A9D">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Moyen</w:t>
            </w:r>
          </w:p>
        </w:tc>
        <w:tc>
          <w:tcPr>
            <w:tcW w:w="1842" w:type="dxa"/>
            <w:shd w:val="clear" w:color="auto" w:fill="auto"/>
            <w:vAlign w:val="center"/>
          </w:tcPr>
          <w:p w14:paraId="5A74B84C" w14:textId="46AE3324" w:rsidR="00367A9D" w:rsidRPr="00723776" w:rsidRDefault="00367A9D" w:rsidP="00367A9D">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4ACF2C9A" w14:textId="23ECD8E0" w:rsidR="00367A9D" w:rsidRPr="00723776" w:rsidRDefault="00367A9D" w:rsidP="00367A9D">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Modéré</w:t>
            </w:r>
          </w:p>
        </w:tc>
        <w:tc>
          <w:tcPr>
            <w:tcW w:w="4961" w:type="dxa"/>
            <w:shd w:val="clear" w:color="auto" w:fill="auto"/>
            <w:vAlign w:val="center"/>
          </w:tcPr>
          <w:p w14:paraId="7CF782B6" w14:textId="77777777" w:rsidR="00367A9D" w:rsidRPr="00723776" w:rsidRDefault="00367A9D" w:rsidP="00367A9D">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 xml:space="preserve">Monitoring des contributions financières ; </w:t>
            </w:r>
          </w:p>
          <w:p w14:paraId="3E5E6AE4" w14:textId="77777777" w:rsidR="00367A9D" w:rsidRPr="00723776" w:rsidRDefault="00367A9D" w:rsidP="00367A9D">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Etablissement de nouveaux partenariats ; Poursuite du dialogue avec les PTF contribuant au secteur</w:t>
            </w:r>
          </w:p>
          <w:p w14:paraId="47378086" w14:textId="77777777" w:rsidR="00367A9D" w:rsidRPr="00723776" w:rsidRDefault="00367A9D" w:rsidP="00367A9D">
            <w:pPr>
              <w:spacing w:after="0"/>
              <w:contextualSpacing/>
              <w:rPr>
                <w:rFonts w:ascii="Avenir Next LT Pro" w:eastAsia="Cambria" w:hAnsi="Avenir Next LT Pro" w:cstheme="minorHAnsi"/>
                <w:sz w:val="20"/>
                <w:szCs w:val="20"/>
              </w:rPr>
            </w:pPr>
          </w:p>
          <w:p w14:paraId="374A6A66" w14:textId="77777777" w:rsidR="00367A9D" w:rsidRPr="00723776" w:rsidRDefault="00367A9D" w:rsidP="00367A9D">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Mise en place d’un cadre de dialogue inclusif et de revue des mécanismes de partage des bénéfices et des revenus financiers issus de la vente des crédits carbone</w:t>
            </w:r>
          </w:p>
          <w:p w14:paraId="08EEE67E" w14:textId="77777777" w:rsidR="00367A9D" w:rsidRPr="00723776" w:rsidRDefault="00367A9D" w:rsidP="00367A9D">
            <w:pPr>
              <w:spacing w:after="0" w:line="264" w:lineRule="auto"/>
              <w:rPr>
                <w:rFonts w:ascii="Avenir Next LT Pro" w:eastAsia="Cambria" w:hAnsi="Avenir Next LT Pro" w:cstheme="minorHAnsi"/>
                <w:sz w:val="20"/>
                <w:szCs w:val="20"/>
              </w:rPr>
            </w:pPr>
          </w:p>
        </w:tc>
        <w:tc>
          <w:tcPr>
            <w:tcW w:w="1843" w:type="dxa"/>
            <w:shd w:val="clear" w:color="auto" w:fill="auto"/>
            <w:vAlign w:val="center"/>
          </w:tcPr>
          <w:p w14:paraId="500D1B62" w14:textId="2766CE2E" w:rsidR="00367A9D" w:rsidRPr="00723776" w:rsidRDefault="00367A9D" w:rsidP="00192D83">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Min</w:t>
            </w:r>
            <w:r w:rsidR="006E1C34">
              <w:rPr>
                <w:rFonts w:ascii="Avenir Next LT Pro" w:eastAsia="Cambria" w:hAnsi="Avenir Next LT Pro" w:cstheme="minorHAnsi"/>
                <w:sz w:val="20"/>
                <w:szCs w:val="20"/>
              </w:rPr>
              <w:t xml:space="preserve"> </w:t>
            </w:r>
            <w:r w:rsidRPr="00723776">
              <w:rPr>
                <w:rFonts w:ascii="Avenir Next LT Pro" w:eastAsia="Cambria" w:hAnsi="Avenir Next LT Pro" w:cstheme="minorHAnsi"/>
                <w:sz w:val="20"/>
                <w:szCs w:val="20"/>
              </w:rPr>
              <w:t>Fi</w:t>
            </w:r>
            <w:r w:rsidR="006E1C34">
              <w:rPr>
                <w:rFonts w:ascii="Avenir Next LT Pro" w:eastAsia="Cambria" w:hAnsi="Avenir Next LT Pro" w:cstheme="minorHAnsi"/>
                <w:sz w:val="20"/>
                <w:szCs w:val="20"/>
              </w:rPr>
              <w:t>n</w:t>
            </w:r>
          </w:p>
        </w:tc>
      </w:tr>
      <w:tr w:rsidR="00367A9D" w:rsidRPr="00C345C4" w14:paraId="5F31AEFA" w14:textId="77777777" w:rsidTr="00B92FF0">
        <w:tc>
          <w:tcPr>
            <w:tcW w:w="2723" w:type="dxa"/>
            <w:shd w:val="clear" w:color="auto" w:fill="auto"/>
            <w:vAlign w:val="center"/>
          </w:tcPr>
          <w:p w14:paraId="350A0B9B" w14:textId="0FF7C451" w:rsidR="00367A9D" w:rsidRPr="006F4529" w:rsidRDefault="00367A9D" w:rsidP="00B92FF0">
            <w:pPr>
              <w:spacing w:after="0" w:line="264" w:lineRule="auto"/>
              <w:rPr>
                <w:rFonts w:ascii="Avenir Next LT Pro" w:eastAsia="Cambria" w:hAnsi="Avenir Next LT Pro" w:cstheme="minorHAnsi"/>
                <w:color w:val="FF0000"/>
                <w:sz w:val="20"/>
                <w:szCs w:val="20"/>
              </w:rPr>
            </w:pPr>
            <w:r w:rsidRPr="006F4529">
              <w:rPr>
                <w:rFonts w:ascii="Avenir Next LT Pro" w:hAnsi="Avenir Next LT Pro" w:cstheme="minorHAnsi"/>
                <w:color w:val="FF0000"/>
                <w:sz w:val="20"/>
                <w:szCs w:val="20"/>
              </w:rPr>
              <w:t>Exhaustivité et transparence des opérations budgétaires</w:t>
            </w:r>
          </w:p>
        </w:tc>
        <w:tc>
          <w:tcPr>
            <w:tcW w:w="1735" w:type="dxa"/>
            <w:shd w:val="clear" w:color="auto" w:fill="auto"/>
            <w:vAlign w:val="center"/>
          </w:tcPr>
          <w:p w14:paraId="5D6C068F" w14:textId="2F33110C" w:rsidR="00367A9D" w:rsidRPr="006F4529" w:rsidRDefault="00367A9D" w:rsidP="00B92FF0">
            <w:pPr>
              <w:spacing w:after="0" w:line="264" w:lineRule="auto"/>
              <w:jc w:val="center"/>
              <w:rPr>
                <w:rFonts w:ascii="Avenir Next LT Pro" w:eastAsia="Cambria" w:hAnsi="Avenir Next LT Pro" w:cstheme="minorHAnsi"/>
                <w:color w:val="FF0000"/>
                <w:sz w:val="20"/>
                <w:szCs w:val="20"/>
              </w:rPr>
            </w:pPr>
            <w:r w:rsidRPr="006F4529">
              <w:rPr>
                <w:rFonts w:ascii="Avenir Next LT Pro" w:eastAsia="Cambria" w:hAnsi="Avenir Next LT Pro" w:cstheme="minorHAnsi"/>
                <w:color w:val="FF0000"/>
                <w:sz w:val="20"/>
                <w:szCs w:val="20"/>
              </w:rPr>
              <w:t>Moyen</w:t>
            </w:r>
          </w:p>
        </w:tc>
        <w:tc>
          <w:tcPr>
            <w:tcW w:w="1842" w:type="dxa"/>
            <w:shd w:val="clear" w:color="auto" w:fill="auto"/>
            <w:vAlign w:val="center"/>
          </w:tcPr>
          <w:p w14:paraId="14448035" w14:textId="5521C6FC" w:rsidR="00367A9D" w:rsidRPr="006F4529" w:rsidRDefault="00367A9D" w:rsidP="00B92FF0">
            <w:pPr>
              <w:spacing w:after="0" w:line="264" w:lineRule="auto"/>
              <w:jc w:val="center"/>
              <w:rPr>
                <w:rFonts w:ascii="Avenir Next LT Pro" w:eastAsia="Cambria" w:hAnsi="Avenir Next LT Pro" w:cstheme="minorHAnsi"/>
                <w:color w:val="FF0000"/>
                <w:sz w:val="20"/>
                <w:szCs w:val="20"/>
              </w:rPr>
            </w:pPr>
            <w:r w:rsidRPr="006F4529">
              <w:rPr>
                <w:rFonts w:ascii="Avenir Next LT Pro" w:eastAsia="Cambria" w:hAnsi="Avenir Next LT Pro" w:cstheme="minorHAnsi"/>
                <w:color w:val="FF0000"/>
                <w:sz w:val="20"/>
                <w:szCs w:val="20"/>
              </w:rPr>
              <w:t>Possible</w:t>
            </w:r>
          </w:p>
        </w:tc>
        <w:tc>
          <w:tcPr>
            <w:tcW w:w="1560" w:type="dxa"/>
            <w:shd w:val="clear" w:color="auto" w:fill="auto"/>
            <w:vAlign w:val="center"/>
          </w:tcPr>
          <w:p w14:paraId="22F72615" w14:textId="0BDB9248" w:rsidR="00367A9D" w:rsidRPr="006F4529" w:rsidRDefault="00367A9D" w:rsidP="00B92FF0">
            <w:pPr>
              <w:spacing w:after="0" w:line="264" w:lineRule="auto"/>
              <w:jc w:val="center"/>
              <w:rPr>
                <w:rFonts w:ascii="Avenir Next LT Pro" w:eastAsia="Cambria" w:hAnsi="Avenir Next LT Pro" w:cstheme="minorHAnsi"/>
                <w:color w:val="FF0000"/>
                <w:sz w:val="20"/>
                <w:szCs w:val="20"/>
              </w:rPr>
            </w:pPr>
            <w:r w:rsidRPr="006F4529">
              <w:rPr>
                <w:rFonts w:ascii="Avenir Next LT Pro" w:eastAsia="Cambria" w:hAnsi="Avenir Next LT Pro" w:cstheme="minorHAnsi"/>
                <w:color w:val="FF0000"/>
                <w:sz w:val="20"/>
                <w:szCs w:val="20"/>
              </w:rPr>
              <w:t>Modéré</w:t>
            </w:r>
          </w:p>
        </w:tc>
        <w:tc>
          <w:tcPr>
            <w:tcW w:w="4961" w:type="dxa"/>
            <w:shd w:val="clear" w:color="auto" w:fill="auto"/>
          </w:tcPr>
          <w:p w14:paraId="01879ABE" w14:textId="77777777" w:rsidR="00367A9D" w:rsidRPr="006F4529" w:rsidRDefault="00367A9D" w:rsidP="00367A9D">
            <w:pPr>
              <w:spacing w:after="0"/>
              <w:contextualSpacing/>
              <w:jc w:val="both"/>
              <w:rPr>
                <w:rFonts w:ascii="Avenir Next LT Pro" w:eastAsia="Cambria" w:hAnsi="Avenir Next LT Pro" w:cstheme="minorHAnsi"/>
                <w:color w:val="FF0000"/>
                <w:sz w:val="20"/>
                <w:szCs w:val="20"/>
              </w:rPr>
            </w:pPr>
            <w:r w:rsidRPr="006F4529">
              <w:rPr>
                <w:rFonts w:ascii="Avenir Next LT Pro" w:eastAsia="Cambria" w:hAnsi="Avenir Next LT Pro" w:cstheme="minorHAnsi"/>
                <w:color w:val="FF0000"/>
                <w:sz w:val="20"/>
                <w:szCs w:val="20"/>
              </w:rPr>
              <w:t>Instaurer un mécanisme afin que les données soient accessibles au public et industriels dans les secteurs concernés</w:t>
            </w:r>
          </w:p>
          <w:p w14:paraId="4A48228C" w14:textId="77777777" w:rsidR="00367A9D" w:rsidRPr="006F4529" w:rsidRDefault="00367A9D" w:rsidP="00367A9D">
            <w:pPr>
              <w:spacing w:after="0"/>
              <w:contextualSpacing/>
              <w:jc w:val="both"/>
              <w:rPr>
                <w:rFonts w:ascii="Avenir Next LT Pro" w:eastAsia="Cambria" w:hAnsi="Avenir Next LT Pro" w:cstheme="minorHAnsi"/>
                <w:color w:val="FF0000"/>
                <w:sz w:val="20"/>
                <w:szCs w:val="20"/>
              </w:rPr>
            </w:pPr>
          </w:p>
          <w:p w14:paraId="7E7CA946" w14:textId="4C621F30" w:rsidR="00367A9D" w:rsidRPr="006F4529" w:rsidRDefault="00367A9D" w:rsidP="00367A9D">
            <w:pPr>
              <w:spacing w:after="0" w:line="264" w:lineRule="auto"/>
              <w:jc w:val="both"/>
              <w:rPr>
                <w:rFonts w:ascii="Avenir Next LT Pro" w:eastAsia="Cambria" w:hAnsi="Avenir Next LT Pro" w:cstheme="minorHAnsi"/>
                <w:color w:val="FF0000"/>
                <w:sz w:val="20"/>
                <w:szCs w:val="20"/>
              </w:rPr>
            </w:pPr>
            <w:r w:rsidRPr="006F4529">
              <w:rPr>
                <w:rFonts w:ascii="Avenir Next LT Pro" w:hAnsi="Avenir Next LT Pro" w:cstheme="minorHAnsi"/>
                <w:color w:val="FF0000"/>
                <w:sz w:val="20"/>
                <w:szCs w:val="20"/>
              </w:rPr>
              <w:t xml:space="preserve">Instaurer un mécanisme de suivi des opérations extrabudgétaires (administrations personnalisées, établissements publics) et le suivi des financements sur ressources extérieures (risque dont participent par ailleurs les pratiques des bailleurs de fonds) </w:t>
            </w:r>
            <w:r w:rsidRPr="006F4529">
              <w:rPr>
                <w:rFonts w:ascii="Avenir Next LT Pro" w:eastAsia="Cambria" w:hAnsi="Avenir Next LT Pro" w:cstheme="minorHAnsi"/>
                <w:color w:val="FF0000"/>
                <w:sz w:val="20"/>
                <w:szCs w:val="20"/>
              </w:rPr>
              <w:t xml:space="preserve"> </w:t>
            </w:r>
          </w:p>
        </w:tc>
        <w:tc>
          <w:tcPr>
            <w:tcW w:w="1843" w:type="dxa"/>
            <w:shd w:val="clear" w:color="auto" w:fill="auto"/>
            <w:vAlign w:val="center"/>
          </w:tcPr>
          <w:p w14:paraId="0F76E4BC" w14:textId="6B5360EE" w:rsidR="00367A9D" w:rsidRPr="006F4529" w:rsidRDefault="00367A9D" w:rsidP="00B92FF0">
            <w:pPr>
              <w:spacing w:after="0" w:line="264" w:lineRule="auto"/>
              <w:jc w:val="center"/>
              <w:rPr>
                <w:rFonts w:ascii="Avenir Next LT Pro" w:eastAsia="Cambria" w:hAnsi="Avenir Next LT Pro" w:cstheme="minorHAnsi"/>
                <w:color w:val="FF0000"/>
                <w:sz w:val="20"/>
                <w:szCs w:val="20"/>
              </w:rPr>
            </w:pPr>
            <w:r w:rsidRPr="006F4529">
              <w:rPr>
                <w:rFonts w:ascii="Avenir Next LT Pro" w:eastAsia="Cambria" w:hAnsi="Avenir Next LT Pro" w:cstheme="minorHAnsi"/>
                <w:color w:val="FF0000"/>
                <w:sz w:val="20"/>
                <w:szCs w:val="20"/>
              </w:rPr>
              <w:t>Min Budget</w:t>
            </w:r>
          </w:p>
        </w:tc>
      </w:tr>
      <w:tr w:rsidR="00367A9D" w:rsidRPr="00C345C4" w14:paraId="5492CB92" w14:textId="77777777" w:rsidTr="004B18A2">
        <w:tc>
          <w:tcPr>
            <w:tcW w:w="2723" w:type="dxa"/>
            <w:shd w:val="clear" w:color="auto" w:fill="auto"/>
            <w:vAlign w:val="center"/>
          </w:tcPr>
          <w:p w14:paraId="10128CE2" w14:textId="78BA8B42" w:rsidR="00367A9D" w:rsidRPr="00723776" w:rsidRDefault="00367A9D" w:rsidP="004B18A2">
            <w:pPr>
              <w:spacing w:after="0" w:line="264" w:lineRule="auto"/>
              <w:rPr>
                <w:rFonts w:ascii="Avenir Next LT Pro" w:eastAsia="Cambria" w:hAnsi="Avenir Next LT Pro" w:cstheme="minorHAnsi"/>
                <w:sz w:val="20"/>
                <w:szCs w:val="20"/>
              </w:rPr>
            </w:pPr>
            <w:r w:rsidRPr="00723776">
              <w:rPr>
                <w:rFonts w:ascii="Avenir Next LT Pro" w:hAnsi="Avenir Next LT Pro" w:cstheme="minorHAnsi"/>
                <w:sz w:val="20"/>
                <w:szCs w:val="20"/>
              </w:rPr>
              <w:t>Prévisibilité et contrôle de l’exécution du budget</w:t>
            </w:r>
          </w:p>
        </w:tc>
        <w:tc>
          <w:tcPr>
            <w:tcW w:w="1735" w:type="dxa"/>
            <w:shd w:val="clear" w:color="auto" w:fill="auto"/>
            <w:vAlign w:val="center"/>
          </w:tcPr>
          <w:p w14:paraId="32B36855" w14:textId="277D6C79" w:rsidR="00367A9D" w:rsidRPr="00723776" w:rsidRDefault="00367A9D" w:rsidP="004B18A2">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Moyen</w:t>
            </w:r>
          </w:p>
        </w:tc>
        <w:tc>
          <w:tcPr>
            <w:tcW w:w="1842" w:type="dxa"/>
            <w:shd w:val="clear" w:color="auto" w:fill="auto"/>
            <w:vAlign w:val="center"/>
          </w:tcPr>
          <w:p w14:paraId="27B6617E" w14:textId="11B71D6D" w:rsidR="00367A9D" w:rsidRPr="00723776" w:rsidRDefault="00367A9D" w:rsidP="004B18A2">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1AC6E5BC" w14:textId="38F08C4E" w:rsidR="00367A9D" w:rsidRPr="00723776" w:rsidRDefault="00367A9D" w:rsidP="004B18A2">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Modéré</w:t>
            </w:r>
          </w:p>
        </w:tc>
        <w:tc>
          <w:tcPr>
            <w:tcW w:w="4961" w:type="dxa"/>
            <w:shd w:val="clear" w:color="auto" w:fill="auto"/>
            <w:vAlign w:val="center"/>
          </w:tcPr>
          <w:p w14:paraId="5B68114C" w14:textId="7F435E87" w:rsidR="00367A9D" w:rsidRPr="00723776" w:rsidRDefault="00367A9D" w:rsidP="004B18A2">
            <w:pPr>
              <w:spacing w:after="0" w:line="264" w:lineRule="auto"/>
              <w:rPr>
                <w:rFonts w:ascii="Avenir Next LT Pro" w:eastAsia="Cambria" w:hAnsi="Avenir Next LT Pro" w:cstheme="minorHAnsi"/>
                <w:sz w:val="20"/>
                <w:szCs w:val="20"/>
              </w:rPr>
            </w:pPr>
            <w:r w:rsidRPr="00723776">
              <w:rPr>
                <w:rFonts w:ascii="Avenir Next LT Pro" w:hAnsi="Avenir Next LT Pro" w:cstheme="minorHAnsi"/>
                <w:sz w:val="20"/>
                <w:szCs w:val="20"/>
              </w:rPr>
              <w:t>Instaurer dispositif de vérification et d’inspection interne de suivi des indicateurs d’exécution et de contrôle des recettes (fiscales) et des dépenses (salariales, non salariales, passation des marchés) aux normes de CAFI, et PNUD</w:t>
            </w:r>
          </w:p>
        </w:tc>
        <w:tc>
          <w:tcPr>
            <w:tcW w:w="1843" w:type="dxa"/>
            <w:shd w:val="clear" w:color="auto" w:fill="auto"/>
            <w:vAlign w:val="center"/>
          </w:tcPr>
          <w:p w14:paraId="426C6CB2" w14:textId="568E6B36" w:rsidR="00367A9D" w:rsidRPr="00723776" w:rsidRDefault="00367A9D" w:rsidP="004B18A2">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Min Budget</w:t>
            </w:r>
          </w:p>
        </w:tc>
      </w:tr>
      <w:tr w:rsidR="00367A9D" w:rsidRPr="00C345C4" w14:paraId="5B5BAA4F" w14:textId="77777777" w:rsidTr="007F2946">
        <w:tc>
          <w:tcPr>
            <w:tcW w:w="2723" w:type="dxa"/>
            <w:shd w:val="clear" w:color="auto" w:fill="auto"/>
            <w:vAlign w:val="center"/>
          </w:tcPr>
          <w:p w14:paraId="4F46DD3D" w14:textId="0216DFB7" w:rsidR="00367A9D" w:rsidRPr="00723776" w:rsidRDefault="00367A9D" w:rsidP="007F2946">
            <w:pPr>
              <w:spacing w:after="0" w:line="264" w:lineRule="auto"/>
              <w:rPr>
                <w:rFonts w:ascii="Avenir Next LT Pro" w:eastAsia="Cambria" w:hAnsi="Avenir Next LT Pro" w:cstheme="minorHAnsi"/>
                <w:sz w:val="20"/>
                <w:szCs w:val="20"/>
              </w:rPr>
            </w:pPr>
            <w:r w:rsidRPr="00723776">
              <w:rPr>
                <w:rFonts w:ascii="Avenir Next LT Pro" w:hAnsi="Avenir Next LT Pro" w:cstheme="minorHAnsi"/>
                <w:sz w:val="20"/>
                <w:szCs w:val="20"/>
              </w:rPr>
              <w:t xml:space="preserve">Mise en œuvre du </w:t>
            </w:r>
            <w:r w:rsidR="006E1C34">
              <w:rPr>
                <w:rFonts w:ascii="Avenir Next LT Pro" w:hAnsi="Avenir Next LT Pro" w:cstheme="minorHAnsi"/>
                <w:sz w:val="20"/>
                <w:szCs w:val="20"/>
              </w:rPr>
              <w:t>DIM</w:t>
            </w:r>
            <w:r w:rsidR="006E1C34" w:rsidRPr="00723776">
              <w:rPr>
                <w:rFonts w:ascii="Avenir Next LT Pro" w:hAnsi="Avenir Next LT Pro" w:cstheme="minorHAnsi"/>
                <w:sz w:val="20"/>
                <w:szCs w:val="20"/>
              </w:rPr>
              <w:t xml:space="preserve"> </w:t>
            </w:r>
          </w:p>
        </w:tc>
        <w:tc>
          <w:tcPr>
            <w:tcW w:w="1735" w:type="dxa"/>
            <w:shd w:val="clear" w:color="auto" w:fill="auto"/>
            <w:vAlign w:val="center"/>
          </w:tcPr>
          <w:p w14:paraId="6CA2438D" w14:textId="7D006DCB" w:rsidR="00367A9D" w:rsidRPr="00723776" w:rsidRDefault="00367A9D" w:rsidP="007F294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Moyen</w:t>
            </w:r>
          </w:p>
        </w:tc>
        <w:tc>
          <w:tcPr>
            <w:tcW w:w="1842" w:type="dxa"/>
            <w:shd w:val="clear" w:color="auto" w:fill="auto"/>
            <w:vAlign w:val="center"/>
          </w:tcPr>
          <w:p w14:paraId="2806629F" w14:textId="148104CD" w:rsidR="00367A9D" w:rsidRPr="00723776" w:rsidRDefault="00367A9D" w:rsidP="007F294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180244E8" w14:textId="34A1F049" w:rsidR="00367A9D" w:rsidRPr="00723776" w:rsidRDefault="00367A9D" w:rsidP="007F294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Modéré</w:t>
            </w:r>
          </w:p>
        </w:tc>
        <w:tc>
          <w:tcPr>
            <w:tcW w:w="4961" w:type="dxa"/>
            <w:shd w:val="clear" w:color="auto" w:fill="auto"/>
          </w:tcPr>
          <w:p w14:paraId="6886F5D4" w14:textId="1BD94BBD" w:rsidR="00367A9D" w:rsidRDefault="00367A9D" w:rsidP="00367A9D">
            <w:pPr>
              <w:spacing w:after="0"/>
              <w:contextualSpacing/>
              <w:rPr>
                <w:rFonts w:ascii="Avenir Next LT Pro" w:hAnsi="Avenir Next LT Pro" w:cstheme="minorHAnsi"/>
                <w:sz w:val="20"/>
                <w:szCs w:val="20"/>
              </w:rPr>
            </w:pPr>
            <w:r w:rsidRPr="00723776">
              <w:rPr>
                <w:rFonts w:ascii="Avenir Next LT Pro" w:hAnsi="Avenir Next LT Pro" w:cstheme="minorHAnsi"/>
                <w:sz w:val="20"/>
                <w:szCs w:val="20"/>
              </w:rPr>
              <w:t xml:space="preserve">Vulgarisation des procédures </w:t>
            </w:r>
            <w:r w:rsidR="006E1C34">
              <w:rPr>
                <w:rFonts w:ascii="Avenir Next LT Pro" w:hAnsi="Avenir Next LT Pro" w:cstheme="minorHAnsi"/>
                <w:sz w:val="20"/>
                <w:szCs w:val="20"/>
              </w:rPr>
              <w:t xml:space="preserve">en vigueur </w:t>
            </w:r>
          </w:p>
          <w:p w14:paraId="22B555A3" w14:textId="77777777" w:rsidR="006E1C34" w:rsidRPr="00723776" w:rsidRDefault="006E1C34" w:rsidP="00367A9D">
            <w:pPr>
              <w:spacing w:after="0"/>
              <w:contextualSpacing/>
              <w:rPr>
                <w:rFonts w:ascii="Avenir Next LT Pro" w:hAnsi="Avenir Next LT Pro" w:cstheme="minorHAnsi"/>
                <w:sz w:val="20"/>
                <w:szCs w:val="20"/>
              </w:rPr>
            </w:pPr>
          </w:p>
          <w:p w14:paraId="2A1A3546" w14:textId="1C91BF8D" w:rsidR="00367A9D" w:rsidRPr="00723776" w:rsidRDefault="00367A9D" w:rsidP="00367A9D">
            <w:pPr>
              <w:spacing w:after="0" w:line="264" w:lineRule="auto"/>
              <w:jc w:val="both"/>
              <w:rPr>
                <w:rFonts w:ascii="Avenir Next LT Pro" w:eastAsia="Cambria" w:hAnsi="Avenir Next LT Pro" w:cstheme="minorHAnsi"/>
                <w:sz w:val="20"/>
                <w:szCs w:val="20"/>
              </w:rPr>
            </w:pPr>
            <w:r w:rsidRPr="00723776">
              <w:rPr>
                <w:rFonts w:ascii="Avenir Next LT Pro" w:hAnsi="Avenir Next LT Pro" w:cstheme="minorHAnsi"/>
                <w:sz w:val="20"/>
                <w:szCs w:val="20"/>
              </w:rPr>
              <w:t>Renforcement des capacités des partenaires d'exécution sur la mise en œuvre de l’approche harmonisée des transferts de fonds (HACT)</w:t>
            </w:r>
          </w:p>
        </w:tc>
        <w:tc>
          <w:tcPr>
            <w:tcW w:w="1843" w:type="dxa"/>
            <w:shd w:val="clear" w:color="auto" w:fill="auto"/>
            <w:vAlign w:val="center"/>
          </w:tcPr>
          <w:p w14:paraId="4A7A92B9" w14:textId="1E6E4F87" w:rsidR="00367A9D" w:rsidRPr="00723776" w:rsidRDefault="00367A9D" w:rsidP="007F294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PNUD</w:t>
            </w:r>
          </w:p>
        </w:tc>
      </w:tr>
      <w:tr w:rsidR="00367A9D" w:rsidRPr="00C345C4" w14:paraId="1064B8A8" w14:textId="77777777" w:rsidTr="00656EF6">
        <w:trPr>
          <w:trHeight w:val="359"/>
        </w:trPr>
        <w:tc>
          <w:tcPr>
            <w:tcW w:w="12821" w:type="dxa"/>
            <w:gridSpan w:val="5"/>
            <w:shd w:val="clear" w:color="auto" w:fill="B7DFA8" w:themeFill="accent1" w:themeFillTint="66"/>
          </w:tcPr>
          <w:p w14:paraId="1E9870E4" w14:textId="3F8BEB7D" w:rsidR="00367A9D" w:rsidRPr="00C345C4" w:rsidRDefault="00367A9D" w:rsidP="00367A9D">
            <w:pPr>
              <w:spacing w:after="0" w:line="23" w:lineRule="atLeast"/>
              <w:rPr>
                <w:rFonts w:ascii="Avenir Next LT Pro" w:hAnsi="Avenir Next LT Pro" w:cstheme="minorHAnsi"/>
                <w:b/>
                <w:bCs/>
                <w:color w:val="000000"/>
                <w:sz w:val="20"/>
                <w:szCs w:val="20"/>
              </w:rPr>
            </w:pPr>
            <w:r w:rsidRPr="00C345C4">
              <w:rPr>
                <w:rFonts w:ascii="Avenir Next LT Pro" w:hAnsi="Avenir Next LT Pro" w:cstheme="minorHAnsi"/>
                <w:b/>
                <w:bCs/>
                <w:sz w:val="20"/>
                <w:szCs w:val="20"/>
              </w:rPr>
              <w:t>Risques</w:t>
            </w:r>
            <w:r w:rsidRPr="00C345C4">
              <w:rPr>
                <w:rFonts w:ascii="Avenir Next LT Pro" w:hAnsi="Avenir Next LT Pro" w:cstheme="minorHAnsi"/>
                <w:sz w:val="20"/>
                <w:szCs w:val="20"/>
              </w:rPr>
              <w:t xml:space="preserve"> </w:t>
            </w:r>
            <w:r w:rsidRPr="00C345C4">
              <w:rPr>
                <w:rFonts w:ascii="Avenir Next LT Pro" w:hAnsi="Avenir Next LT Pro" w:cstheme="minorHAnsi"/>
                <w:b/>
                <w:bCs/>
                <w:sz w:val="20"/>
                <w:szCs w:val="20"/>
              </w:rPr>
              <w:t>opérationnels (y inclus sur les processus et capacités d’adaptation du projet) et</w:t>
            </w:r>
            <w:r w:rsidRPr="00C345C4">
              <w:rPr>
                <w:rFonts w:ascii="Avenir Next LT Pro" w:hAnsi="Avenir Next LT Pro" w:cstheme="minorHAnsi"/>
                <w:sz w:val="20"/>
                <w:szCs w:val="20"/>
              </w:rPr>
              <w:t xml:space="preserve"> </w:t>
            </w:r>
            <w:r w:rsidRPr="00C345C4">
              <w:rPr>
                <w:rFonts w:ascii="Avenir Next LT Pro" w:hAnsi="Avenir Next LT Pro" w:cstheme="minorHAnsi"/>
                <w:b/>
                <w:bCs/>
                <w:sz w:val="20"/>
                <w:szCs w:val="20"/>
              </w:rPr>
              <w:t>stratégiques (dont réputationnels)</w:t>
            </w:r>
          </w:p>
        </w:tc>
        <w:tc>
          <w:tcPr>
            <w:tcW w:w="1843" w:type="dxa"/>
            <w:shd w:val="clear" w:color="auto" w:fill="B7DFA8" w:themeFill="accent1" w:themeFillTint="66"/>
          </w:tcPr>
          <w:p w14:paraId="592F8DEE" w14:textId="77777777" w:rsidR="00367A9D" w:rsidRPr="00C345C4" w:rsidRDefault="00367A9D" w:rsidP="00367A9D">
            <w:pPr>
              <w:spacing w:after="0" w:line="23" w:lineRule="atLeast"/>
              <w:rPr>
                <w:rFonts w:ascii="Avenir Next LT Pro" w:hAnsi="Avenir Next LT Pro" w:cstheme="minorHAnsi"/>
                <w:b/>
                <w:bCs/>
                <w:color w:val="000000"/>
                <w:sz w:val="20"/>
                <w:szCs w:val="20"/>
              </w:rPr>
            </w:pPr>
          </w:p>
        </w:tc>
      </w:tr>
      <w:tr w:rsidR="00565DAF" w:rsidRPr="00565DAF" w14:paraId="0AD9A49D" w14:textId="77777777" w:rsidTr="00565DAF">
        <w:tc>
          <w:tcPr>
            <w:tcW w:w="2723" w:type="dxa"/>
            <w:shd w:val="clear" w:color="auto" w:fill="auto"/>
            <w:vAlign w:val="center"/>
          </w:tcPr>
          <w:p w14:paraId="030CCCAB" w14:textId="54D55C30" w:rsidR="00565DAF" w:rsidRPr="00723776" w:rsidRDefault="00565DAF" w:rsidP="00565DAF">
            <w:pPr>
              <w:spacing w:after="0" w:line="23" w:lineRule="atLeast"/>
              <w:rPr>
                <w:rFonts w:ascii="Avenir Next LT Pro" w:hAnsi="Avenir Next LT Pro" w:cstheme="minorHAnsi"/>
                <w:sz w:val="20"/>
                <w:szCs w:val="20"/>
              </w:rPr>
            </w:pPr>
            <w:r w:rsidRPr="00723776">
              <w:rPr>
                <w:rFonts w:ascii="Avenir Next LT Pro" w:hAnsi="Avenir Next LT Pro" w:cstheme="minorHAnsi"/>
                <w:sz w:val="20"/>
                <w:szCs w:val="20"/>
                <w:lang w:eastAsia="fr-FR"/>
              </w:rPr>
              <w:lastRenderedPageBreak/>
              <w:t>Contraintes de disponibilité et d'accessibilité des données</w:t>
            </w:r>
          </w:p>
        </w:tc>
        <w:tc>
          <w:tcPr>
            <w:tcW w:w="1735" w:type="dxa"/>
            <w:shd w:val="clear" w:color="auto" w:fill="auto"/>
            <w:vAlign w:val="center"/>
          </w:tcPr>
          <w:p w14:paraId="1D14621D" w14:textId="183E7987" w:rsidR="00565DAF" w:rsidRPr="00723776" w:rsidRDefault="00565DAF" w:rsidP="00565DAF">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Moyen</w:t>
            </w:r>
          </w:p>
        </w:tc>
        <w:tc>
          <w:tcPr>
            <w:tcW w:w="1842" w:type="dxa"/>
            <w:shd w:val="clear" w:color="auto" w:fill="auto"/>
            <w:vAlign w:val="center"/>
          </w:tcPr>
          <w:p w14:paraId="3204A989" w14:textId="2FC8EC96" w:rsidR="00565DAF" w:rsidRPr="00723776" w:rsidRDefault="00565DAF" w:rsidP="00565DAF">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Probable</w:t>
            </w:r>
          </w:p>
        </w:tc>
        <w:tc>
          <w:tcPr>
            <w:tcW w:w="1560" w:type="dxa"/>
            <w:shd w:val="clear" w:color="auto" w:fill="auto"/>
            <w:vAlign w:val="center"/>
          </w:tcPr>
          <w:p w14:paraId="77E8C3AF" w14:textId="4A290757" w:rsidR="00565DAF" w:rsidRPr="00723776" w:rsidRDefault="00565DAF" w:rsidP="00565DAF">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Modéré</w:t>
            </w:r>
          </w:p>
        </w:tc>
        <w:tc>
          <w:tcPr>
            <w:tcW w:w="4961" w:type="dxa"/>
            <w:shd w:val="clear" w:color="auto" w:fill="auto"/>
            <w:vAlign w:val="center"/>
          </w:tcPr>
          <w:p w14:paraId="230B6E12" w14:textId="77777777" w:rsidR="00565DAF" w:rsidRPr="00723776" w:rsidRDefault="00565DAF" w:rsidP="00565DAF">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Inclure des fournisseurs de données accessibles au public et industriels dans les secteurs concernés pour faciliter l'accès aux données ;</w:t>
            </w:r>
          </w:p>
          <w:p w14:paraId="088A7DBC" w14:textId="77777777" w:rsidR="00565DAF" w:rsidRPr="00723776" w:rsidRDefault="00565DAF" w:rsidP="00565DAF">
            <w:pPr>
              <w:spacing w:after="0"/>
              <w:contextualSpacing/>
              <w:rPr>
                <w:rFonts w:ascii="Avenir Next LT Pro" w:eastAsia="Cambria" w:hAnsi="Avenir Next LT Pro" w:cstheme="minorHAnsi"/>
                <w:sz w:val="20"/>
                <w:szCs w:val="20"/>
              </w:rPr>
            </w:pPr>
          </w:p>
          <w:p w14:paraId="44065CEE" w14:textId="77777777" w:rsidR="00565DAF" w:rsidRPr="00723776" w:rsidRDefault="00565DAF" w:rsidP="00565DAF">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Établir des accords de collaboration juridiques ou moins formels avec des institutions dépositaires de données</w:t>
            </w:r>
          </w:p>
          <w:p w14:paraId="4327E2D0" w14:textId="77777777" w:rsidR="00565DAF" w:rsidRPr="00723776" w:rsidRDefault="00565DAF" w:rsidP="00565DAF">
            <w:pPr>
              <w:spacing w:after="0"/>
              <w:contextualSpacing/>
              <w:rPr>
                <w:rFonts w:ascii="Avenir Next LT Pro" w:eastAsia="Cambria" w:hAnsi="Avenir Next LT Pro" w:cstheme="minorHAnsi"/>
                <w:sz w:val="20"/>
                <w:szCs w:val="20"/>
              </w:rPr>
            </w:pPr>
          </w:p>
          <w:p w14:paraId="6C3522EC" w14:textId="77777777" w:rsidR="00565DAF" w:rsidRPr="00723776" w:rsidRDefault="00565DAF" w:rsidP="00565DAF">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Réviser le modèle de collecte de données spécialement conçu pour différents fournisseurs de données,</w:t>
            </w:r>
          </w:p>
          <w:p w14:paraId="4D899E03" w14:textId="77777777" w:rsidR="00565DAF" w:rsidRPr="00723776" w:rsidRDefault="00565DAF" w:rsidP="00565DAF">
            <w:pPr>
              <w:spacing w:after="0"/>
              <w:contextualSpacing/>
              <w:rPr>
                <w:rFonts w:ascii="Avenir Next LT Pro" w:eastAsia="Cambria" w:hAnsi="Avenir Next LT Pro" w:cstheme="minorHAnsi"/>
                <w:sz w:val="20"/>
                <w:szCs w:val="20"/>
              </w:rPr>
            </w:pPr>
          </w:p>
          <w:p w14:paraId="337FB0AF" w14:textId="77777777" w:rsidR="00565DAF" w:rsidRPr="00723776" w:rsidRDefault="00565DAF" w:rsidP="00565DAF">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Organiser des formations pour les fournisseurs de données industrielles dans le cadre du mécanisme de rapports environnemental existant,</w:t>
            </w:r>
          </w:p>
          <w:p w14:paraId="44A9EA03" w14:textId="77777777" w:rsidR="00565DAF" w:rsidRPr="00723776" w:rsidRDefault="00565DAF" w:rsidP="00565DAF">
            <w:pPr>
              <w:spacing w:after="0"/>
              <w:contextualSpacing/>
              <w:rPr>
                <w:rFonts w:ascii="Avenir Next LT Pro" w:eastAsia="Cambria" w:hAnsi="Avenir Next LT Pro" w:cstheme="minorHAnsi"/>
                <w:sz w:val="20"/>
                <w:szCs w:val="20"/>
              </w:rPr>
            </w:pPr>
          </w:p>
          <w:p w14:paraId="37A80563" w14:textId="45835705" w:rsidR="00565DAF" w:rsidRPr="00723776" w:rsidRDefault="00565DAF" w:rsidP="00565DAF">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L’appui continue la génération de données et le partage en utilisant le portail en ligne existant.</w:t>
            </w:r>
          </w:p>
        </w:tc>
        <w:tc>
          <w:tcPr>
            <w:tcW w:w="1843" w:type="dxa"/>
            <w:shd w:val="clear" w:color="auto" w:fill="auto"/>
            <w:vAlign w:val="center"/>
          </w:tcPr>
          <w:p w14:paraId="43E387B3" w14:textId="12D295F9" w:rsidR="00565DAF" w:rsidRPr="00723776" w:rsidRDefault="00565DAF" w:rsidP="00565DAF">
            <w:pPr>
              <w:spacing w:after="0" w:line="264" w:lineRule="auto"/>
              <w:jc w:val="center"/>
              <w:rPr>
                <w:rFonts w:ascii="Avenir Next LT Pro" w:eastAsia="Cambria" w:hAnsi="Avenir Next LT Pro" w:cstheme="minorHAnsi"/>
                <w:sz w:val="20"/>
                <w:szCs w:val="20"/>
                <w:lang w:val="nb-NO"/>
              </w:rPr>
            </w:pPr>
            <w:r w:rsidRPr="00723776">
              <w:rPr>
                <w:rFonts w:ascii="Avenir Next LT Pro" w:eastAsia="Cambria" w:hAnsi="Avenir Next LT Pro" w:cstheme="minorHAnsi"/>
                <w:sz w:val="20"/>
                <w:szCs w:val="20"/>
                <w:lang w:val="nb-NO"/>
              </w:rPr>
              <w:t>MEDD, MinFi, Min Agri, MIN Dév Rural, Min Energie, Min Transport, METTELSAT, INERA</w:t>
            </w:r>
          </w:p>
        </w:tc>
      </w:tr>
      <w:tr w:rsidR="00565DAF" w:rsidRPr="00C345C4" w14:paraId="0FCD2B62" w14:textId="77777777" w:rsidTr="003630B6">
        <w:trPr>
          <w:trHeight w:val="58"/>
        </w:trPr>
        <w:tc>
          <w:tcPr>
            <w:tcW w:w="2723" w:type="dxa"/>
            <w:shd w:val="clear" w:color="auto" w:fill="auto"/>
          </w:tcPr>
          <w:p w14:paraId="5A8CD28E" w14:textId="51B2E72E" w:rsidR="00565DAF" w:rsidRPr="00723776" w:rsidRDefault="00565DAF" w:rsidP="00565DAF">
            <w:pPr>
              <w:spacing w:after="0" w:line="23" w:lineRule="atLeast"/>
              <w:rPr>
                <w:rFonts w:ascii="Avenir Next LT Pro" w:hAnsi="Avenir Next LT Pro" w:cstheme="minorHAnsi"/>
                <w:sz w:val="20"/>
                <w:szCs w:val="20"/>
              </w:rPr>
            </w:pPr>
            <w:r w:rsidRPr="00723776">
              <w:rPr>
                <w:rFonts w:ascii="Avenir Next LT Pro" w:hAnsi="Avenir Next LT Pro" w:cstheme="minorHAnsi"/>
                <w:sz w:val="20"/>
                <w:szCs w:val="20"/>
                <w:lang w:eastAsia="fr-FR"/>
              </w:rPr>
              <w:t xml:space="preserve">Ressources humaines et techniques insuffisantes </w:t>
            </w:r>
          </w:p>
        </w:tc>
        <w:tc>
          <w:tcPr>
            <w:tcW w:w="1735" w:type="dxa"/>
            <w:shd w:val="clear" w:color="auto" w:fill="auto"/>
            <w:vAlign w:val="center"/>
          </w:tcPr>
          <w:p w14:paraId="67768247" w14:textId="0C642145" w:rsidR="00565DAF" w:rsidRPr="00723776" w:rsidRDefault="00565DAF" w:rsidP="003630B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Moyen</w:t>
            </w:r>
          </w:p>
        </w:tc>
        <w:tc>
          <w:tcPr>
            <w:tcW w:w="1842" w:type="dxa"/>
            <w:shd w:val="clear" w:color="auto" w:fill="auto"/>
            <w:vAlign w:val="center"/>
          </w:tcPr>
          <w:p w14:paraId="4870BED3" w14:textId="37DFEF37" w:rsidR="00565DAF" w:rsidRPr="00723776" w:rsidRDefault="00565DAF" w:rsidP="003630B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2855871C" w14:textId="3E4169F6" w:rsidR="00565DAF" w:rsidRPr="00723776" w:rsidRDefault="00565DAF" w:rsidP="003630B6">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Modéré</w:t>
            </w:r>
          </w:p>
        </w:tc>
        <w:tc>
          <w:tcPr>
            <w:tcW w:w="4961" w:type="dxa"/>
            <w:shd w:val="clear" w:color="auto" w:fill="auto"/>
            <w:vAlign w:val="center"/>
          </w:tcPr>
          <w:p w14:paraId="6E8AE5A5" w14:textId="77777777" w:rsidR="00565DAF" w:rsidRPr="00723776" w:rsidRDefault="00565DAF" w:rsidP="003630B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Identifier au niveau international et déployer l’expertise technique requise pour le développement des infrastructures</w:t>
            </w:r>
          </w:p>
          <w:p w14:paraId="6198DEA1" w14:textId="77777777" w:rsidR="00565DAF" w:rsidRPr="00723776" w:rsidRDefault="00565DAF" w:rsidP="003630B6">
            <w:pPr>
              <w:spacing w:after="0"/>
              <w:contextualSpacing/>
              <w:rPr>
                <w:rFonts w:ascii="Avenir Next LT Pro" w:eastAsia="Cambria" w:hAnsi="Avenir Next LT Pro" w:cstheme="minorHAnsi"/>
                <w:sz w:val="20"/>
                <w:szCs w:val="20"/>
              </w:rPr>
            </w:pPr>
          </w:p>
          <w:p w14:paraId="40A1B1B6" w14:textId="77777777" w:rsidR="00565DAF" w:rsidRPr="00723776" w:rsidRDefault="00565DAF" w:rsidP="003630B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Identifier et exploiter les capacités et les compétences existantes afin d'accroître la participation de tous les experts nationaux, pour l’appropriation nationale</w:t>
            </w:r>
          </w:p>
          <w:p w14:paraId="162B6A30" w14:textId="77777777" w:rsidR="00565DAF" w:rsidRPr="00723776" w:rsidRDefault="00565DAF" w:rsidP="003630B6">
            <w:pPr>
              <w:spacing w:after="0"/>
              <w:contextualSpacing/>
              <w:rPr>
                <w:rFonts w:ascii="Avenir Next LT Pro" w:eastAsia="Cambria" w:hAnsi="Avenir Next LT Pro" w:cstheme="minorHAnsi"/>
                <w:sz w:val="20"/>
                <w:szCs w:val="20"/>
              </w:rPr>
            </w:pPr>
          </w:p>
          <w:p w14:paraId="1A956977" w14:textId="77777777" w:rsidR="00565DAF" w:rsidRPr="00723776" w:rsidRDefault="00565DAF" w:rsidP="003630B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Lorsque des consultants doivent être recrutés, ils seront jumelés à un expert local pour faciliter le transfert de connaissances</w:t>
            </w:r>
          </w:p>
          <w:p w14:paraId="70FBAC48" w14:textId="77777777" w:rsidR="00565DAF" w:rsidRPr="00723776" w:rsidRDefault="00565DAF" w:rsidP="003630B6">
            <w:pPr>
              <w:spacing w:after="0"/>
              <w:contextualSpacing/>
              <w:rPr>
                <w:rFonts w:ascii="Avenir Next LT Pro" w:eastAsia="Cambria" w:hAnsi="Avenir Next LT Pro" w:cstheme="minorHAnsi"/>
                <w:sz w:val="20"/>
                <w:szCs w:val="20"/>
              </w:rPr>
            </w:pPr>
          </w:p>
          <w:p w14:paraId="742D0A92" w14:textId="020D2CE3" w:rsidR="00565DAF" w:rsidRPr="00723776" w:rsidRDefault="00565DAF" w:rsidP="003630B6">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Dans la mesure du possible, les experts comprennent des experts d'institutions universitaires / de recherche nationales, d'OSC et d'entreprises.</w:t>
            </w:r>
          </w:p>
        </w:tc>
        <w:tc>
          <w:tcPr>
            <w:tcW w:w="1843" w:type="dxa"/>
            <w:shd w:val="clear" w:color="auto" w:fill="auto"/>
            <w:vAlign w:val="center"/>
          </w:tcPr>
          <w:p w14:paraId="7EFB753A" w14:textId="1A27775A" w:rsidR="00565DAF" w:rsidRPr="00723776" w:rsidRDefault="00565DAF" w:rsidP="003630B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MEDD, PNUD</w:t>
            </w:r>
          </w:p>
        </w:tc>
      </w:tr>
      <w:tr w:rsidR="00565DAF" w:rsidRPr="00C345C4" w14:paraId="53475D4C" w14:textId="77777777" w:rsidTr="00656EF6">
        <w:trPr>
          <w:trHeight w:val="242"/>
        </w:trPr>
        <w:tc>
          <w:tcPr>
            <w:tcW w:w="14664" w:type="dxa"/>
            <w:gridSpan w:val="6"/>
            <w:shd w:val="clear" w:color="auto" w:fill="B7DFA8" w:themeFill="accent1" w:themeFillTint="66"/>
          </w:tcPr>
          <w:p w14:paraId="145D1DA7" w14:textId="7FEFA5C9" w:rsidR="00565DAF" w:rsidRPr="00C345C4" w:rsidRDefault="00565DAF" w:rsidP="00565DAF">
            <w:pPr>
              <w:spacing w:after="0" w:line="264" w:lineRule="auto"/>
              <w:jc w:val="both"/>
              <w:rPr>
                <w:rFonts w:ascii="Avenir Next LT Pro" w:eastAsia="Cambria" w:hAnsi="Avenir Next LT Pro" w:cstheme="minorHAnsi"/>
                <w:sz w:val="20"/>
                <w:szCs w:val="20"/>
              </w:rPr>
            </w:pPr>
            <w:r w:rsidRPr="00C345C4">
              <w:rPr>
                <w:rFonts w:ascii="Avenir Next LT Pro" w:hAnsi="Avenir Next LT Pro" w:cstheme="minorHAnsi"/>
                <w:b/>
                <w:bCs/>
                <w:color w:val="000000"/>
                <w:sz w:val="20"/>
                <w:szCs w:val="20"/>
              </w:rPr>
              <w:t>Risques organisationnels (y inclus fiduciaires)</w:t>
            </w:r>
          </w:p>
        </w:tc>
      </w:tr>
      <w:tr w:rsidR="002F6686" w:rsidRPr="00C345C4" w14:paraId="55B28A66" w14:textId="77777777" w:rsidTr="002F6686">
        <w:trPr>
          <w:trHeight w:val="242"/>
        </w:trPr>
        <w:tc>
          <w:tcPr>
            <w:tcW w:w="2723" w:type="dxa"/>
            <w:shd w:val="clear" w:color="auto" w:fill="auto"/>
            <w:vAlign w:val="center"/>
          </w:tcPr>
          <w:p w14:paraId="73D2FDFB" w14:textId="3CB1A5A4" w:rsidR="002F6686" w:rsidRPr="00723776" w:rsidDel="00EA1371" w:rsidRDefault="002F6686" w:rsidP="002F6686">
            <w:pPr>
              <w:spacing w:after="0" w:line="264" w:lineRule="auto"/>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lastRenderedPageBreak/>
              <w:t>Absence de durabilité des résultats après l'achèvement du projet</w:t>
            </w:r>
          </w:p>
        </w:tc>
        <w:tc>
          <w:tcPr>
            <w:tcW w:w="1735" w:type="dxa"/>
            <w:shd w:val="clear" w:color="auto" w:fill="auto"/>
            <w:vAlign w:val="center"/>
          </w:tcPr>
          <w:p w14:paraId="00666A11" w14:textId="062C605E"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Moyen</w:t>
            </w:r>
          </w:p>
        </w:tc>
        <w:tc>
          <w:tcPr>
            <w:tcW w:w="1842" w:type="dxa"/>
            <w:shd w:val="clear" w:color="auto" w:fill="auto"/>
            <w:vAlign w:val="center"/>
          </w:tcPr>
          <w:p w14:paraId="73FFC698" w14:textId="6F79BD2E"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Possible</w:t>
            </w:r>
          </w:p>
        </w:tc>
        <w:tc>
          <w:tcPr>
            <w:tcW w:w="1560" w:type="dxa"/>
            <w:shd w:val="clear" w:color="auto" w:fill="auto"/>
            <w:vAlign w:val="center"/>
          </w:tcPr>
          <w:p w14:paraId="3672ACCF" w14:textId="2C5B6F0B"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Modéré</w:t>
            </w:r>
          </w:p>
        </w:tc>
        <w:tc>
          <w:tcPr>
            <w:tcW w:w="4961" w:type="dxa"/>
            <w:shd w:val="clear" w:color="auto" w:fill="auto"/>
            <w:vAlign w:val="center"/>
          </w:tcPr>
          <w:p w14:paraId="4ABFD109" w14:textId="77777777" w:rsidR="002F6686" w:rsidRPr="00723776" w:rsidRDefault="002F6686" w:rsidP="002F668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Consolider les arrangements institutionnels ; accords de données ;</w:t>
            </w:r>
          </w:p>
          <w:p w14:paraId="3BC33085" w14:textId="77777777" w:rsidR="002F6686" w:rsidRPr="00723776" w:rsidRDefault="002F6686" w:rsidP="002F6686">
            <w:pPr>
              <w:spacing w:after="0"/>
              <w:contextualSpacing/>
              <w:rPr>
                <w:rFonts w:ascii="Avenir Next LT Pro" w:eastAsia="Cambria" w:hAnsi="Avenir Next LT Pro" w:cstheme="minorHAnsi"/>
                <w:sz w:val="20"/>
                <w:szCs w:val="20"/>
              </w:rPr>
            </w:pPr>
          </w:p>
          <w:p w14:paraId="4A292785" w14:textId="77777777" w:rsidR="002F6686" w:rsidRPr="00723776" w:rsidRDefault="002F6686" w:rsidP="002F668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Développement de la plate-forme Web pour la collecte de données appartenant au gouvernement ;</w:t>
            </w:r>
          </w:p>
          <w:p w14:paraId="27DE04EA" w14:textId="77777777" w:rsidR="002F6686" w:rsidRPr="00723776" w:rsidRDefault="002F6686" w:rsidP="002F6686">
            <w:pPr>
              <w:spacing w:after="0"/>
              <w:contextualSpacing/>
              <w:rPr>
                <w:rFonts w:ascii="Avenir Next LT Pro" w:eastAsia="Cambria" w:hAnsi="Avenir Next LT Pro" w:cstheme="minorHAnsi"/>
                <w:sz w:val="20"/>
                <w:szCs w:val="20"/>
              </w:rPr>
            </w:pPr>
          </w:p>
          <w:p w14:paraId="685C3F2A" w14:textId="0B6F588E" w:rsidR="002F6686" w:rsidRPr="00723776" w:rsidRDefault="002F6686" w:rsidP="002F6686">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Activités de formation destinées aux points focaux changement climatiques des fonctionnaires gouvernementaux et non aux consultants</w:t>
            </w:r>
          </w:p>
        </w:tc>
        <w:tc>
          <w:tcPr>
            <w:tcW w:w="1843" w:type="dxa"/>
            <w:shd w:val="clear" w:color="auto" w:fill="auto"/>
            <w:vAlign w:val="center"/>
          </w:tcPr>
          <w:p w14:paraId="35F0106A" w14:textId="49A5075E"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MEDD, PNUD</w:t>
            </w:r>
          </w:p>
        </w:tc>
      </w:tr>
      <w:tr w:rsidR="002F6686" w:rsidRPr="00C345C4" w14:paraId="48CD97C8" w14:textId="77777777" w:rsidTr="002F6686">
        <w:trPr>
          <w:trHeight w:val="242"/>
        </w:trPr>
        <w:tc>
          <w:tcPr>
            <w:tcW w:w="2723" w:type="dxa"/>
            <w:shd w:val="clear" w:color="auto" w:fill="auto"/>
            <w:vAlign w:val="center"/>
          </w:tcPr>
          <w:p w14:paraId="3D74475E" w14:textId="5B187B70" w:rsidR="002F6686" w:rsidRPr="00723776" w:rsidDel="00EA1371" w:rsidRDefault="002F6686" w:rsidP="002F6686">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Cartographie et engagement inadéquats des parties prenantes</w:t>
            </w:r>
          </w:p>
        </w:tc>
        <w:tc>
          <w:tcPr>
            <w:tcW w:w="1735" w:type="dxa"/>
            <w:shd w:val="clear" w:color="auto" w:fill="auto"/>
            <w:vAlign w:val="center"/>
          </w:tcPr>
          <w:p w14:paraId="30E2B299" w14:textId="55444CCE"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Moyen</w:t>
            </w:r>
          </w:p>
        </w:tc>
        <w:tc>
          <w:tcPr>
            <w:tcW w:w="1842" w:type="dxa"/>
            <w:shd w:val="clear" w:color="auto" w:fill="auto"/>
            <w:vAlign w:val="center"/>
          </w:tcPr>
          <w:p w14:paraId="03EA5C12" w14:textId="384361DD"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Possible</w:t>
            </w:r>
          </w:p>
        </w:tc>
        <w:tc>
          <w:tcPr>
            <w:tcW w:w="1560" w:type="dxa"/>
            <w:shd w:val="clear" w:color="auto" w:fill="auto"/>
            <w:vAlign w:val="center"/>
          </w:tcPr>
          <w:p w14:paraId="50DAD2C3" w14:textId="0C0E2BC3"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Modéré</w:t>
            </w:r>
          </w:p>
        </w:tc>
        <w:tc>
          <w:tcPr>
            <w:tcW w:w="4961" w:type="dxa"/>
            <w:shd w:val="clear" w:color="auto" w:fill="auto"/>
            <w:vAlign w:val="center"/>
          </w:tcPr>
          <w:p w14:paraId="16B18E77" w14:textId="77777777" w:rsidR="002F6686" w:rsidRPr="00723776" w:rsidRDefault="002F6686" w:rsidP="002F668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Effectuer une cartographie et un engagement appropriés des parties prenantes</w:t>
            </w:r>
          </w:p>
          <w:p w14:paraId="34B32EAB" w14:textId="77777777" w:rsidR="002F6686" w:rsidRPr="00723776" w:rsidRDefault="002F6686" w:rsidP="002F6686">
            <w:pPr>
              <w:spacing w:after="0"/>
              <w:contextualSpacing/>
              <w:rPr>
                <w:rFonts w:ascii="Avenir Next LT Pro" w:eastAsia="Cambria" w:hAnsi="Avenir Next LT Pro" w:cstheme="minorHAnsi"/>
                <w:sz w:val="20"/>
                <w:szCs w:val="20"/>
              </w:rPr>
            </w:pPr>
          </w:p>
          <w:p w14:paraId="75D473D4" w14:textId="59121BE1" w:rsidR="002F6686" w:rsidRPr="00723776" w:rsidRDefault="002F6686" w:rsidP="002F6686">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Fournir un rapport d'étape régulier aux parties prenantes dont les secteurs sont inclus dans le projet d’appui à la mise en œuvre de la CDN.</w:t>
            </w:r>
          </w:p>
        </w:tc>
        <w:tc>
          <w:tcPr>
            <w:tcW w:w="1843" w:type="dxa"/>
            <w:shd w:val="clear" w:color="auto" w:fill="auto"/>
            <w:vAlign w:val="center"/>
          </w:tcPr>
          <w:p w14:paraId="726C88EB" w14:textId="26C464B3"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MEDD, PNUD</w:t>
            </w:r>
          </w:p>
        </w:tc>
      </w:tr>
      <w:tr w:rsidR="002F6686" w:rsidRPr="00C345C4" w14:paraId="145452D2" w14:textId="77777777" w:rsidTr="002F6686">
        <w:trPr>
          <w:trHeight w:val="242"/>
        </w:trPr>
        <w:tc>
          <w:tcPr>
            <w:tcW w:w="2723" w:type="dxa"/>
            <w:shd w:val="clear" w:color="auto" w:fill="auto"/>
            <w:vAlign w:val="center"/>
          </w:tcPr>
          <w:p w14:paraId="5757F853" w14:textId="77777777" w:rsidR="002F6686" w:rsidRPr="00723776" w:rsidRDefault="002F6686" w:rsidP="002F6686">
            <w:pPr>
              <w:spacing w:after="0"/>
              <w:rPr>
                <w:rFonts w:ascii="Avenir Next LT Pro" w:hAnsi="Avenir Next LT Pro" w:cstheme="minorHAnsi"/>
                <w:sz w:val="20"/>
                <w:szCs w:val="20"/>
                <w:lang w:eastAsia="fr-FR"/>
              </w:rPr>
            </w:pPr>
            <w:r w:rsidRPr="00723776">
              <w:rPr>
                <w:rFonts w:ascii="Avenir Next LT Pro" w:hAnsi="Avenir Next LT Pro" w:cstheme="minorHAnsi"/>
                <w:sz w:val="20"/>
                <w:szCs w:val="20"/>
                <w:lang w:eastAsia="fr-FR"/>
              </w:rPr>
              <w:t xml:space="preserve">Manque d'information </w:t>
            </w:r>
          </w:p>
          <w:p w14:paraId="7083C540" w14:textId="77777777" w:rsidR="002F6686" w:rsidRPr="00723776" w:rsidDel="00EA1371" w:rsidRDefault="002F6686" w:rsidP="002F6686">
            <w:pPr>
              <w:spacing w:after="0" w:line="264" w:lineRule="auto"/>
              <w:rPr>
                <w:rFonts w:ascii="Avenir Next LT Pro" w:eastAsia="Cambria" w:hAnsi="Avenir Next LT Pro" w:cstheme="minorHAnsi"/>
                <w:sz w:val="20"/>
                <w:szCs w:val="20"/>
              </w:rPr>
            </w:pPr>
          </w:p>
        </w:tc>
        <w:tc>
          <w:tcPr>
            <w:tcW w:w="1735" w:type="dxa"/>
            <w:shd w:val="clear" w:color="auto" w:fill="auto"/>
            <w:vAlign w:val="center"/>
          </w:tcPr>
          <w:p w14:paraId="0A332469" w14:textId="64DE6510"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Élevé</w:t>
            </w:r>
          </w:p>
        </w:tc>
        <w:tc>
          <w:tcPr>
            <w:tcW w:w="1842" w:type="dxa"/>
            <w:shd w:val="clear" w:color="auto" w:fill="auto"/>
            <w:vAlign w:val="center"/>
          </w:tcPr>
          <w:p w14:paraId="670882DE" w14:textId="42D7F9A5"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Probable</w:t>
            </w:r>
          </w:p>
        </w:tc>
        <w:tc>
          <w:tcPr>
            <w:tcW w:w="1560" w:type="dxa"/>
            <w:shd w:val="clear" w:color="auto" w:fill="auto"/>
            <w:vAlign w:val="center"/>
          </w:tcPr>
          <w:p w14:paraId="4C917DBA" w14:textId="7290F8D1"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Modéré</w:t>
            </w:r>
          </w:p>
        </w:tc>
        <w:tc>
          <w:tcPr>
            <w:tcW w:w="4961" w:type="dxa"/>
            <w:shd w:val="clear" w:color="auto" w:fill="auto"/>
            <w:vAlign w:val="center"/>
          </w:tcPr>
          <w:p w14:paraId="3EA66DE0" w14:textId="77777777" w:rsidR="002F6686" w:rsidRPr="00723776" w:rsidRDefault="002F6686" w:rsidP="002F668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Utiliser les plates-formes, cadres et procédures existants pour informer les parties prenantes des arrangements institutionnels relatifs à la conservation des états forestiers, du marché du carbone et de la mise en œuvre de la CDN</w:t>
            </w:r>
          </w:p>
          <w:p w14:paraId="11D1FF46" w14:textId="77777777" w:rsidR="002F6686" w:rsidRPr="00723776" w:rsidRDefault="002F6686" w:rsidP="002F6686">
            <w:pPr>
              <w:spacing w:after="0"/>
              <w:contextualSpacing/>
              <w:rPr>
                <w:rFonts w:ascii="Avenir Next LT Pro" w:eastAsia="Cambria" w:hAnsi="Avenir Next LT Pro" w:cstheme="minorHAnsi"/>
                <w:sz w:val="20"/>
                <w:szCs w:val="20"/>
              </w:rPr>
            </w:pPr>
          </w:p>
          <w:p w14:paraId="403ACC30" w14:textId="77777777" w:rsidR="002F6686" w:rsidRPr="00723776" w:rsidRDefault="002F6686" w:rsidP="002F668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Impliquer des ministères techniques supplémentaires au début du projet</w:t>
            </w:r>
          </w:p>
          <w:p w14:paraId="2AB82A46" w14:textId="77777777" w:rsidR="002F6686" w:rsidRPr="00723776" w:rsidRDefault="002F6686" w:rsidP="002F6686">
            <w:pPr>
              <w:spacing w:after="0"/>
              <w:contextualSpacing/>
              <w:rPr>
                <w:rFonts w:ascii="Avenir Next LT Pro" w:eastAsia="Cambria" w:hAnsi="Avenir Next LT Pro" w:cstheme="minorHAnsi"/>
                <w:sz w:val="20"/>
                <w:szCs w:val="20"/>
              </w:rPr>
            </w:pPr>
          </w:p>
          <w:p w14:paraId="763A9B4A" w14:textId="77777777" w:rsidR="002F6686" w:rsidRPr="00723776" w:rsidRDefault="002F6686" w:rsidP="002F6686">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Concevoir des stratégies d'acceptation spécifiques pour les différentes parties prenantes (à savoir les ministères sectoriels, les opérateurs industriels et les entreprises et les ONG).</w:t>
            </w:r>
          </w:p>
          <w:p w14:paraId="41645A3F" w14:textId="77777777" w:rsidR="002F6686" w:rsidRPr="00723776" w:rsidRDefault="002F6686" w:rsidP="002F6686">
            <w:pPr>
              <w:spacing w:after="0"/>
              <w:contextualSpacing/>
              <w:rPr>
                <w:rFonts w:ascii="Avenir Next LT Pro" w:eastAsia="Cambria" w:hAnsi="Avenir Next LT Pro" w:cstheme="minorHAnsi"/>
                <w:sz w:val="20"/>
                <w:szCs w:val="20"/>
              </w:rPr>
            </w:pPr>
          </w:p>
          <w:p w14:paraId="049124D0" w14:textId="41E7002C" w:rsidR="002F6686" w:rsidRPr="00723776" w:rsidRDefault="002F6686" w:rsidP="002F6686">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Renforcer les groupes de travail du Comité national sur les changements climatiques</w:t>
            </w:r>
          </w:p>
        </w:tc>
        <w:tc>
          <w:tcPr>
            <w:tcW w:w="1843" w:type="dxa"/>
            <w:shd w:val="clear" w:color="auto" w:fill="auto"/>
            <w:vAlign w:val="center"/>
          </w:tcPr>
          <w:p w14:paraId="4F3DE3AD" w14:textId="55FE774B" w:rsidR="002F6686" w:rsidRPr="00723776" w:rsidRDefault="002F6686" w:rsidP="002F6686">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MEDD, PNUD</w:t>
            </w:r>
          </w:p>
        </w:tc>
      </w:tr>
      <w:tr w:rsidR="002F6686" w:rsidRPr="00C345C4" w14:paraId="07C4E110" w14:textId="77777777" w:rsidTr="00B95D2B">
        <w:trPr>
          <w:trHeight w:val="242"/>
        </w:trPr>
        <w:tc>
          <w:tcPr>
            <w:tcW w:w="2723" w:type="dxa"/>
            <w:shd w:val="clear" w:color="auto" w:fill="auto"/>
            <w:vAlign w:val="center"/>
          </w:tcPr>
          <w:p w14:paraId="3C20DECE" w14:textId="1E3353E3" w:rsidR="002F6686" w:rsidRPr="00723776" w:rsidDel="00EA1371" w:rsidRDefault="002F6686" w:rsidP="00B95D2B">
            <w:pPr>
              <w:spacing w:after="0" w:line="264" w:lineRule="auto"/>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Absence d'arrangements institutionnels adéquats</w:t>
            </w:r>
          </w:p>
        </w:tc>
        <w:tc>
          <w:tcPr>
            <w:tcW w:w="1735" w:type="dxa"/>
            <w:shd w:val="clear" w:color="auto" w:fill="auto"/>
            <w:vAlign w:val="center"/>
          </w:tcPr>
          <w:p w14:paraId="541066C4" w14:textId="3225E490" w:rsidR="002F6686" w:rsidRPr="00723776" w:rsidRDefault="002F6686" w:rsidP="00B95D2B">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Élevé</w:t>
            </w:r>
          </w:p>
        </w:tc>
        <w:tc>
          <w:tcPr>
            <w:tcW w:w="1842" w:type="dxa"/>
            <w:shd w:val="clear" w:color="auto" w:fill="auto"/>
            <w:vAlign w:val="center"/>
          </w:tcPr>
          <w:p w14:paraId="1443568E" w14:textId="72BE2B85" w:rsidR="002F6686" w:rsidRPr="00723776" w:rsidRDefault="002F6686" w:rsidP="00B95D2B">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Probable</w:t>
            </w:r>
          </w:p>
        </w:tc>
        <w:tc>
          <w:tcPr>
            <w:tcW w:w="1560" w:type="dxa"/>
            <w:shd w:val="clear" w:color="auto" w:fill="auto"/>
            <w:vAlign w:val="center"/>
          </w:tcPr>
          <w:p w14:paraId="765C47E5" w14:textId="04988AE6" w:rsidR="002F6686" w:rsidRPr="00723776" w:rsidRDefault="002F6686" w:rsidP="00B95D2B">
            <w:pPr>
              <w:spacing w:after="0" w:line="264" w:lineRule="auto"/>
              <w:jc w:val="center"/>
              <w:rPr>
                <w:rFonts w:ascii="Avenir Next LT Pro" w:eastAsia="Cambria" w:hAnsi="Avenir Next LT Pro" w:cstheme="minorHAnsi"/>
                <w:sz w:val="20"/>
                <w:szCs w:val="20"/>
              </w:rPr>
            </w:pPr>
            <w:r w:rsidRPr="00723776">
              <w:rPr>
                <w:rFonts w:ascii="Avenir Next LT Pro" w:hAnsi="Avenir Next LT Pro" w:cstheme="minorHAnsi"/>
                <w:sz w:val="20"/>
                <w:szCs w:val="20"/>
                <w:lang w:eastAsia="fr-FR"/>
              </w:rPr>
              <w:t>Modéré</w:t>
            </w:r>
          </w:p>
        </w:tc>
        <w:tc>
          <w:tcPr>
            <w:tcW w:w="4961" w:type="dxa"/>
            <w:shd w:val="clear" w:color="auto" w:fill="auto"/>
            <w:vAlign w:val="center"/>
          </w:tcPr>
          <w:p w14:paraId="6B155D83" w14:textId="77777777" w:rsidR="002F6686" w:rsidRPr="00723776" w:rsidRDefault="002F6686" w:rsidP="00B95D2B">
            <w:pPr>
              <w:spacing w:after="0"/>
              <w:contextualSpacing/>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t>Intégrer pleinement les groupes de travail du Comité national sur les changements climatiques</w:t>
            </w:r>
          </w:p>
          <w:p w14:paraId="2DB16121" w14:textId="77777777" w:rsidR="002F6686" w:rsidRPr="00723776" w:rsidRDefault="002F6686" w:rsidP="00B95D2B">
            <w:pPr>
              <w:spacing w:after="0"/>
              <w:contextualSpacing/>
              <w:rPr>
                <w:rFonts w:ascii="Avenir Next LT Pro" w:eastAsia="Cambria" w:hAnsi="Avenir Next LT Pro" w:cstheme="minorHAnsi"/>
                <w:sz w:val="20"/>
                <w:szCs w:val="20"/>
              </w:rPr>
            </w:pPr>
          </w:p>
          <w:p w14:paraId="4D3F12E1" w14:textId="08E7F041" w:rsidR="002F6686" w:rsidRPr="00723776" w:rsidRDefault="002F6686" w:rsidP="00B95D2B">
            <w:pPr>
              <w:spacing w:after="0" w:line="264" w:lineRule="auto"/>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lastRenderedPageBreak/>
              <w:t>Assurer des liens clairs entre la mise en place du marché du carbone dans les ministères d'exécution.</w:t>
            </w:r>
          </w:p>
        </w:tc>
        <w:tc>
          <w:tcPr>
            <w:tcW w:w="1843" w:type="dxa"/>
            <w:shd w:val="clear" w:color="auto" w:fill="auto"/>
            <w:vAlign w:val="center"/>
          </w:tcPr>
          <w:p w14:paraId="07C410CB" w14:textId="44F8A91B" w:rsidR="002F6686" w:rsidRPr="00723776" w:rsidRDefault="002F6686" w:rsidP="00B95D2B">
            <w:pPr>
              <w:spacing w:after="0" w:line="264" w:lineRule="auto"/>
              <w:jc w:val="center"/>
              <w:rPr>
                <w:rFonts w:ascii="Avenir Next LT Pro" w:eastAsia="Cambria" w:hAnsi="Avenir Next LT Pro" w:cstheme="minorHAnsi"/>
                <w:sz w:val="20"/>
                <w:szCs w:val="20"/>
              </w:rPr>
            </w:pPr>
            <w:r w:rsidRPr="00723776">
              <w:rPr>
                <w:rFonts w:ascii="Avenir Next LT Pro" w:eastAsia="Cambria" w:hAnsi="Avenir Next LT Pro" w:cstheme="minorHAnsi"/>
                <w:sz w:val="20"/>
                <w:szCs w:val="20"/>
              </w:rPr>
              <w:lastRenderedPageBreak/>
              <w:t>MEDD</w:t>
            </w:r>
          </w:p>
        </w:tc>
      </w:tr>
      <w:tr w:rsidR="002F6686" w:rsidRPr="00C345C4" w14:paraId="1052C177" w14:textId="77777777" w:rsidTr="00656EF6">
        <w:trPr>
          <w:trHeight w:val="242"/>
        </w:trPr>
        <w:tc>
          <w:tcPr>
            <w:tcW w:w="14664" w:type="dxa"/>
            <w:gridSpan w:val="6"/>
            <w:shd w:val="clear" w:color="auto" w:fill="B7DFA8" w:themeFill="accent1" w:themeFillTint="66"/>
          </w:tcPr>
          <w:p w14:paraId="3FB7FC31" w14:textId="6B49BEA4" w:rsidR="002F6686" w:rsidRPr="00C345C4" w:rsidRDefault="002F6686" w:rsidP="002F6686">
            <w:pPr>
              <w:spacing w:after="0" w:line="264" w:lineRule="auto"/>
              <w:jc w:val="both"/>
              <w:rPr>
                <w:rFonts w:ascii="Avenir Next LT Pro" w:eastAsia="Cambria" w:hAnsi="Avenir Next LT Pro" w:cstheme="minorHAnsi"/>
                <w:b/>
                <w:bCs/>
                <w:sz w:val="20"/>
                <w:szCs w:val="20"/>
              </w:rPr>
            </w:pPr>
            <w:r w:rsidRPr="00C345C4">
              <w:rPr>
                <w:rFonts w:ascii="Avenir Next LT Pro" w:eastAsia="Cambria" w:hAnsi="Avenir Next LT Pro" w:cstheme="minorHAnsi"/>
                <w:b/>
                <w:bCs/>
                <w:sz w:val="20"/>
                <w:szCs w:val="20"/>
              </w:rPr>
              <w:t xml:space="preserve">Sureté et sécurité </w:t>
            </w:r>
          </w:p>
        </w:tc>
      </w:tr>
      <w:tr w:rsidR="002F6686" w:rsidRPr="00C345C4" w14:paraId="1FEE7E97" w14:textId="77777777" w:rsidTr="00282FA5">
        <w:trPr>
          <w:trHeight w:val="242"/>
        </w:trPr>
        <w:tc>
          <w:tcPr>
            <w:tcW w:w="2723" w:type="dxa"/>
            <w:shd w:val="clear" w:color="auto" w:fill="auto"/>
          </w:tcPr>
          <w:p w14:paraId="51D4A7A7" w14:textId="77777777" w:rsidR="002F6686" w:rsidRPr="00C345C4" w:rsidDel="00EA1371" w:rsidRDefault="002F6686" w:rsidP="002F6686">
            <w:pPr>
              <w:spacing w:after="0" w:line="264" w:lineRule="auto"/>
              <w:jc w:val="both"/>
              <w:rPr>
                <w:rFonts w:ascii="Avenir Next LT Pro" w:eastAsia="Cambria" w:hAnsi="Avenir Next LT Pro" w:cstheme="minorHAnsi"/>
                <w:sz w:val="20"/>
                <w:szCs w:val="20"/>
              </w:rPr>
            </w:pPr>
          </w:p>
        </w:tc>
        <w:tc>
          <w:tcPr>
            <w:tcW w:w="1735" w:type="dxa"/>
            <w:shd w:val="clear" w:color="auto" w:fill="auto"/>
          </w:tcPr>
          <w:p w14:paraId="66309F10"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1842" w:type="dxa"/>
            <w:shd w:val="clear" w:color="auto" w:fill="auto"/>
          </w:tcPr>
          <w:p w14:paraId="72530A24"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1560" w:type="dxa"/>
            <w:shd w:val="clear" w:color="auto" w:fill="auto"/>
          </w:tcPr>
          <w:p w14:paraId="76B90567"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4961" w:type="dxa"/>
            <w:shd w:val="clear" w:color="auto" w:fill="auto"/>
          </w:tcPr>
          <w:p w14:paraId="33114A36"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1843" w:type="dxa"/>
            <w:shd w:val="clear" w:color="auto" w:fill="auto"/>
          </w:tcPr>
          <w:p w14:paraId="3958D4F5"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r>
      <w:tr w:rsidR="002F6686" w:rsidRPr="00C345C4" w14:paraId="07416CF7" w14:textId="77777777" w:rsidTr="00282FA5">
        <w:trPr>
          <w:trHeight w:val="242"/>
        </w:trPr>
        <w:tc>
          <w:tcPr>
            <w:tcW w:w="2723" w:type="dxa"/>
            <w:shd w:val="clear" w:color="auto" w:fill="auto"/>
          </w:tcPr>
          <w:p w14:paraId="1B7B3A8E" w14:textId="77777777" w:rsidR="002F6686" w:rsidRPr="00C345C4" w:rsidDel="00EA1371" w:rsidRDefault="002F6686" w:rsidP="002F6686">
            <w:pPr>
              <w:spacing w:after="0" w:line="264" w:lineRule="auto"/>
              <w:jc w:val="both"/>
              <w:rPr>
                <w:rFonts w:ascii="Avenir Next LT Pro" w:eastAsia="Cambria" w:hAnsi="Avenir Next LT Pro" w:cstheme="minorHAnsi"/>
                <w:sz w:val="20"/>
                <w:szCs w:val="20"/>
              </w:rPr>
            </w:pPr>
          </w:p>
        </w:tc>
        <w:tc>
          <w:tcPr>
            <w:tcW w:w="1735" w:type="dxa"/>
            <w:shd w:val="clear" w:color="auto" w:fill="auto"/>
          </w:tcPr>
          <w:p w14:paraId="618208F0"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1842" w:type="dxa"/>
            <w:shd w:val="clear" w:color="auto" w:fill="auto"/>
          </w:tcPr>
          <w:p w14:paraId="549DD799"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1560" w:type="dxa"/>
            <w:shd w:val="clear" w:color="auto" w:fill="auto"/>
          </w:tcPr>
          <w:p w14:paraId="4664DE73"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4961" w:type="dxa"/>
            <w:shd w:val="clear" w:color="auto" w:fill="auto"/>
          </w:tcPr>
          <w:p w14:paraId="26B6C1C3"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c>
          <w:tcPr>
            <w:tcW w:w="1843" w:type="dxa"/>
            <w:shd w:val="clear" w:color="auto" w:fill="auto"/>
          </w:tcPr>
          <w:p w14:paraId="4C342377" w14:textId="77777777" w:rsidR="002F6686" w:rsidRPr="00C345C4" w:rsidRDefault="002F6686" w:rsidP="002F6686">
            <w:pPr>
              <w:spacing w:after="0" w:line="264" w:lineRule="auto"/>
              <w:jc w:val="both"/>
              <w:rPr>
                <w:rFonts w:ascii="Avenir Next LT Pro" w:eastAsia="Cambria" w:hAnsi="Avenir Next LT Pro" w:cstheme="minorHAnsi"/>
                <w:sz w:val="20"/>
                <w:szCs w:val="20"/>
              </w:rPr>
            </w:pPr>
          </w:p>
        </w:tc>
      </w:tr>
    </w:tbl>
    <w:p w14:paraId="1B8F71D2" w14:textId="7D50C514" w:rsidR="00684E5E" w:rsidRPr="00C345C4" w:rsidRDefault="00684E5E" w:rsidP="00684E5E">
      <w:pPr>
        <w:spacing w:after="0"/>
        <w:rPr>
          <w:rFonts w:ascii="Avenir Next LT Pro" w:eastAsia="Cambria" w:hAnsi="Avenir Next LT Pro" w:cs="Calibri"/>
          <w:color w:val="3E762A" w:themeColor="accent1" w:themeShade="BF"/>
          <w:sz w:val="20"/>
          <w:szCs w:val="20"/>
        </w:rPr>
      </w:pPr>
      <w:r w:rsidRPr="00C345C4">
        <w:rPr>
          <w:rFonts w:ascii="Avenir Next LT Pro" w:hAnsi="Avenir Next LT Pro"/>
          <w:color w:val="3E762A" w:themeColor="accent1" w:themeShade="BF"/>
          <w:sz w:val="20"/>
          <w:szCs w:val="20"/>
        </w:rPr>
        <w:t>La méthodologie de gestion des risques est décrite ci-dessous, où le niveau de risque est mesuré comme le produit de la probabilité et des conséquences.</w:t>
      </w:r>
    </w:p>
    <w:p w14:paraId="690E5130" w14:textId="77777777" w:rsidR="00684E5E" w:rsidRPr="00C345C4" w:rsidRDefault="00684E5E" w:rsidP="00684E5E">
      <w:pPr>
        <w:jc w:val="center"/>
        <w:rPr>
          <w:rFonts w:ascii="Avenir Next LT Pro" w:eastAsia="Cambria" w:hAnsi="Avenir Next LT Pro" w:cs="Calibri"/>
        </w:rPr>
      </w:pPr>
      <w:r w:rsidRPr="00C345C4">
        <w:rPr>
          <w:rFonts w:ascii="Avenir Next LT Pro" w:eastAsia="Cambria" w:hAnsi="Avenir Next LT Pro" w:cs="Calibri"/>
          <w:noProof/>
        </w:rPr>
        <w:lastRenderedPageBreak/>
        <w:drawing>
          <wp:inline distT="0" distB="0" distL="0" distR="0" wp14:anchorId="2C879988" wp14:editId="7C783E95">
            <wp:extent cx="7294973" cy="4622006"/>
            <wp:effectExtent l="0" t="0" r="127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11028" cy="4632178"/>
                    </a:xfrm>
                    <a:prstGeom prst="rect">
                      <a:avLst/>
                    </a:prstGeom>
                    <a:noFill/>
                    <a:ln>
                      <a:noFill/>
                    </a:ln>
                  </pic:spPr>
                </pic:pic>
              </a:graphicData>
            </a:graphic>
          </wp:inline>
        </w:drawing>
      </w:r>
    </w:p>
    <w:p w14:paraId="654D9EB6" w14:textId="77777777" w:rsidR="00684E5E" w:rsidRPr="00C345C4" w:rsidRDefault="00684E5E" w:rsidP="00684E5E">
      <w:pPr>
        <w:spacing w:after="0"/>
        <w:rPr>
          <w:rFonts w:ascii="Avenir Next LT Pro" w:hAnsi="Avenir Next LT Pro"/>
          <w:b/>
          <w:bCs/>
          <w:lang w:eastAsia="fr-FR"/>
        </w:rPr>
      </w:pPr>
    </w:p>
    <w:p w14:paraId="6DCEAB1E" w14:textId="77777777" w:rsidR="00684E5E" w:rsidRPr="00C345C4" w:rsidRDefault="00684E5E" w:rsidP="009C2355">
      <w:pPr>
        <w:pStyle w:val="Paragraphedeliste"/>
        <w:numPr>
          <w:ilvl w:val="0"/>
          <w:numId w:val="1"/>
        </w:numPr>
        <w:spacing w:after="0" w:line="240" w:lineRule="auto"/>
        <w:rPr>
          <w:rFonts w:ascii="Avenir Next LT Pro" w:hAnsi="Avenir Next LT Pro"/>
          <w:b/>
          <w:bCs/>
          <w:lang w:eastAsia="fr-FR"/>
        </w:rPr>
        <w:sectPr w:rsidR="00684E5E" w:rsidRPr="00C345C4" w:rsidSect="00861E2D">
          <w:headerReference w:type="default" r:id="rId28"/>
          <w:pgSz w:w="16838" w:h="11906" w:orient="landscape"/>
          <w:pgMar w:top="1418" w:right="1418" w:bottom="1418" w:left="1418" w:header="709" w:footer="709" w:gutter="0"/>
          <w:cols w:space="708"/>
          <w:docGrid w:linePitch="360"/>
        </w:sectPr>
      </w:pPr>
    </w:p>
    <w:p w14:paraId="24FE84DE" w14:textId="66F514D6" w:rsidR="00112EB5" w:rsidRPr="00C345C4" w:rsidRDefault="006F0C4C" w:rsidP="000E7FF0">
      <w:pPr>
        <w:pStyle w:val="Titre2"/>
        <w:rPr>
          <w:rFonts w:ascii="Avenir Next LT Pro" w:hAnsi="Avenir Next LT Pro"/>
        </w:rPr>
      </w:pPr>
      <w:bookmarkStart w:id="58" w:name="_Toc163230391"/>
      <w:r w:rsidRPr="00C345C4">
        <w:rPr>
          <w:rFonts w:ascii="Avenir Next LT Pro" w:hAnsi="Avenir Next LT Pro"/>
        </w:rPr>
        <w:lastRenderedPageBreak/>
        <w:t>Sauvegardes</w:t>
      </w:r>
      <w:bookmarkEnd w:id="58"/>
      <w:r w:rsidRPr="00C345C4">
        <w:rPr>
          <w:rFonts w:ascii="Avenir Next LT Pro" w:hAnsi="Avenir Next LT Pro"/>
        </w:rPr>
        <w:t xml:space="preserve"> </w:t>
      </w:r>
    </w:p>
    <w:p w14:paraId="0CFC800B" w14:textId="77777777" w:rsidR="006F0C4C" w:rsidRPr="00C345C4" w:rsidRDefault="006F0C4C" w:rsidP="009C2355">
      <w:pPr>
        <w:pStyle w:val="Paragraphedeliste"/>
        <w:widowControl w:val="0"/>
        <w:numPr>
          <w:ilvl w:val="1"/>
          <w:numId w:val="2"/>
        </w:numPr>
        <w:spacing w:after="0" w:line="240" w:lineRule="auto"/>
        <w:contextualSpacing w:val="0"/>
        <w:jc w:val="both"/>
        <w:rPr>
          <w:rFonts w:ascii="Avenir Next LT Pro" w:hAnsi="Avenir Next LT Pro"/>
          <w:b/>
          <w:bCs/>
          <w:color w:val="000000"/>
          <w:lang w:eastAsia="en-GB"/>
        </w:rPr>
      </w:pPr>
      <w:r w:rsidRPr="00C345C4">
        <w:rPr>
          <w:rFonts w:ascii="Avenir Next LT Pro" w:hAnsi="Avenir Next LT Pro"/>
          <w:b/>
          <w:bCs/>
          <w:color w:val="000000"/>
          <w:lang w:eastAsia="en-GB"/>
        </w:rPr>
        <w:t>Intégration de la dimension genre</w:t>
      </w:r>
    </w:p>
    <w:p w14:paraId="35A53650" w14:textId="77777777" w:rsidR="00544E6A" w:rsidRPr="00544E6A" w:rsidRDefault="00544E6A" w:rsidP="00544E6A">
      <w:pPr>
        <w:spacing w:after="0"/>
        <w:jc w:val="both"/>
        <w:rPr>
          <w:rFonts w:ascii="Avenir Next LT Pro" w:hAnsi="Avenir Next LT Pro"/>
          <w:color w:val="000000"/>
          <w:sz w:val="20"/>
          <w:szCs w:val="20"/>
          <w:lang w:eastAsia="en-GB"/>
        </w:rPr>
      </w:pPr>
      <w:r w:rsidRPr="00544E6A">
        <w:rPr>
          <w:rFonts w:ascii="Avenir Next LT Pro" w:hAnsi="Avenir Next LT Pro"/>
          <w:color w:val="000000"/>
          <w:sz w:val="20"/>
          <w:szCs w:val="20"/>
          <w:lang w:eastAsia="en-GB"/>
        </w:rPr>
        <w:t xml:space="preserve">Le rôle clé des femmes ainsi que celui des peuples autochtones et autres groupes marginalisés dans la dynamique de gestion durable des ressources naturelles et de lutte contre le changement climatique est apparu clairement dans les analyses des besoins pour le renforcement de la gouvernance climatique et des marchés du carbone. C’est pourquoi la prise en compte des besoins différenciés et le renforcement de leur participation dans les processus de gouvernance constituera une priorité pour les interventions du Projet. Leur participation dans toutes les composantes du Projet et à tous les niveaux de décision sera promue. </w:t>
      </w:r>
    </w:p>
    <w:p w14:paraId="1E215D60" w14:textId="77777777" w:rsidR="00544E6A" w:rsidRPr="00544E6A" w:rsidRDefault="00544E6A" w:rsidP="00544E6A">
      <w:pPr>
        <w:spacing w:after="0"/>
        <w:jc w:val="both"/>
        <w:rPr>
          <w:rFonts w:ascii="Avenir Next LT Pro" w:hAnsi="Avenir Next LT Pro"/>
          <w:color w:val="000000"/>
          <w:lang w:eastAsia="en-GB"/>
        </w:rPr>
      </w:pPr>
    </w:p>
    <w:p w14:paraId="315FE7A3" w14:textId="0107FC34" w:rsidR="006F0C4C" w:rsidRPr="00544E6A" w:rsidRDefault="00544E6A" w:rsidP="00544E6A">
      <w:pPr>
        <w:spacing w:after="120"/>
        <w:jc w:val="both"/>
        <w:rPr>
          <w:rFonts w:ascii="Avenir Next LT Pro" w:hAnsi="Avenir Next LT Pro"/>
          <w:color w:val="000000"/>
          <w:sz w:val="20"/>
          <w:szCs w:val="20"/>
          <w:lang w:eastAsia="en-GB"/>
        </w:rPr>
      </w:pPr>
      <w:r w:rsidRPr="00544E6A">
        <w:rPr>
          <w:rFonts w:ascii="Avenir Next LT Pro" w:hAnsi="Avenir Next LT Pro"/>
          <w:color w:val="000000"/>
          <w:sz w:val="20"/>
          <w:szCs w:val="20"/>
          <w:lang w:eastAsia="en-GB"/>
        </w:rPr>
        <w:t xml:space="preserve">Pour ce faire, le Projet s’appuiera sur la </w:t>
      </w:r>
      <w:hyperlink r:id="rId29" w:history="1">
        <w:r w:rsidRPr="00544E6A">
          <w:rPr>
            <w:rStyle w:val="Lienhypertexte"/>
            <w:rFonts w:ascii="Avenir Next LT Pro" w:hAnsi="Avenir Next LT Pro"/>
            <w:sz w:val="20"/>
            <w:szCs w:val="20"/>
            <w:lang w:eastAsia="en-GB"/>
          </w:rPr>
          <w:t>Stratégie sur l’Egalite Genre 2022-2025</w:t>
        </w:r>
      </w:hyperlink>
      <w:r w:rsidRPr="00544E6A">
        <w:rPr>
          <w:rFonts w:ascii="Avenir Next LT Pro" w:hAnsi="Avenir Next LT Pro"/>
          <w:color w:val="000000"/>
          <w:sz w:val="20"/>
          <w:szCs w:val="20"/>
          <w:lang w:eastAsia="en-GB"/>
        </w:rPr>
        <w:t xml:space="preserve"> du PNUD. </w:t>
      </w:r>
      <w:hyperlink r:id="rId30" w:history="1">
        <w:r w:rsidRPr="00544E6A">
          <w:rPr>
            <w:rStyle w:val="Lienhypertexte"/>
            <w:rFonts w:ascii="Avenir Next LT Pro" w:hAnsi="Avenir Next LT Pro"/>
            <w:sz w:val="20"/>
            <w:szCs w:val="20"/>
            <w:lang w:eastAsia="en-GB"/>
          </w:rPr>
          <w:t>https://www.undp.org/fr/publications/la-strategie-pour-legalite-entre-les-hommes-et-les-femmes-2022-2025</w:t>
        </w:r>
      </w:hyperlink>
      <w:r w:rsidRPr="00544E6A">
        <w:rPr>
          <w:rFonts w:ascii="Avenir Next LT Pro" w:hAnsi="Avenir Next LT Pro"/>
          <w:color w:val="000000"/>
          <w:sz w:val="20"/>
          <w:szCs w:val="20"/>
          <w:lang w:eastAsia="en-GB"/>
        </w:rPr>
        <w:t>. Cette stratégie appelle à des changements structurels qui s'attaquent aux racines profondes des inégalités liées au genre et rééquilibrent le pouvoir. Cette stratégie contient des mesures de transformation institutionnelle regroupées en sept composantes interconnectées, inspirées de la certification du label égalité des genres</w:t>
      </w:r>
    </w:p>
    <w:p w14:paraId="474633A1" w14:textId="77777777" w:rsidR="006F0C4C" w:rsidRPr="00C345C4" w:rsidRDefault="006F0C4C" w:rsidP="009C2355">
      <w:pPr>
        <w:pStyle w:val="Paragraphedeliste"/>
        <w:widowControl w:val="0"/>
        <w:numPr>
          <w:ilvl w:val="1"/>
          <w:numId w:val="2"/>
        </w:numPr>
        <w:spacing w:after="0" w:line="240" w:lineRule="auto"/>
        <w:contextualSpacing w:val="0"/>
        <w:jc w:val="both"/>
        <w:rPr>
          <w:rFonts w:ascii="Avenir Next LT Pro" w:hAnsi="Avenir Next LT Pro"/>
          <w:b/>
          <w:bCs/>
          <w:color w:val="000000"/>
          <w:lang w:eastAsia="en-GB"/>
        </w:rPr>
      </w:pPr>
      <w:r w:rsidRPr="00C345C4">
        <w:rPr>
          <w:rFonts w:ascii="Avenir Next LT Pro" w:hAnsi="Avenir Next LT Pro"/>
          <w:b/>
          <w:bCs/>
          <w:color w:val="000000"/>
          <w:lang w:eastAsia="en-GB"/>
        </w:rPr>
        <w:t>Exploitation, harcèlement et abus sexuels</w:t>
      </w:r>
    </w:p>
    <w:p w14:paraId="7F68D02C" w14:textId="77777777" w:rsidR="002377F4" w:rsidRPr="002377F4" w:rsidRDefault="002377F4" w:rsidP="002377F4">
      <w:pPr>
        <w:spacing w:after="0"/>
        <w:jc w:val="both"/>
        <w:rPr>
          <w:rFonts w:ascii="Avenir Next LT Pro" w:hAnsi="Avenir Next LT Pro"/>
          <w:sz w:val="20"/>
          <w:szCs w:val="20"/>
        </w:rPr>
      </w:pPr>
      <w:bookmarkStart w:id="59" w:name="_Hlk51257161"/>
      <w:r w:rsidRPr="002377F4">
        <w:rPr>
          <w:rFonts w:ascii="Avenir Next LT Pro" w:hAnsi="Avenir Next LT Pro"/>
          <w:sz w:val="20"/>
          <w:szCs w:val="20"/>
        </w:rPr>
        <w:t xml:space="preserve">Les Nations Unies appellent « à une tolérance zéro » pour toute forme de harcèlement sur le lieu de travail. Le Bureau du Programme des Nations Unies pour le Développement (PNUD) en RDC s’inscrit dans cet engagement en ne tolérant aucun comportement qui puisse être interprété comme harcèlement sexuel, abus sexuel ou abus d’autorité. Le PNUD reconnaît ainsi l’importance de la prévention de toute forme de harcèlement dans le milieu du travail et compte jouer un rôle important et crucial dans cette problématique. En plus d’offrir un environnement sain, il s’agit de protéger tous les employé(e)s sur la base des principes suivants : (i) le respect de l’individu, de son intégrité physique et morale ; (ii) la tolérance zéro envers toute forme de harcèlement ; (iii) et le bien-être des employées, leur sécurités et protections. </w:t>
      </w:r>
      <w:hyperlink r:id="rId31" w:history="1">
        <w:r w:rsidRPr="002377F4">
          <w:rPr>
            <w:rStyle w:val="Lienhypertexte"/>
            <w:rFonts w:ascii="Avenir Next LT Pro" w:hAnsi="Avenir Next LT Pro"/>
            <w:sz w:val="20"/>
            <w:szCs w:val="20"/>
          </w:rPr>
          <w:t>https://www.undp.org/sites/g/files/zskgke326/files/2023-03/undp-sn-Brochure-info-HAS-2023.pdf</w:t>
        </w:r>
      </w:hyperlink>
      <w:r w:rsidRPr="002377F4">
        <w:rPr>
          <w:rFonts w:ascii="Avenir Next LT Pro" w:hAnsi="Avenir Next LT Pro"/>
          <w:sz w:val="20"/>
          <w:szCs w:val="20"/>
        </w:rPr>
        <w:t xml:space="preserve">; </w:t>
      </w:r>
      <w:hyperlink r:id="rId32" w:history="1">
        <w:r w:rsidRPr="002377F4">
          <w:rPr>
            <w:rStyle w:val="Lienhypertexte"/>
            <w:rFonts w:ascii="Avenir Next LT Pro" w:hAnsi="Avenir Next LT Pro"/>
            <w:sz w:val="20"/>
            <w:szCs w:val="20"/>
          </w:rPr>
          <w:t>https://www.un.org/preventing-sexual-exploitation-and-abuse/fr</w:t>
        </w:r>
      </w:hyperlink>
      <w:r w:rsidRPr="002377F4">
        <w:rPr>
          <w:rFonts w:ascii="Avenir Next LT Pro" w:hAnsi="Avenir Next LT Pro"/>
          <w:sz w:val="20"/>
          <w:szCs w:val="20"/>
        </w:rPr>
        <w:t xml:space="preserve"> </w:t>
      </w:r>
    </w:p>
    <w:p w14:paraId="491EDF92" w14:textId="77465B17" w:rsidR="006F0C4C" w:rsidRPr="002377F4" w:rsidRDefault="00112EB5" w:rsidP="003A4091">
      <w:pPr>
        <w:spacing w:after="120"/>
        <w:jc w:val="both"/>
        <w:rPr>
          <w:rFonts w:ascii="Avenir Next LT Pro" w:hAnsi="Avenir Next LT Pro"/>
          <w:color w:val="000000" w:themeColor="text1"/>
          <w:sz w:val="20"/>
          <w:szCs w:val="20"/>
          <w:lang w:eastAsia="en-GB"/>
        </w:rPr>
      </w:pPr>
      <w:r w:rsidRPr="002377F4">
        <w:rPr>
          <w:rFonts w:ascii="Avenir Next LT Pro" w:hAnsi="Avenir Next LT Pro"/>
          <w:color w:val="000000" w:themeColor="text1"/>
          <w:sz w:val="20"/>
          <w:szCs w:val="20"/>
        </w:rPr>
        <w:t xml:space="preserve"> </w:t>
      </w:r>
    </w:p>
    <w:p w14:paraId="32BE389E" w14:textId="42D67F90" w:rsidR="006F0C4C" w:rsidRPr="009C6DB1" w:rsidRDefault="006F0C4C" w:rsidP="009C2355">
      <w:pPr>
        <w:pStyle w:val="Paragraphedeliste"/>
        <w:widowControl w:val="0"/>
        <w:numPr>
          <w:ilvl w:val="1"/>
          <w:numId w:val="2"/>
        </w:numPr>
        <w:spacing w:after="0" w:line="240" w:lineRule="auto"/>
        <w:contextualSpacing w:val="0"/>
        <w:jc w:val="both"/>
        <w:rPr>
          <w:rFonts w:ascii="Avenir Next LT Pro" w:hAnsi="Avenir Next LT Pro"/>
          <w:b/>
          <w:bCs/>
          <w:color w:val="000000"/>
          <w:lang w:eastAsia="en-GB"/>
        </w:rPr>
      </w:pPr>
      <w:r w:rsidRPr="00C345C4">
        <w:rPr>
          <w:rFonts w:ascii="Avenir Next LT Pro" w:hAnsi="Avenir Next LT Pro"/>
          <w:b/>
          <w:bCs/>
          <w:color w:val="000000"/>
          <w:lang w:eastAsia="en-GB"/>
        </w:rPr>
        <w:t xml:space="preserve">Mesures de sauvegarde de Cancún </w:t>
      </w:r>
      <w:bookmarkEnd w:id="59"/>
    </w:p>
    <w:tbl>
      <w:tblPr>
        <w:tblStyle w:val="Grilledutableau"/>
        <w:tblW w:w="10720" w:type="dxa"/>
        <w:tblInd w:w="-572" w:type="dxa"/>
        <w:tblLook w:val="04A0" w:firstRow="1" w:lastRow="0" w:firstColumn="1" w:lastColumn="0" w:noHBand="0" w:noVBand="1"/>
      </w:tblPr>
      <w:tblGrid>
        <w:gridCol w:w="3544"/>
        <w:gridCol w:w="3827"/>
        <w:gridCol w:w="3349"/>
      </w:tblGrid>
      <w:tr w:rsidR="005D2582" w:rsidRPr="00656EF6" w14:paraId="24B56EE0" w14:textId="77777777" w:rsidTr="006565CF">
        <w:trPr>
          <w:trHeight w:val="227"/>
        </w:trPr>
        <w:tc>
          <w:tcPr>
            <w:tcW w:w="3544" w:type="dxa"/>
            <w:shd w:val="clear" w:color="auto" w:fill="3E762A" w:themeFill="accent1" w:themeFillShade="BF"/>
          </w:tcPr>
          <w:p w14:paraId="468EE4C8" w14:textId="0DE895A0" w:rsidR="006F0C4C" w:rsidRPr="00656EF6" w:rsidRDefault="006F0C4C" w:rsidP="00112EB5">
            <w:pPr>
              <w:spacing w:after="0"/>
              <w:jc w:val="center"/>
              <w:rPr>
                <w:rFonts w:ascii="Avenir Next LT Pro" w:hAnsi="Avenir Next LT Pro" w:cstheme="minorHAnsi"/>
                <w:b/>
                <w:bCs/>
                <w:color w:val="FFFFFF" w:themeColor="background1"/>
                <w:sz w:val="20"/>
              </w:rPr>
            </w:pPr>
            <w:r w:rsidRPr="00656EF6">
              <w:rPr>
                <w:rFonts w:ascii="Avenir Next LT Pro" w:hAnsi="Avenir Next LT Pro" w:cstheme="minorHAnsi"/>
                <w:b/>
                <w:bCs/>
                <w:color w:val="FFFFFF" w:themeColor="background1"/>
                <w:sz w:val="20"/>
              </w:rPr>
              <w:t>Sauvegarde de Canc</w:t>
            </w:r>
            <w:r w:rsidR="00215A6F" w:rsidRPr="00656EF6">
              <w:rPr>
                <w:rFonts w:ascii="Avenir Next LT Pro" w:hAnsi="Avenir Next LT Pro" w:cstheme="minorHAnsi"/>
                <w:b/>
                <w:bCs/>
                <w:color w:val="FFFFFF" w:themeColor="background1"/>
                <w:sz w:val="20"/>
              </w:rPr>
              <w:t>ú</w:t>
            </w:r>
            <w:r w:rsidRPr="00656EF6">
              <w:rPr>
                <w:rFonts w:ascii="Avenir Next LT Pro" w:hAnsi="Avenir Next LT Pro" w:cstheme="minorHAnsi"/>
                <w:b/>
                <w:bCs/>
                <w:color w:val="FFFFFF" w:themeColor="background1"/>
                <w:sz w:val="20"/>
              </w:rPr>
              <w:t>n</w:t>
            </w:r>
          </w:p>
        </w:tc>
        <w:tc>
          <w:tcPr>
            <w:tcW w:w="3827" w:type="dxa"/>
            <w:shd w:val="clear" w:color="auto" w:fill="3E762A" w:themeFill="accent1" w:themeFillShade="BF"/>
          </w:tcPr>
          <w:p w14:paraId="72EBAF42" w14:textId="3498B11F" w:rsidR="006F0C4C" w:rsidRPr="00656EF6" w:rsidRDefault="006F0C4C" w:rsidP="00112EB5">
            <w:pPr>
              <w:spacing w:after="0"/>
              <w:jc w:val="center"/>
              <w:rPr>
                <w:rFonts w:ascii="Avenir Next LT Pro" w:hAnsi="Avenir Next LT Pro" w:cstheme="minorHAnsi"/>
                <w:b/>
                <w:bCs/>
                <w:color w:val="FFFFFF" w:themeColor="background1"/>
                <w:sz w:val="20"/>
              </w:rPr>
            </w:pPr>
            <w:r w:rsidRPr="00656EF6">
              <w:rPr>
                <w:rFonts w:ascii="Avenir Next LT Pro" w:hAnsi="Avenir Next LT Pro" w:cstheme="minorHAnsi"/>
                <w:b/>
                <w:bCs/>
                <w:color w:val="FFFFFF" w:themeColor="background1"/>
                <w:sz w:val="20"/>
              </w:rPr>
              <w:t xml:space="preserve">Prise en compte dans la mise en œuvre du </w:t>
            </w:r>
            <w:r w:rsidR="00C420ED" w:rsidRPr="00656EF6">
              <w:rPr>
                <w:rFonts w:ascii="Avenir Next LT Pro" w:hAnsi="Avenir Next LT Pro" w:cstheme="minorHAnsi"/>
                <w:b/>
                <w:bCs/>
                <w:color w:val="FFFFFF" w:themeColor="background1"/>
                <w:sz w:val="20"/>
              </w:rPr>
              <w:t>projet</w:t>
            </w:r>
          </w:p>
        </w:tc>
        <w:tc>
          <w:tcPr>
            <w:tcW w:w="3349" w:type="dxa"/>
            <w:shd w:val="clear" w:color="auto" w:fill="3E762A" w:themeFill="accent1" w:themeFillShade="BF"/>
          </w:tcPr>
          <w:p w14:paraId="56AF78AD" w14:textId="75961652" w:rsidR="006F0C4C" w:rsidRPr="00656EF6" w:rsidRDefault="00E5501A" w:rsidP="00112EB5">
            <w:pPr>
              <w:spacing w:after="0"/>
              <w:jc w:val="center"/>
              <w:rPr>
                <w:rFonts w:ascii="Avenir Next LT Pro" w:hAnsi="Avenir Next LT Pro" w:cstheme="minorHAnsi"/>
                <w:b/>
                <w:bCs/>
                <w:color w:val="FFFFFF" w:themeColor="background1"/>
                <w:sz w:val="20"/>
              </w:rPr>
            </w:pPr>
            <w:r w:rsidRPr="00656EF6">
              <w:rPr>
                <w:rFonts w:ascii="Avenir Next LT Pro" w:hAnsi="Avenir Next LT Pro" w:cstheme="minorHAnsi"/>
                <w:b/>
                <w:bCs/>
                <w:color w:val="FFFFFF" w:themeColor="background1"/>
                <w:sz w:val="20"/>
              </w:rPr>
              <w:t>Description</w:t>
            </w:r>
            <w:r w:rsidR="006F0C4C" w:rsidRPr="00656EF6">
              <w:rPr>
                <w:rFonts w:ascii="Avenir Next LT Pro" w:hAnsi="Avenir Next LT Pro" w:cstheme="minorHAnsi"/>
                <w:b/>
                <w:bCs/>
                <w:color w:val="FFFFFF" w:themeColor="background1"/>
                <w:sz w:val="20"/>
              </w:rPr>
              <w:t xml:space="preserve"> des mesures de suivi-évaluation spécifiques </w:t>
            </w:r>
          </w:p>
        </w:tc>
      </w:tr>
      <w:tr w:rsidR="009F57D1" w:rsidRPr="00C345C4" w14:paraId="57352416" w14:textId="77777777" w:rsidTr="009F57D1">
        <w:trPr>
          <w:trHeight w:val="902"/>
        </w:trPr>
        <w:tc>
          <w:tcPr>
            <w:tcW w:w="3544" w:type="dxa"/>
          </w:tcPr>
          <w:p w14:paraId="5F6B3BAC" w14:textId="1DE73DDB" w:rsidR="009F57D1" w:rsidRPr="00C345C4" w:rsidRDefault="009F57D1" w:rsidP="009F57D1">
            <w:pPr>
              <w:spacing w:after="0"/>
              <w:rPr>
                <w:rFonts w:ascii="Avenir Next LT Pro" w:hAnsi="Avenir Next LT Pro" w:cstheme="minorHAnsi"/>
                <w:sz w:val="20"/>
              </w:rPr>
            </w:pPr>
            <w:r w:rsidRPr="00C345C4">
              <w:rPr>
                <w:rFonts w:ascii="Avenir Next LT Pro" w:hAnsi="Avenir Next LT Pro" w:cstheme="minorHAnsi"/>
                <w:sz w:val="20"/>
              </w:rPr>
              <w:t xml:space="preserve">Complémentarité et compatibilité avec les objectifs des projets forestiers nationaux et les accords internationaux </w:t>
            </w:r>
          </w:p>
        </w:tc>
        <w:tc>
          <w:tcPr>
            <w:tcW w:w="3827" w:type="dxa"/>
          </w:tcPr>
          <w:p w14:paraId="2FDD2D72" w14:textId="022A886C"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Ce Projet s’intègre dans la dynamique globale de la mobilisation des ressources pour financer les mesures d’atténuation et d’adaptation retenues dans la CDN de la RDC</w:t>
            </w:r>
          </w:p>
        </w:tc>
        <w:tc>
          <w:tcPr>
            <w:tcW w:w="3349" w:type="dxa"/>
          </w:tcPr>
          <w:p w14:paraId="532540D6" w14:textId="0B59ACF2"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Niveau de ressources mobilisées par secteur dans le cadre des marchés du carbone</w:t>
            </w:r>
          </w:p>
        </w:tc>
      </w:tr>
      <w:tr w:rsidR="009F57D1" w:rsidRPr="00C345C4" w14:paraId="5591B571" w14:textId="77777777" w:rsidTr="009F57D1">
        <w:trPr>
          <w:trHeight w:val="60"/>
        </w:trPr>
        <w:tc>
          <w:tcPr>
            <w:tcW w:w="3544" w:type="dxa"/>
          </w:tcPr>
          <w:p w14:paraId="2CB651BC" w14:textId="77777777" w:rsidR="009F57D1" w:rsidRPr="00C345C4" w:rsidRDefault="009F57D1" w:rsidP="009F57D1">
            <w:pPr>
              <w:spacing w:after="0"/>
              <w:rPr>
                <w:rFonts w:ascii="Avenir Next LT Pro" w:hAnsi="Avenir Next LT Pro" w:cstheme="minorHAnsi"/>
                <w:sz w:val="20"/>
              </w:rPr>
            </w:pPr>
            <w:r w:rsidRPr="00C345C4">
              <w:rPr>
                <w:rFonts w:ascii="Avenir Next LT Pro" w:hAnsi="Avenir Next LT Pro" w:cstheme="minorHAnsi"/>
                <w:sz w:val="20"/>
              </w:rPr>
              <w:t xml:space="preserve">Transparence et efficacité des structures de gouvernance </w:t>
            </w:r>
          </w:p>
        </w:tc>
        <w:tc>
          <w:tcPr>
            <w:tcW w:w="3827" w:type="dxa"/>
            <w:shd w:val="clear" w:color="auto" w:fill="auto"/>
          </w:tcPr>
          <w:p w14:paraId="696A68CB" w14:textId="0A4C7F62"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Suivi des normes et directives de CAFI en matière de gestion de projets</w:t>
            </w:r>
          </w:p>
        </w:tc>
        <w:tc>
          <w:tcPr>
            <w:tcW w:w="3349" w:type="dxa"/>
            <w:shd w:val="clear" w:color="auto" w:fill="auto"/>
          </w:tcPr>
          <w:p w14:paraId="3243293C" w14:textId="33BF804F"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Production régulière des rapports liés à la mise en œuvre du projet et partage de l’information avec toutes les parties prenantes</w:t>
            </w:r>
          </w:p>
        </w:tc>
      </w:tr>
      <w:tr w:rsidR="009F57D1" w:rsidRPr="00C345C4" w14:paraId="50C42159" w14:textId="77777777" w:rsidTr="009F57D1">
        <w:trPr>
          <w:trHeight w:val="60"/>
        </w:trPr>
        <w:tc>
          <w:tcPr>
            <w:tcW w:w="3544" w:type="dxa"/>
          </w:tcPr>
          <w:p w14:paraId="51EA974D" w14:textId="77777777" w:rsidR="009F57D1" w:rsidRPr="00C345C4" w:rsidRDefault="009F57D1" w:rsidP="009F57D1">
            <w:pPr>
              <w:spacing w:after="0"/>
              <w:rPr>
                <w:rFonts w:ascii="Avenir Next LT Pro" w:hAnsi="Avenir Next LT Pro" w:cstheme="minorHAnsi"/>
                <w:sz w:val="20"/>
              </w:rPr>
            </w:pPr>
            <w:r w:rsidRPr="00C345C4">
              <w:rPr>
                <w:rFonts w:ascii="Avenir Next LT Pro" w:hAnsi="Avenir Next LT Pro" w:cstheme="minorHAnsi"/>
                <w:sz w:val="20"/>
              </w:rPr>
              <w:t>Respect des connaissances et des droits des peuples autochtones</w:t>
            </w:r>
          </w:p>
        </w:tc>
        <w:tc>
          <w:tcPr>
            <w:tcW w:w="3827" w:type="dxa"/>
          </w:tcPr>
          <w:p w14:paraId="2FBB4A5A" w14:textId="54AA28E5"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Les délégués des Peuples Autochtones seront associés à la mise en œuvre de ce projet et leurs droits seront respectés et leur savoir endogène valoriser</w:t>
            </w:r>
          </w:p>
        </w:tc>
        <w:tc>
          <w:tcPr>
            <w:tcW w:w="3349" w:type="dxa"/>
          </w:tcPr>
          <w:p w14:paraId="3F202F52" w14:textId="1EEFBD00"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Nombre de réunions auxquelles les Peuples autochtones ont été associés et nombre de Peuples autochtones atteint lors des sessions de sensibilisation sur les marchés du carbone</w:t>
            </w:r>
          </w:p>
        </w:tc>
      </w:tr>
      <w:tr w:rsidR="009F57D1" w:rsidRPr="00C345C4" w14:paraId="64B0C258" w14:textId="77777777" w:rsidTr="009F57D1">
        <w:trPr>
          <w:trHeight w:val="915"/>
        </w:trPr>
        <w:tc>
          <w:tcPr>
            <w:tcW w:w="3544" w:type="dxa"/>
          </w:tcPr>
          <w:p w14:paraId="0F4034E4" w14:textId="77777777" w:rsidR="009F57D1" w:rsidRPr="00C345C4" w:rsidRDefault="009F57D1" w:rsidP="009F57D1">
            <w:pPr>
              <w:spacing w:after="0"/>
              <w:rPr>
                <w:rFonts w:ascii="Avenir Next LT Pro" w:hAnsi="Avenir Next LT Pro" w:cstheme="minorHAnsi"/>
                <w:sz w:val="20"/>
              </w:rPr>
            </w:pPr>
            <w:r w:rsidRPr="00C345C4">
              <w:rPr>
                <w:rFonts w:ascii="Avenir Next LT Pro" w:hAnsi="Avenir Next LT Pro" w:cstheme="minorHAnsi"/>
                <w:sz w:val="20"/>
              </w:rPr>
              <w:t xml:space="preserve">Participation intégrale et effective des parties prenantes, en particulier des peuples autochtones et des communautés locales </w:t>
            </w:r>
          </w:p>
        </w:tc>
        <w:tc>
          <w:tcPr>
            <w:tcW w:w="3827" w:type="dxa"/>
          </w:tcPr>
          <w:p w14:paraId="2D39D556" w14:textId="6E325A60"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Les sessions de formation et de sensibilisation seront organisées à l’intention des Peuples autochtones et des Communautés locales et leurs délégués seront représentés au sein du Comité de pilotage du projet</w:t>
            </w:r>
          </w:p>
        </w:tc>
        <w:tc>
          <w:tcPr>
            <w:tcW w:w="3349" w:type="dxa"/>
          </w:tcPr>
          <w:p w14:paraId="1CC2099E" w14:textId="77777777"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Nombre de sessions organisées à l’intention des communautés locales et peuples autochtones</w:t>
            </w:r>
          </w:p>
          <w:p w14:paraId="1EBA1B29" w14:textId="77777777" w:rsidR="009F57D1" w:rsidRPr="009F57D1" w:rsidRDefault="009F57D1" w:rsidP="009F57D1">
            <w:pPr>
              <w:spacing w:after="0"/>
              <w:rPr>
                <w:rFonts w:ascii="Avenir Next LT Pro" w:hAnsi="Avenir Next LT Pro" w:cstheme="minorHAnsi"/>
                <w:i/>
                <w:sz w:val="20"/>
                <w:szCs w:val="20"/>
              </w:rPr>
            </w:pPr>
          </w:p>
        </w:tc>
      </w:tr>
      <w:tr w:rsidR="009F57D1" w:rsidRPr="00C345C4" w14:paraId="3D75E8F7" w14:textId="77777777" w:rsidTr="009F57D1">
        <w:trPr>
          <w:trHeight w:val="1484"/>
        </w:trPr>
        <w:tc>
          <w:tcPr>
            <w:tcW w:w="3544" w:type="dxa"/>
          </w:tcPr>
          <w:p w14:paraId="6C1C8AA0" w14:textId="4908D491" w:rsidR="009F57D1" w:rsidRPr="00C345C4" w:rsidRDefault="009F57D1" w:rsidP="009F57D1">
            <w:pPr>
              <w:spacing w:after="0"/>
              <w:rPr>
                <w:rFonts w:ascii="Avenir Next LT Pro" w:hAnsi="Avenir Next LT Pro" w:cstheme="minorHAnsi"/>
                <w:sz w:val="20"/>
              </w:rPr>
            </w:pPr>
            <w:r w:rsidRPr="00C345C4">
              <w:rPr>
                <w:rFonts w:ascii="Avenir Next LT Pro" w:hAnsi="Avenir Next LT Pro" w:cstheme="minorHAnsi"/>
                <w:sz w:val="20"/>
              </w:rPr>
              <w:lastRenderedPageBreak/>
              <w:t xml:space="preserve">Compatibilité des activités avec la préservation des forêts naturelles, de la biodiversité et des services écosystémiques /mise en place d’activités permettant des bénéfices socioéconomiques  </w:t>
            </w:r>
          </w:p>
        </w:tc>
        <w:tc>
          <w:tcPr>
            <w:tcW w:w="3827" w:type="dxa"/>
          </w:tcPr>
          <w:p w14:paraId="1DFF021B" w14:textId="5AF7A5DF" w:rsidR="009F57D1" w:rsidRPr="009F57D1" w:rsidRDefault="009F57D1" w:rsidP="009F57D1">
            <w:pPr>
              <w:pStyle w:val="Paragraphedeliste"/>
              <w:tabs>
                <w:tab w:val="left" w:pos="301"/>
              </w:tabs>
              <w:spacing w:after="0"/>
              <w:ind w:left="34"/>
              <w:rPr>
                <w:rFonts w:ascii="Avenir Next LT Pro" w:hAnsi="Avenir Next LT Pro" w:cstheme="minorHAnsi"/>
                <w:sz w:val="20"/>
                <w:szCs w:val="20"/>
              </w:rPr>
            </w:pPr>
            <w:r w:rsidRPr="009F57D1">
              <w:rPr>
                <w:rFonts w:ascii="Avenir Next LT Pro" w:hAnsi="Avenir Next LT Pro" w:cstheme="minorHAnsi"/>
                <w:sz w:val="20"/>
                <w:szCs w:val="20"/>
              </w:rPr>
              <w:t>La mise en œuvre de ce projet contribuera au développement des marchés du carbone et aura une incidence positive sur la préservation de la forêt et de la biodiversité</w:t>
            </w:r>
          </w:p>
        </w:tc>
        <w:tc>
          <w:tcPr>
            <w:tcW w:w="3349" w:type="dxa"/>
          </w:tcPr>
          <w:p w14:paraId="5B008186" w14:textId="69A3540B" w:rsidR="009F57D1" w:rsidRPr="009F57D1" w:rsidRDefault="009F57D1" w:rsidP="009F57D1">
            <w:pPr>
              <w:spacing w:after="0"/>
              <w:rPr>
                <w:rFonts w:ascii="Avenir Next LT Pro" w:hAnsi="Avenir Next LT Pro" w:cstheme="minorHAnsi"/>
                <w:i/>
                <w:sz w:val="20"/>
                <w:szCs w:val="20"/>
              </w:rPr>
            </w:pPr>
            <w:r w:rsidRPr="009F57D1">
              <w:rPr>
                <w:rFonts w:ascii="Avenir Next LT Pro" w:hAnsi="Avenir Next LT Pro" w:cstheme="minorHAnsi"/>
                <w:sz w:val="20"/>
                <w:szCs w:val="20"/>
              </w:rPr>
              <w:t>Nombre de programme juridictionnel développé sur le territoire national</w:t>
            </w:r>
          </w:p>
        </w:tc>
      </w:tr>
      <w:tr w:rsidR="009F57D1" w:rsidRPr="00C345C4" w14:paraId="0A72590A" w14:textId="77777777" w:rsidTr="009F57D1">
        <w:trPr>
          <w:trHeight w:val="60"/>
        </w:trPr>
        <w:tc>
          <w:tcPr>
            <w:tcW w:w="3544" w:type="dxa"/>
          </w:tcPr>
          <w:p w14:paraId="6F772C29" w14:textId="77777777" w:rsidR="009F57D1" w:rsidRPr="00C345C4" w:rsidRDefault="009F57D1" w:rsidP="009F57D1">
            <w:pPr>
              <w:spacing w:after="0"/>
              <w:rPr>
                <w:rFonts w:ascii="Avenir Next LT Pro" w:hAnsi="Avenir Next LT Pro" w:cstheme="minorHAnsi"/>
                <w:sz w:val="20"/>
              </w:rPr>
            </w:pPr>
            <w:r w:rsidRPr="00C345C4">
              <w:rPr>
                <w:rFonts w:ascii="Avenir Next LT Pro" w:hAnsi="Avenir Next LT Pro" w:cstheme="minorHAnsi"/>
                <w:sz w:val="20"/>
              </w:rPr>
              <w:t>Mesures visant à prendre en compte les risques d’inversion</w:t>
            </w:r>
          </w:p>
        </w:tc>
        <w:tc>
          <w:tcPr>
            <w:tcW w:w="3827" w:type="dxa"/>
          </w:tcPr>
          <w:p w14:paraId="49E61854" w14:textId="39DC29C0"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Prise en compte des normes de transparence et de l’intégrité environnementale du carbone dans la mise en œuvre du projet</w:t>
            </w:r>
          </w:p>
        </w:tc>
        <w:tc>
          <w:tcPr>
            <w:tcW w:w="3349" w:type="dxa"/>
          </w:tcPr>
          <w:p w14:paraId="1B403D0A" w14:textId="4E3A78F9"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Nombre de sessions de formation sur les marchés du carbone organisées en l’endroit des parties prenantes</w:t>
            </w:r>
          </w:p>
        </w:tc>
      </w:tr>
      <w:tr w:rsidR="009F57D1" w:rsidRPr="00C345C4" w14:paraId="4C7E476E" w14:textId="77777777" w:rsidTr="009F57D1">
        <w:trPr>
          <w:trHeight w:val="480"/>
        </w:trPr>
        <w:tc>
          <w:tcPr>
            <w:tcW w:w="3544" w:type="dxa"/>
          </w:tcPr>
          <w:p w14:paraId="5FCE9525" w14:textId="77777777" w:rsidR="009F57D1" w:rsidRPr="00C345C4" w:rsidRDefault="009F57D1" w:rsidP="009F57D1">
            <w:pPr>
              <w:spacing w:after="0"/>
              <w:rPr>
                <w:rFonts w:ascii="Avenir Next LT Pro" w:hAnsi="Avenir Next LT Pro" w:cstheme="minorHAnsi"/>
                <w:sz w:val="20"/>
              </w:rPr>
            </w:pPr>
            <w:r w:rsidRPr="00C345C4">
              <w:rPr>
                <w:rFonts w:ascii="Avenir Next LT Pro" w:hAnsi="Avenir Next LT Pro" w:cstheme="minorHAnsi"/>
                <w:sz w:val="20"/>
              </w:rPr>
              <w:t>Mesures pour réduire les déplacements d’émission</w:t>
            </w:r>
          </w:p>
        </w:tc>
        <w:tc>
          <w:tcPr>
            <w:tcW w:w="3827" w:type="dxa"/>
          </w:tcPr>
          <w:p w14:paraId="133C9558" w14:textId="343FDA93" w:rsidR="009F57D1" w:rsidRPr="009F57D1" w:rsidRDefault="009F57D1" w:rsidP="009F57D1">
            <w:pPr>
              <w:spacing w:after="0"/>
              <w:rPr>
                <w:rFonts w:ascii="Avenir Next LT Pro" w:hAnsi="Avenir Next LT Pro" w:cstheme="minorHAnsi"/>
                <w:sz w:val="20"/>
                <w:szCs w:val="20"/>
              </w:rPr>
            </w:pPr>
            <w:r w:rsidRPr="009F57D1">
              <w:rPr>
                <w:rFonts w:ascii="Avenir Next LT Pro" w:hAnsi="Avenir Next LT Pro" w:cstheme="minorHAnsi"/>
                <w:sz w:val="20"/>
                <w:szCs w:val="20"/>
              </w:rPr>
              <w:t>Ce projet va promouvoir la prise en compte de l’intégrité environnementale dans le déploiement des marchés du carbone et d’éviter le double comptage par la mise en place d’un système de MRV robuste et transparent</w:t>
            </w:r>
          </w:p>
        </w:tc>
        <w:tc>
          <w:tcPr>
            <w:tcW w:w="3349" w:type="dxa"/>
          </w:tcPr>
          <w:p w14:paraId="163A0FD6" w14:textId="10B10562" w:rsidR="009F57D1" w:rsidRPr="009F57D1" w:rsidRDefault="009F57D1" w:rsidP="009F57D1">
            <w:pPr>
              <w:spacing w:after="0"/>
              <w:rPr>
                <w:rFonts w:ascii="Avenir Next LT Pro" w:hAnsi="Avenir Next LT Pro" w:cstheme="minorHAnsi"/>
                <w:i/>
                <w:sz w:val="20"/>
                <w:szCs w:val="20"/>
              </w:rPr>
            </w:pPr>
            <w:r w:rsidRPr="009F57D1">
              <w:rPr>
                <w:rFonts w:ascii="Avenir Next LT Pro" w:hAnsi="Avenir Next LT Pro" w:cstheme="minorHAnsi"/>
                <w:iCs/>
                <w:sz w:val="20"/>
                <w:szCs w:val="20"/>
              </w:rPr>
              <w:t xml:space="preserve">Suivi régulier des émissions émises ou séquestrées </w:t>
            </w:r>
          </w:p>
        </w:tc>
      </w:tr>
    </w:tbl>
    <w:p w14:paraId="42A988EC" w14:textId="77777777" w:rsidR="00A42719" w:rsidRPr="00C345C4" w:rsidRDefault="00A42719" w:rsidP="003A4091">
      <w:pPr>
        <w:spacing w:after="120"/>
        <w:jc w:val="both"/>
        <w:rPr>
          <w:rFonts w:ascii="Avenir Next LT Pro" w:hAnsi="Avenir Next LT Pro"/>
          <w:color w:val="000000"/>
          <w:lang w:eastAsia="en-GB"/>
        </w:rPr>
      </w:pPr>
    </w:p>
    <w:p w14:paraId="043BADDC" w14:textId="77777777" w:rsidR="006F0C4C" w:rsidRPr="00C345C4" w:rsidRDefault="006F0C4C" w:rsidP="009C2355">
      <w:pPr>
        <w:pStyle w:val="Paragraphedeliste"/>
        <w:widowControl w:val="0"/>
        <w:numPr>
          <w:ilvl w:val="1"/>
          <w:numId w:val="2"/>
        </w:numPr>
        <w:spacing w:after="0" w:line="240" w:lineRule="auto"/>
        <w:contextualSpacing w:val="0"/>
        <w:jc w:val="both"/>
        <w:rPr>
          <w:rFonts w:ascii="Avenir Next LT Pro" w:hAnsi="Avenir Next LT Pro"/>
          <w:b/>
          <w:bCs/>
          <w:color w:val="000000"/>
          <w:lang w:eastAsia="en-GB"/>
        </w:rPr>
      </w:pPr>
      <w:r w:rsidRPr="00C345C4">
        <w:rPr>
          <w:rFonts w:ascii="Avenir Next LT Pro" w:hAnsi="Avenir Next LT Pro"/>
          <w:b/>
          <w:bCs/>
          <w:color w:val="000000"/>
          <w:lang w:eastAsia="en-GB"/>
        </w:rPr>
        <w:t>Gestion des plaintes</w:t>
      </w:r>
    </w:p>
    <w:p w14:paraId="17EDCC93" w14:textId="77777777" w:rsidR="0082355A" w:rsidRPr="0082355A" w:rsidRDefault="0082355A" w:rsidP="0082355A">
      <w:pPr>
        <w:spacing w:after="120"/>
        <w:ind w:right="-7"/>
        <w:jc w:val="both"/>
        <w:rPr>
          <w:rFonts w:ascii="Avenir Next LT Pro" w:hAnsi="Avenir Next LT Pro" w:cs="Calibri"/>
          <w:iCs/>
          <w:sz w:val="20"/>
          <w:szCs w:val="20"/>
          <w:lang w:val="fr"/>
        </w:rPr>
      </w:pPr>
      <w:r w:rsidRPr="0082355A">
        <w:rPr>
          <w:rFonts w:ascii="Avenir Next LT Pro" w:hAnsi="Avenir Next LT Pro" w:cs="Calibri"/>
          <w:iCs/>
          <w:sz w:val="20"/>
          <w:szCs w:val="20"/>
          <w:lang w:val="fr"/>
        </w:rPr>
        <w:t xml:space="preserve">Les parties prenantes seront sensibilisées à adresser toutes plaintes et dénonciations au responsable du PNUD. Celui-ci se chargera de les transmettre à qui de droit conformément aux règles de l’éthique de l’organisation. Le mécanisme de plaintes et recours ad hoc sera vulgarisé. </w:t>
      </w:r>
    </w:p>
    <w:p w14:paraId="36A62EDB" w14:textId="18CDEBF0" w:rsidR="006F0C4C" w:rsidRPr="0082355A" w:rsidRDefault="00000000" w:rsidP="0082355A">
      <w:pPr>
        <w:spacing w:after="120"/>
        <w:ind w:right="-7"/>
        <w:jc w:val="both"/>
        <w:rPr>
          <w:rFonts w:ascii="Avenir Next LT Pro" w:hAnsi="Avenir Next LT Pro" w:cs="Calibri"/>
          <w:sz w:val="20"/>
          <w:szCs w:val="20"/>
        </w:rPr>
      </w:pPr>
      <w:hyperlink r:id="rId33" w:history="1">
        <w:r w:rsidR="0082355A" w:rsidRPr="0082355A">
          <w:rPr>
            <w:rStyle w:val="Lienhypertexte"/>
            <w:rFonts w:ascii="Avenir Next LT Pro" w:hAnsi="Avenir Next LT Pro" w:cs="Calibri"/>
            <w:iCs/>
            <w:sz w:val="20"/>
            <w:szCs w:val="20"/>
            <w:lang w:val="fr"/>
          </w:rPr>
          <w:t>https://www.undp.org/sites/g/files/zskgke326/files/publications/UNDP%20SES%202021_French.pdf</w:t>
        </w:r>
      </w:hyperlink>
    </w:p>
    <w:p w14:paraId="20606513" w14:textId="77777777" w:rsidR="006F0C4C" w:rsidRPr="00C345C4" w:rsidRDefault="006F0C4C" w:rsidP="009C2355">
      <w:pPr>
        <w:numPr>
          <w:ilvl w:val="1"/>
          <w:numId w:val="2"/>
        </w:numPr>
        <w:spacing w:after="0"/>
        <w:ind w:right="-7"/>
        <w:jc w:val="both"/>
        <w:rPr>
          <w:rFonts w:ascii="Avenir Next LT Pro" w:hAnsi="Avenir Next LT Pro" w:cs="Calibri"/>
          <w:b/>
          <w:bCs/>
        </w:rPr>
      </w:pPr>
      <w:r w:rsidRPr="00C345C4">
        <w:rPr>
          <w:rFonts w:ascii="Avenir Next LT Pro" w:hAnsi="Avenir Next LT Pro"/>
          <w:b/>
          <w:bCs/>
        </w:rPr>
        <w:t xml:space="preserve">Fraude, détournement de fonds </w:t>
      </w:r>
    </w:p>
    <w:p w14:paraId="1C79C408" w14:textId="77777777" w:rsidR="000A134E" w:rsidRPr="000A134E" w:rsidRDefault="000A134E" w:rsidP="000A134E">
      <w:pPr>
        <w:spacing w:after="120"/>
        <w:jc w:val="both"/>
        <w:rPr>
          <w:rFonts w:ascii="Avenir Next LT Pro" w:hAnsi="Avenir Next LT Pro"/>
          <w:iCs/>
          <w:sz w:val="20"/>
          <w:szCs w:val="20"/>
          <w:lang w:val="fr" w:eastAsia="fr-FR"/>
        </w:rPr>
      </w:pPr>
      <w:r w:rsidRPr="000A134E">
        <w:rPr>
          <w:rFonts w:ascii="Avenir Next LT Pro" w:hAnsi="Avenir Next LT Pro"/>
          <w:iCs/>
          <w:sz w:val="20"/>
          <w:szCs w:val="20"/>
          <w:lang w:val="fr" w:eastAsia="fr-FR"/>
        </w:rPr>
        <w:t>Les parties prenantes seront sensibilisées à saisir le responsable du PNUD au niveau local pour tout cas de fraude et/ou de détournement de fonds. Celui-ci se chargera de les transmettre à qui de droit conformément aux règles de l’éthique.</w:t>
      </w:r>
      <w:r w:rsidRPr="000A134E">
        <w:rPr>
          <w:rFonts w:ascii="Avenir Next LT Pro" w:hAnsi="Avenir Next LT Pro"/>
          <w:sz w:val="20"/>
          <w:szCs w:val="20"/>
          <w:lang w:eastAsia="fr-FR"/>
        </w:rPr>
        <w:t xml:space="preserve"> </w:t>
      </w:r>
      <w:hyperlink r:id="rId34" w:history="1">
        <w:r w:rsidRPr="000A134E">
          <w:rPr>
            <w:rStyle w:val="Lienhypertexte"/>
            <w:rFonts w:ascii="Avenir Next LT Pro" w:hAnsi="Avenir Next LT Pro"/>
            <w:iCs/>
            <w:sz w:val="20"/>
            <w:szCs w:val="20"/>
            <w:lang w:val="fr" w:eastAsia="fr-FR"/>
          </w:rPr>
          <w:t>https://www.undp.org/fr/responsabilite/audit/bureau-de-verification-et-denquete</w:t>
        </w:r>
      </w:hyperlink>
      <w:r w:rsidRPr="000A134E">
        <w:rPr>
          <w:rFonts w:ascii="Avenir Next LT Pro" w:hAnsi="Avenir Next LT Pro"/>
          <w:iCs/>
          <w:sz w:val="20"/>
          <w:szCs w:val="20"/>
          <w:lang w:val="fr" w:eastAsia="fr-FR"/>
        </w:rPr>
        <w:t xml:space="preserve"> </w:t>
      </w:r>
    </w:p>
    <w:p w14:paraId="3EEE8833" w14:textId="77777777" w:rsidR="006F0C4C" w:rsidRPr="000A134E" w:rsidRDefault="006F0C4C" w:rsidP="003A4091">
      <w:pPr>
        <w:spacing w:after="120"/>
        <w:rPr>
          <w:rFonts w:ascii="Avenir Next LT Pro" w:hAnsi="Avenir Next LT Pro"/>
          <w:lang w:val="fr" w:eastAsia="fr-FR"/>
        </w:rPr>
      </w:pPr>
    </w:p>
    <w:p w14:paraId="46274262" w14:textId="0683C3ED" w:rsidR="00684E5E" w:rsidRPr="00C345C4" w:rsidRDefault="00684E5E" w:rsidP="00684E5E">
      <w:pPr>
        <w:pStyle w:val="Titre1"/>
        <w:rPr>
          <w:rFonts w:ascii="Avenir Next LT Pro" w:hAnsi="Avenir Next LT Pro"/>
        </w:rPr>
      </w:pPr>
      <w:bookmarkStart w:id="60" w:name="_Ref149137442"/>
      <w:bookmarkStart w:id="61" w:name="_Ref149137450"/>
      <w:bookmarkStart w:id="62" w:name="_Ref149137483"/>
      <w:bookmarkStart w:id="63" w:name="_Ref149137487"/>
      <w:bookmarkStart w:id="64" w:name="_Ref149137501"/>
      <w:bookmarkStart w:id="65" w:name="_Ref149137513"/>
      <w:bookmarkStart w:id="66" w:name="_Toc163230392"/>
      <w:r w:rsidRPr="00C345C4">
        <w:rPr>
          <w:rFonts w:ascii="Avenir Next LT Pro" w:hAnsi="Avenir Next LT Pro"/>
        </w:rPr>
        <w:t>Suivi-</w:t>
      </w:r>
      <w:r w:rsidR="00AA6F85" w:rsidRPr="00C345C4">
        <w:rPr>
          <w:rFonts w:ascii="Avenir Next LT Pro" w:hAnsi="Avenir Next LT Pro"/>
        </w:rPr>
        <w:t>é</w:t>
      </w:r>
      <w:r w:rsidRPr="00C345C4">
        <w:rPr>
          <w:rFonts w:ascii="Avenir Next LT Pro" w:hAnsi="Avenir Next LT Pro"/>
        </w:rPr>
        <w:t>valuation</w:t>
      </w:r>
      <w:bookmarkEnd w:id="60"/>
      <w:bookmarkEnd w:id="61"/>
      <w:bookmarkEnd w:id="62"/>
      <w:bookmarkEnd w:id="63"/>
      <w:bookmarkEnd w:id="64"/>
      <w:bookmarkEnd w:id="65"/>
      <w:bookmarkEnd w:id="66"/>
    </w:p>
    <w:p w14:paraId="25042132" w14:textId="7E53FB8D" w:rsidR="002D5CF0" w:rsidRDefault="002D5CF0" w:rsidP="002D5CF0">
      <w:pPr>
        <w:pStyle w:val="paragraph"/>
        <w:spacing w:before="0" w:beforeAutospacing="0" w:after="0" w:afterAutospacing="0"/>
        <w:jc w:val="both"/>
        <w:textAlignment w:val="baseline"/>
        <w:rPr>
          <w:rStyle w:val="eop"/>
          <w:rFonts w:ascii="Avenir Next LT Pro" w:hAnsi="Avenir Next LT Pro" w:cstheme="minorHAnsi"/>
          <w:color w:val="3E762A" w:themeColor="accent1" w:themeShade="BF"/>
          <w:sz w:val="20"/>
          <w:szCs w:val="20"/>
          <w:lang w:val="fr-FR"/>
        </w:rPr>
      </w:pPr>
    </w:p>
    <w:p w14:paraId="6A69EF63" w14:textId="77777777" w:rsidR="000215A6" w:rsidRPr="003D7769" w:rsidRDefault="000215A6" w:rsidP="000215A6">
      <w:pPr>
        <w:spacing w:after="0"/>
        <w:rPr>
          <w:rFonts w:ascii="Avenir Next LT Pro" w:hAnsi="Avenir Next LT Pro" w:cstheme="minorHAnsi"/>
          <w:sz w:val="20"/>
          <w:szCs w:val="20"/>
          <w:lang w:val="fr-CA"/>
        </w:rPr>
      </w:pPr>
      <w:r w:rsidRPr="003D7769">
        <w:rPr>
          <w:rFonts w:ascii="Avenir Next LT Pro" w:hAnsi="Avenir Next LT Pro" w:cstheme="minorHAnsi"/>
          <w:sz w:val="20"/>
          <w:szCs w:val="20"/>
          <w:lang w:val="fr-CA"/>
        </w:rPr>
        <w:t xml:space="preserve">Le dispositif de suivi-évaluation du projet sera bâti sur les mécanismes et outils ci-après : </w:t>
      </w:r>
    </w:p>
    <w:p w14:paraId="7D118CD7" w14:textId="77777777" w:rsidR="000215A6" w:rsidRPr="003D7769" w:rsidRDefault="000215A6" w:rsidP="000215A6">
      <w:pPr>
        <w:spacing w:after="0"/>
        <w:rPr>
          <w:rFonts w:ascii="Avenir Next LT Pro" w:hAnsi="Avenir Next LT Pro" w:cstheme="minorHAnsi"/>
          <w:sz w:val="20"/>
          <w:szCs w:val="20"/>
          <w:lang w:val="fr-CA"/>
        </w:rPr>
      </w:pPr>
    </w:p>
    <w:p w14:paraId="2555192E" w14:textId="77777777" w:rsidR="000215A6" w:rsidRPr="003D7769" w:rsidRDefault="000215A6" w:rsidP="000215A6">
      <w:pPr>
        <w:pStyle w:val="Paragraphedeliste"/>
        <w:numPr>
          <w:ilvl w:val="0"/>
          <w:numId w:val="47"/>
        </w:numPr>
        <w:spacing w:after="0"/>
        <w:jc w:val="both"/>
        <w:rPr>
          <w:rFonts w:ascii="Avenir Next LT Pro" w:hAnsi="Avenir Next LT Pro" w:cstheme="minorHAnsi"/>
          <w:sz w:val="20"/>
          <w:szCs w:val="20"/>
          <w:lang w:val="fr-CA"/>
        </w:rPr>
      </w:pPr>
      <w:r w:rsidRPr="003D7769">
        <w:rPr>
          <w:rFonts w:ascii="Avenir Next LT Pro" w:hAnsi="Avenir Next LT Pro" w:cstheme="minorHAnsi"/>
          <w:sz w:val="20"/>
          <w:szCs w:val="20"/>
          <w:lang w:val="fr-CA"/>
        </w:rPr>
        <w:t xml:space="preserve">Le </w:t>
      </w:r>
      <w:r w:rsidRPr="00E03C23">
        <w:rPr>
          <w:rFonts w:ascii="Avenir Next LT Pro" w:hAnsi="Avenir Next LT Pro" w:cstheme="minorHAnsi"/>
          <w:b/>
          <w:bCs/>
          <w:i/>
          <w:iCs/>
          <w:sz w:val="20"/>
          <w:szCs w:val="20"/>
          <w:lang w:val="fr-CA"/>
        </w:rPr>
        <w:t>Plan de suivi-évaluation</w:t>
      </w:r>
      <w:r w:rsidRPr="003D7769">
        <w:rPr>
          <w:rFonts w:ascii="Avenir Next LT Pro" w:hAnsi="Avenir Next LT Pro" w:cstheme="minorHAnsi"/>
          <w:sz w:val="20"/>
          <w:szCs w:val="20"/>
          <w:lang w:val="fr-CA"/>
        </w:rPr>
        <w:t xml:space="preserve"> qui décline les principales échéances programmatiques et le calendrier du management, y compris le reporting, les activités de suivi et d’assurance qualité (voir tableau ci-dessous).</w:t>
      </w:r>
    </w:p>
    <w:p w14:paraId="0F9476E3" w14:textId="77777777" w:rsidR="000215A6" w:rsidRPr="000215A6" w:rsidRDefault="000215A6" w:rsidP="002D5CF0">
      <w:pPr>
        <w:spacing w:after="0"/>
        <w:ind w:left="284" w:right="-7"/>
        <w:jc w:val="both"/>
        <w:rPr>
          <w:rFonts w:ascii="Avenir Next LT Pro" w:hAnsi="Avenir Next LT Pro" w:cstheme="minorHAnsi"/>
          <w:sz w:val="20"/>
          <w:szCs w:val="20"/>
          <w:lang w:val="fr-CA" w:eastAsia="en-GB"/>
        </w:rPr>
      </w:pPr>
    </w:p>
    <w:p w14:paraId="49F565D7" w14:textId="7DFE4807" w:rsidR="002D5CF0" w:rsidRPr="002D5CF0" w:rsidRDefault="002D5CF0" w:rsidP="002D5CF0">
      <w:pPr>
        <w:spacing w:after="0"/>
        <w:ind w:left="284" w:right="-7"/>
        <w:jc w:val="both"/>
        <w:rPr>
          <w:rFonts w:ascii="Avenir Next LT Pro" w:hAnsi="Avenir Next LT Pro" w:cstheme="minorHAnsi"/>
          <w:sz w:val="20"/>
          <w:szCs w:val="20"/>
          <w:lang w:eastAsia="en-GB"/>
        </w:rPr>
      </w:pPr>
      <w:r w:rsidRPr="002D5CF0">
        <w:rPr>
          <w:rFonts w:ascii="Avenir Next LT Pro" w:hAnsi="Avenir Next LT Pro" w:cstheme="minorHAnsi"/>
          <w:sz w:val="20"/>
          <w:szCs w:val="20"/>
          <w:lang w:eastAsia="en-GB"/>
        </w:rPr>
        <w:t xml:space="preserve">Ce </w:t>
      </w:r>
      <w:r w:rsidR="000055BF">
        <w:rPr>
          <w:rFonts w:ascii="Avenir Next LT Pro" w:hAnsi="Avenir Next LT Pro" w:cstheme="minorHAnsi"/>
          <w:sz w:val="20"/>
          <w:szCs w:val="20"/>
          <w:lang w:eastAsia="en-GB"/>
        </w:rPr>
        <w:t>P</w:t>
      </w:r>
      <w:r w:rsidRPr="002D5CF0">
        <w:rPr>
          <w:rFonts w:ascii="Avenir Next LT Pro" w:hAnsi="Avenir Next LT Pro" w:cstheme="minorHAnsi"/>
          <w:sz w:val="20"/>
          <w:szCs w:val="20"/>
          <w:lang w:eastAsia="en-GB"/>
        </w:rPr>
        <w:t xml:space="preserve">rojet à l’instar de tous les projets et programmes gérés par le PNUD en RDC fera l’objet de suivi et évaluation selon les normes du PNUD en la matière. A cet effet, un système intégré de suivi et évaluation axé sur les résultats de développement propre au </w:t>
      </w:r>
      <w:r w:rsidR="008130D0">
        <w:rPr>
          <w:rFonts w:ascii="Avenir Next LT Pro" w:hAnsi="Avenir Next LT Pro" w:cstheme="minorHAnsi"/>
          <w:sz w:val="20"/>
          <w:szCs w:val="20"/>
          <w:lang w:eastAsia="en-GB"/>
        </w:rPr>
        <w:t>P</w:t>
      </w:r>
      <w:r w:rsidRPr="002D5CF0">
        <w:rPr>
          <w:rFonts w:ascii="Avenir Next LT Pro" w:hAnsi="Avenir Next LT Pro" w:cstheme="minorHAnsi"/>
          <w:sz w:val="20"/>
          <w:szCs w:val="20"/>
          <w:lang w:eastAsia="en-GB"/>
        </w:rPr>
        <w:t xml:space="preserve">rojet sera mis en place </w:t>
      </w:r>
      <w:r w:rsidR="00775E9F" w:rsidRPr="001C3356">
        <w:rPr>
          <w:rFonts w:ascii="Avenir Next LT Pro" w:hAnsi="Avenir Next LT Pro" w:cstheme="minorHAnsi"/>
          <w:b/>
          <w:bCs/>
          <w:i/>
          <w:iCs/>
          <w:sz w:val="20"/>
          <w:szCs w:val="20"/>
          <w:lang w:eastAsia="en-GB"/>
        </w:rPr>
        <w:t xml:space="preserve">au plus </w:t>
      </w:r>
      <w:r w:rsidR="00DE530A">
        <w:rPr>
          <w:rFonts w:ascii="Avenir Next LT Pro" w:hAnsi="Avenir Next LT Pro" w:cstheme="minorHAnsi"/>
          <w:b/>
          <w:bCs/>
          <w:i/>
          <w:iCs/>
          <w:sz w:val="20"/>
          <w:szCs w:val="20"/>
          <w:lang w:eastAsia="en-GB"/>
        </w:rPr>
        <w:t>un an</w:t>
      </w:r>
      <w:r w:rsidR="00775E9F" w:rsidRPr="001C3356">
        <w:rPr>
          <w:rFonts w:ascii="Avenir Next LT Pro" w:hAnsi="Avenir Next LT Pro" w:cstheme="minorHAnsi"/>
          <w:b/>
          <w:bCs/>
          <w:i/>
          <w:iCs/>
          <w:sz w:val="20"/>
          <w:szCs w:val="20"/>
          <w:lang w:eastAsia="en-GB"/>
        </w:rPr>
        <w:t xml:space="preserve"> après </w:t>
      </w:r>
      <w:r w:rsidR="00175BEC" w:rsidRPr="001C3356">
        <w:rPr>
          <w:rFonts w:ascii="Avenir Next LT Pro" w:hAnsi="Avenir Next LT Pro" w:cstheme="minorHAnsi"/>
          <w:b/>
          <w:bCs/>
          <w:i/>
          <w:iCs/>
          <w:sz w:val="20"/>
          <w:szCs w:val="20"/>
          <w:lang w:eastAsia="en-GB"/>
        </w:rPr>
        <w:t>la date du premier décaissement</w:t>
      </w:r>
      <w:r w:rsidR="00175BEC">
        <w:rPr>
          <w:rFonts w:ascii="Avenir Next LT Pro" w:hAnsi="Avenir Next LT Pro" w:cstheme="minorHAnsi"/>
          <w:sz w:val="20"/>
          <w:szCs w:val="20"/>
          <w:lang w:eastAsia="en-GB"/>
        </w:rPr>
        <w:t xml:space="preserve"> </w:t>
      </w:r>
      <w:r w:rsidRPr="002D5CF0">
        <w:rPr>
          <w:rFonts w:ascii="Avenir Next LT Pro" w:hAnsi="Avenir Next LT Pro" w:cstheme="minorHAnsi"/>
          <w:sz w:val="20"/>
          <w:szCs w:val="20"/>
          <w:lang w:eastAsia="en-GB"/>
        </w:rPr>
        <w:t>pour assurer le suivi et l’évaluation de ses activités et résultats tels que définis dans le cadre des ressources et résultats (CRR). Ce système de S&amp;E s’intègrera dans le cadre de coopération et le mécanisme robuste et transparent de planification et de revues conjointes développé et mis en œuvre par le PNUD avec le gouvernement et d’autres partenaires.</w:t>
      </w:r>
    </w:p>
    <w:p w14:paraId="6650C7F6" w14:textId="77777777" w:rsidR="002D5CF0" w:rsidRPr="002D5CF0" w:rsidRDefault="002D5CF0" w:rsidP="002D5CF0">
      <w:pPr>
        <w:spacing w:after="0"/>
        <w:ind w:left="284" w:right="-7"/>
        <w:jc w:val="both"/>
        <w:rPr>
          <w:rFonts w:ascii="Avenir Next LT Pro" w:hAnsi="Avenir Next LT Pro" w:cstheme="minorHAnsi"/>
          <w:sz w:val="20"/>
          <w:szCs w:val="20"/>
          <w:lang w:eastAsia="en-GB"/>
        </w:rPr>
      </w:pPr>
    </w:p>
    <w:p w14:paraId="441426EC" w14:textId="6261F195" w:rsidR="002D5CF0" w:rsidRPr="002D5CF0" w:rsidRDefault="002D5CF0" w:rsidP="002D5CF0">
      <w:pPr>
        <w:spacing w:after="0"/>
        <w:ind w:left="284" w:right="-7"/>
        <w:jc w:val="both"/>
        <w:rPr>
          <w:rFonts w:ascii="Avenir Next LT Pro" w:hAnsi="Avenir Next LT Pro" w:cstheme="minorHAnsi"/>
          <w:sz w:val="20"/>
          <w:szCs w:val="20"/>
          <w:lang w:eastAsia="en-GB"/>
        </w:rPr>
      </w:pPr>
      <w:r w:rsidRPr="002D5CF0">
        <w:rPr>
          <w:rFonts w:ascii="Avenir Next LT Pro" w:hAnsi="Avenir Next LT Pro" w:cstheme="minorHAnsi"/>
          <w:sz w:val="20"/>
          <w:szCs w:val="20"/>
          <w:lang w:eastAsia="en-GB"/>
        </w:rPr>
        <w:t xml:space="preserve">Un plan de suivi et évaluation pluriannuel sera élaboré, mise en œuvre, évalué et ajusté annuellement. Le plan de S&amp;E sera accompagné d’un guide méthodologique de </w:t>
      </w:r>
      <w:proofErr w:type="spellStart"/>
      <w:r w:rsidRPr="002D5CF0">
        <w:rPr>
          <w:rFonts w:ascii="Avenir Next LT Pro" w:hAnsi="Avenir Next LT Pro" w:cstheme="minorHAnsi"/>
          <w:sz w:val="20"/>
          <w:szCs w:val="20"/>
          <w:lang w:eastAsia="en-GB"/>
        </w:rPr>
        <w:t>suivi-évaluation</w:t>
      </w:r>
      <w:proofErr w:type="spellEnd"/>
      <w:r w:rsidRPr="002D5CF0">
        <w:rPr>
          <w:rFonts w:ascii="Avenir Next LT Pro" w:hAnsi="Avenir Next LT Pro" w:cstheme="minorHAnsi"/>
          <w:sz w:val="20"/>
          <w:szCs w:val="20"/>
          <w:lang w:eastAsia="en-GB"/>
        </w:rPr>
        <w:t xml:space="preserve"> qui orientera les équipes de travail, les experts et consultants ainsi que les partenaires impliqués dans la collecte de données et dans le suivi du </w:t>
      </w:r>
      <w:r w:rsidR="003B3548">
        <w:rPr>
          <w:rFonts w:ascii="Avenir Next LT Pro" w:hAnsi="Avenir Next LT Pro" w:cstheme="minorHAnsi"/>
          <w:sz w:val="20"/>
          <w:szCs w:val="20"/>
          <w:lang w:eastAsia="en-GB"/>
        </w:rPr>
        <w:t>P</w:t>
      </w:r>
      <w:r w:rsidRPr="002D5CF0">
        <w:rPr>
          <w:rFonts w:ascii="Avenir Next LT Pro" w:hAnsi="Avenir Next LT Pro" w:cstheme="minorHAnsi"/>
          <w:sz w:val="20"/>
          <w:szCs w:val="20"/>
          <w:lang w:eastAsia="en-GB"/>
        </w:rPr>
        <w:t xml:space="preserve">rojet. De même, ce plan permettra de fournir au </w:t>
      </w:r>
      <w:r w:rsidR="003B3548">
        <w:rPr>
          <w:rFonts w:ascii="Avenir Next LT Pro" w:hAnsi="Avenir Next LT Pro" w:cstheme="minorHAnsi"/>
          <w:sz w:val="20"/>
          <w:szCs w:val="20"/>
          <w:lang w:eastAsia="en-GB"/>
        </w:rPr>
        <w:lastRenderedPageBreak/>
        <w:t>Comité</w:t>
      </w:r>
      <w:r w:rsidR="003B3548" w:rsidRPr="002D5CF0">
        <w:rPr>
          <w:rFonts w:ascii="Avenir Next LT Pro" w:hAnsi="Avenir Next LT Pro" w:cstheme="minorHAnsi"/>
          <w:sz w:val="20"/>
          <w:szCs w:val="20"/>
          <w:lang w:eastAsia="en-GB"/>
        </w:rPr>
        <w:t xml:space="preserve"> </w:t>
      </w:r>
      <w:r w:rsidRPr="002D5CF0">
        <w:rPr>
          <w:rFonts w:ascii="Avenir Next LT Pro" w:hAnsi="Avenir Next LT Pro" w:cstheme="minorHAnsi"/>
          <w:sz w:val="20"/>
          <w:szCs w:val="20"/>
          <w:lang w:eastAsia="en-GB"/>
        </w:rPr>
        <w:t>Technique, au COPIL du FONAREDD et autres partenaires une vision sur la planification et la mise en œuvre des activités de suivi et évaluation.</w:t>
      </w:r>
    </w:p>
    <w:p w14:paraId="5425FD8E" w14:textId="77777777" w:rsidR="002D5CF0" w:rsidRPr="002D5CF0" w:rsidRDefault="002D5CF0" w:rsidP="002D5CF0">
      <w:pPr>
        <w:spacing w:after="0"/>
        <w:ind w:left="284" w:right="-7"/>
        <w:jc w:val="both"/>
        <w:rPr>
          <w:rFonts w:ascii="Avenir Next LT Pro" w:hAnsi="Avenir Next LT Pro" w:cstheme="minorHAnsi"/>
          <w:sz w:val="20"/>
          <w:szCs w:val="20"/>
          <w:lang w:eastAsia="en-GB"/>
        </w:rPr>
      </w:pPr>
    </w:p>
    <w:p w14:paraId="507D17E9" w14:textId="627DD9C3" w:rsidR="002D5CF0" w:rsidRPr="002D5CF0" w:rsidRDefault="002D5CF0" w:rsidP="002D5CF0">
      <w:pPr>
        <w:spacing w:after="0"/>
        <w:ind w:left="284" w:right="-7"/>
        <w:jc w:val="both"/>
        <w:rPr>
          <w:rFonts w:ascii="Avenir Next LT Pro" w:hAnsi="Avenir Next LT Pro" w:cstheme="minorHAnsi"/>
          <w:sz w:val="20"/>
          <w:szCs w:val="20"/>
          <w:lang w:eastAsia="en-GB"/>
        </w:rPr>
      </w:pPr>
      <w:r w:rsidRPr="002D5CF0">
        <w:rPr>
          <w:rFonts w:ascii="Avenir Next LT Pro" w:hAnsi="Avenir Next LT Pro" w:cstheme="minorHAnsi"/>
          <w:sz w:val="20"/>
          <w:szCs w:val="20"/>
          <w:lang w:eastAsia="en-GB"/>
        </w:rPr>
        <w:t xml:space="preserve">Les grandes lignes des activités de </w:t>
      </w:r>
      <w:proofErr w:type="spellStart"/>
      <w:r w:rsidRPr="002D5CF0">
        <w:rPr>
          <w:rFonts w:ascii="Avenir Next LT Pro" w:hAnsi="Avenir Next LT Pro" w:cstheme="minorHAnsi"/>
          <w:sz w:val="20"/>
          <w:szCs w:val="20"/>
          <w:lang w:eastAsia="en-GB"/>
        </w:rPr>
        <w:t>suivi-évaluation</w:t>
      </w:r>
      <w:proofErr w:type="spellEnd"/>
      <w:r w:rsidRPr="002D5CF0">
        <w:rPr>
          <w:rFonts w:ascii="Avenir Next LT Pro" w:hAnsi="Avenir Next LT Pro" w:cstheme="minorHAnsi"/>
          <w:sz w:val="20"/>
          <w:szCs w:val="20"/>
          <w:lang w:eastAsia="en-GB"/>
        </w:rPr>
        <w:t xml:space="preserve"> du </w:t>
      </w:r>
      <w:r w:rsidR="003B3548">
        <w:rPr>
          <w:rFonts w:ascii="Avenir Next LT Pro" w:hAnsi="Avenir Next LT Pro" w:cstheme="minorHAnsi"/>
          <w:sz w:val="20"/>
          <w:szCs w:val="20"/>
          <w:lang w:eastAsia="en-GB"/>
        </w:rPr>
        <w:t>P</w:t>
      </w:r>
      <w:r w:rsidRPr="002D5CF0">
        <w:rPr>
          <w:rFonts w:ascii="Avenir Next LT Pro" w:hAnsi="Avenir Next LT Pro" w:cstheme="minorHAnsi"/>
          <w:sz w:val="20"/>
          <w:szCs w:val="20"/>
          <w:lang w:eastAsia="en-GB"/>
        </w:rPr>
        <w:t xml:space="preserve">rojet sont présentées dans le tableau ci-dessous. Les financements alloués à ces activités de </w:t>
      </w:r>
      <w:proofErr w:type="spellStart"/>
      <w:r w:rsidRPr="002D5CF0">
        <w:rPr>
          <w:rFonts w:ascii="Avenir Next LT Pro" w:hAnsi="Avenir Next LT Pro" w:cstheme="minorHAnsi"/>
          <w:sz w:val="20"/>
          <w:szCs w:val="20"/>
          <w:lang w:eastAsia="en-GB"/>
        </w:rPr>
        <w:t>suivi-évaluation</w:t>
      </w:r>
      <w:proofErr w:type="spellEnd"/>
      <w:r w:rsidRPr="002D5CF0">
        <w:rPr>
          <w:rFonts w:ascii="Avenir Next LT Pro" w:hAnsi="Avenir Next LT Pro" w:cstheme="minorHAnsi"/>
          <w:sz w:val="20"/>
          <w:szCs w:val="20"/>
          <w:lang w:eastAsia="en-GB"/>
        </w:rPr>
        <w:t xml:space="preserve"> se retrouvent sous les budgets des différents résultats.</w:t>
      </w:r>
    </w:p>
    <w:p w14:paraId="6A0B31FD" w14:textId="77777777" w:rsidR="002D5CF0" w:rsidRPr="002D5CF0" w:rsidRDefault="002D5CF0" w:rsidP="002D5CF0">
      <w:pPr>
        <w:spacing w:after="0"/>
        <w:ind w:left="284" w:right="-7"/>
        <w:jc w:val="both"/>
        <w:rPr>
          <w:rFonts w:ascii="Avenir Next LT Pro" w:hAnsi="Avenir Next LT Pro" w:cstheme="minorHAnsi"/>
          <w:sz w:val="20"/>
          <w:szCs w:val="20"/>
          <w:lang w:eastAsia="en-GB"/>
        </w:rPr>
      </w:pPr>
    </w:p>
    <w:p w14:paraId="4A89A9C6" w14:textId="5FA972A7" w:rsidR="002D5CF0" w:rsidRPr="002D5CF0" w:rsidRDefault="002D5CF0" w:rsidP="002D5CF0">
      <w:pPr>
        <w:spacing w:after="0"/>
        <w:ind w:left="284" w:right="-7"/>
        <w:jc w:val="both"/>
        <w:rPr>
          <w:rFonts w:ascii="Avenir Next LT Pro" w:hAnsi="Avenir Next LT Pro" w:cstheme="minorHAnsi"/>
          <w:sz w:val="20"/>
          <w:szCs w:val="20"/>
          <w:lang w:eastAsia="en-GB"/>
        </w:rPr>
      </w:pPr>
      <w:r w:rsidRPr="002D5CF0">
        <w:rPr>
          <w:rFonts w:ascii="Avenir Next LT Pro" w:hAnsi="Avenir Next LT Pro" w:cstheme="minorHAnsi"/>
          <w:sz w:val="20"/>
          <w:szCs w:val="20"/>
          <w:lang w:eastAsia="en-GB"/>
        </w:rPr>
        <w:t xml:space="preserve">Le système de suivi et évaluation sera animé par un expert en suivi et évaluation mis à disposition du </w:t>
      </w:r>
      <w:r w:rsidR="003B3548">
        <w:rPr>
          <w:rFonts w:ascii="Avenir Next LT Pro" w:hAnsi="Avenir Next LT Pro" w:cstheme="minorHAnsi"/>
          <w:sz w:val="20"/>
          <w:szCs w:val="20"/>
          <w:lang w:eastAsia="en-GB"/>
        </w:rPr>
        <w:t>P</w:t>
      </w:r>
      <w:r w:rsidRPr="002D5CF0">
        <w:rPr>
          <w:rFonts w:ascii="Avenir Next LT Pro" w:hAnsi="Avenir Next LT Pro" w:cstheme="minorHAnsi"/>
          <w:sz w:val="20"/>
          <w:szCs w:val="20"/>
          <w:lang w:eastAsia="en-GB"/>
        </w:rPr>
        <w:t xml:space="preserve">rojet. Il appuiera l’Unité de </w:t>
      </w:r>
      <w:r w:rsidR="003B3548">
        <w:rPr>
          <w:rFonts w:ascii="Avenir Next LT Pro" w:hAnsi="Avenir Next LT Pro" w:cstheme="minorHAnsi"/>
          <w:sz w:val="20"/>
          <w:szCs w:val="20"/>
          <w:lang w:eastAsia="en-GB"/>
        </w:rPr>
        <w:t>Gestion</w:t>
      </w:r>
      <w:r w:rsidR="003B3548" w:rsidRPr="002D5CF0">
        <w:rPr>
          <w:rFonts w:ascii="Avenir Next LT Pro" w:hAnsi="Avenir Next LT Pro" w:cstheme="minorHAnsi"/>
          <w:sz w:val="20"/>
          <w:szCs w:val="20"/>
          <w:lang w:eastAsia="en-GB"/>
        </w:rPr>
        <w:t xml:space="preserve"> </w:t>
      </w:r>
      <w:r w:rsidRPr="002D5CF0">
        <w:rPr>
          <w:rFonts w:ascii="Avenir Next LT Pro" w:hAnsi="Avenir Next LT Pro" w:cstheme="minorHAnsi"/>
          <w:sz w:val="20"/>
          <w:szCs w:val="20"/>
          <w:lang w:eastAsia="en-GB"/>
        </w:rPr>
        <w:t>du Projet et assurera la mise en œuvre des activités de suivi et évaluation telles que détaillées dans le plan opérationnel de S&amp;E. Cet expert bénéficiera de l’assistance et du soutien de l’unité de suivi et évaluation du bureau pays PNUD RDC.</w:t>
      </w:r>
    </w:p>
    <w:p w14:paraId="1E42FC3B" w14:textId="77777777" w:rsidR="002D5CF0" w:rsidRPr="002D5CF0" w:rsidRDefault="002D5CF0" w:rsidP="002D5CF0">
      <w:pPr>
        <w:spacing w:after="0"/>
        <w:ind w:left="284" w:right="-7"/>
        <w:jc w:val="both"/>
        <w:rPr>
          <w:rFonts w:ascii="Avenir Next LT Pro" w:hAnsi="Avenir Next LT Pro" w:cstheme="minorHAnsi"/>
          <w:sz w:val="20"/>
          <w:szCs w:val="20"/>
          <w:lang w:eastAsia="en-GB"/>
        </w:rPr>
      </w:pPr>
    </w:p>
    <w:p w14:paraId="0AD31B1C" w14:textId="5DE8B4C2" w:rsidR="002D5CF0" w:rsidRDefault="002D5CF0" w:rsidP="000055BF">
      <w:pPr>
        <w:spacing w:after="120"/>
        <w:ind w:left="288"/>
        <w:jc w:val="both"/>
        <w:rPr>
          <w:rFonts w:ascii="Avenir Next LT Pro" w:hAnsi="Avenir Next LT Pro" w:cstheme="minorHAnsi"/>
          <w:sz w:val="20"/>
          <w:szCs w:val="20"/>
          <w:lang w:eastAsia="en-GB"/>
        </w:rPr>
      </w:pPr>
      <w:r w:rsidRPr="002D5CF0">
        <w:rPr>
          <w:rFonts w:ascii="Avenir Next LT Pro" w:hAnsi="Avenir Next LT Pro" w:cstheme="minorHAnsi"/>
          <w:sz w:val="20"/>
          <w:szCs w:val="20"/>
          <w:lang w:eastAsia="en-GB"/>
        </w:rPr>
        <w:t>•</w:t>
      </w:r>
      <w:r w:rsidRPr="002D5CF0">
        <w:rPr>
          <w:rFonts w:ascii="Avenir Next LT Pro" w:hAnsi="Avenir Next LT Pro" w:cstheme="minorHAnsi"/>
          <w:sz w:val="20"/>
          <w:szCs w:val="20"/>
          <w:lang w:eastAsia="en-GB"/>
        </w:rPr>
        <w:tab/>
      </w:r>
      <w:r w:rsidRPr="00E03C23">
        <w:rPr>
          <w:rFonts w:ascii="Avenir Next LT Pro" w:hAnsi="Avenir Next LT Pro" w:cstheme="minorHAnsi"/>
          <w:b/>
          <w:bCs/>
          <w:i/>
          <w:iCs/>
          <w:sz w:val="20"/>
          <w:szCs w:val="20"/>
          <w:lang w:eastAsia="en-GB"/>
        </w:rPr>
        <w:t>Les rencontres périodiques de monitoring</w:t>
      </w:r>
      <w:r w:rsidRPr="002D5CF0">
        <w:rPr>
          <w:rFonts w:ascii="Avenir Next LT Pro" w:hAnsi="Avenir Next LT Pro" w:cstheme="minorHAnsi"/>
          <w:sz w:val="20"/>
          <w:szCs w:val="20"/>
          <w:lang w:eastAsia="en-GB"/>
        </w:rPr>
        <w:t xml:space="preserve"> </w:t>
      </w:r>
      <w:r w:rsidR="00CA6477">
        <w:rPr>
          <w:rFonts w:ascii="Avenir Next LT Pro" w:hAnsi="Avenir Next LT Pro" w:cstheme="minorHAnsi"/>
          <w:sz w:val="20"/>
          <w:szCs w:val="20"/>
          <w:lang w:eastAsia="en-GB"/>
        </w:rPr>
        <w:t xml:space="preserve">seront </w:t>
      </w:r>
      <w:r w:rsidR="000B1B25">
        <w:rPr>
          <w:rFonts w:ascii="Avenir Next LT Pro" w:hAnsi="Avenir Next LT Pro" w:cstheme="minorHAnsi"/>
          <w:sz w:val="20"/>
          <w:szCs w:val="20"/>
          <w:lang w:eastAsia="en-GB"/>
        </w:rPr>
        <w:t>organisées</w:t>
      </w:r>
      <w:r w:rsidR="00CA6477">
        <w:rPr>
          <w:rFonts w:ascii="Avenir Next LT Pro" w:hAnsi="Avenir Next LT Pro" w:cstheme="minorHAnsi"/>
          <w:sz w:val="20"/>
          <w:szCs w:val="20"/>
          <w:lang w:eastAsia="en-GB"/>
        </w:rPr>
        <w:t xml:space="preserve"> par</w:t>
      </w:r>
      <w:r w:rsidRPr="002D5CF0">
        <w:rPr>
          <w:rFonts w:ascii="Avenir Next LT Pro" w:hAnsi="Avenir Next LT Pro" w:cstheme="minorHAnsi"/>
          <w:sz w:val="20"/>
          <w:szCs w:val="20"/>
          <w:lang w:eastAsia="en-GB"/>
        </w:rPr>
        <w:t xml:space="preserve"> </w:t>
      </w:r>
      <w:r w:rsidR="000B1B25">
        <w:rPr>
          <w:rFonts w:ascii="Avenir Next LT Pro" w:hAnsi="Avenir Next LT Pro" w:cstheme="minorHAnsi"/>
          <w:sz w:val="20"/>
          <w:szCs w:val="20"/>
          <w:lang w:eastAsia="en-GB"/>
        </w:rPr>
        <w:t>le</w:t>
      </w:r>
      <w:r w:rsidR="000B1B25" w:rsidRPr="002D5CF0">
        <w:rPr>
          <w:rFonts w:ascii="Avenir Next LT Pro" w:hAnsi="Avenir Next LT Pro" w:cstheme="minorHAnsi"/>
          <w:sz w:val="20"/>
          <w:szCs w:val="20"/>
          <w:lang w:eastAsia="en-GB"/>
        </w:rPr>
        <w:t xml:space="preserve"> </w:t>
      </w:r>
      <w:r w:rsidR="000B1B25">
        <w:rPr>
          <w:rFonts w:ascii="Avenir Next LT Pro" w:hAnsi="Avenir Next LT Pro" w:cstheme="minorHAnsi"/>
          <w:sz w:val="20"/>
          <w:szCs w:val="20"/>
          <w:lang w:eastAsia="en-GB"/>
        </w:rPr>
        <w:t>C</w:t>
      </w:r>
      <w:r w:rsidRPr="002D5CF0">
        <w:rPr>
          <w:rFonts w:ascii="Avenir Next LT Pro" w:hAnsi="Avenir Next LT Pro" w:cstheme="minorHAnsi"/>
          <w:sz w:val="20"/>
          <w:szCs w:val="20"/>
          <w:lang w:eastAsia="en-GB"/>
        </w:rPr>
        <w:t xml:space="preserve">omité technique et le comité de pilotage </w:t>
      </w:r>
      <w:r w:rsidR="000B1B25">
        <w:rPr>
          <w:rFonts w:ascii="Avenir Next LT Pro" w:hAnsi="Avenir Next LT Pro" w:cstheme="minorHAnsi"/>
          <w:sz w:val="20"/>
          <w:szCs w:val="20"/>
          <w:lang w:eastAsia="en-GB"/>
        </w:rPr>
        <w:t xml:space="preserve">du Projet </w:t>
      </w:r>
      <w:r w:rsidRPr="002D5CF0">
        <w:rPr>
          <w:rFonts w:ascii="Avenir Next LT Pro" w:hAnsi="Avenir Next LT Pro" w:cstheme="minorHAnsi"/>
          <w:sz w:val="20"/>
          <w:szCs w:val="20"/>
          <w:lang w:eastAsia="en-GB"/>
        </w:rPr>
        <w:t>avec la participation de l’ensembles des parties prenantes, notamment les ministères sectoriels et les structures nationales, les organisations non gouvernementales, les organisations du secteur privé, les partenaires au développement concernés et le conseil national de la jeunesse. Sur la base des rapports périodiques (trimestriels et annuels) d’étapes produits par l’UGP, ces rencontres se tiendront pour faire le suivi des progrès vers l’atteinte des résultats du projet, identifier les défis et les goulots d’étranglement et proposer les mesures correctrices.</w:t>
      </w:r>
    </w:p>
    <w:p w14:paraId="50E988D6" w14:textId="6D5B896D" w:rsidR="001B7379" w:rsidRDefault="0008035A" w:rsidP="000055BF">
      <w:pPr>
        <w:spacing w:after="120"/>
        <w:ind w:left="288"/>
        <w:jc w:val="both"/>
        <w:rPr>
          <w:rFonts w:ascii="Avenir Next LT Pro" w:hAnsi="Avenir Next LT Pro" w:cstheme="minorHAnsi"/>
          <w:b/>
          <w:bCs/>
          <w:sz w:val="20"/>
          <w:szCs w:val="20"/>
          <w:lang w:eastAsia="en-GB"/>
        </w:rPr>
      </w:pPr>
      <w:r w:rsidRPr="0008035A">
        <w:rPr>
          <w:rFonts w:ascii="Avenir Next LT Pro" w:hAnsi="Avenir Next LT Pro" w:cstheme="minorHAnsi"/>
          <w:b/>
          <w:bCs/>
          <w:sz w:val="20"/>
          <w:szCs w:val="20"/>
          <w:lang w:eastAsia="en-GB"/>
        </w:rPr>
        <w:t>Plan de suivi du Projet</w:t>
      </w:r>
    </w:p>
    <w:p w14:paraId="6DD858D5"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3072ADF4"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51622F22"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14F2CEFF"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17DD26CD"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7BE5E92A"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0470F4CF"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3B97E08B"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1F61F357"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28DE9935"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0D83DE0D"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014D6B8C"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32E51EC5"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44BEC998"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329A16DE"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3DD545CF"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56740DC8"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557FC0F2"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41111E88"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488349FE"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0175ABB9"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61A9C6BD"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79010D9B" w14:textId="77777777" w:rsidR="00805FFF" w:rsidRDefault="00805FFF" w:rsidP="000055BF">
      <w:pPr>
        <w:spacing w:after="120"/>
        <w:ind w:left="288"/>
        <w:jc w:val="both"/>
        <w:rPr>
          <w:rFonts w:ascii="Avenir Next LT Pro" w:hAnsi="Avenir Next LT Pro" w:cstheme="minorHAnsi"/>
          <w:b/>
          <w:bCs/>
          <w:sz w:val="20"/>
          <w:szCs w:val="20"/>
          <w:lang w:eastAsia="en-GB"/>
        </w:rPr>
      </w:pPr>
    </w:p>
    <w:p w14:paraId="44E2C322" w14:textId="77777777" w:rsidR="00805FFF" w:rsidRPr="0008035A" w:rsidRDefault="00805FFF" w:rsidP="000055BF">
      <w:pPr>
        <w:spacing w:after="120"/>
        <w:ind w:left="288"/>
        <w:jc w:val="both"/>
        <w:rPr>
          <w:rFonts w:ascii="Avenir Next LT Pro" w:hAnsi="Avenir Next LT Pro" w:cstheme="minorHAnsi"/>
          <w:b/>
          <w:bCs/>
          <w:sz w:val="20"/>
          <w:szCs w:val="2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2174"/>
        <w:gridCol w:w="1347"/>
        <w:gridCol w:w="1774"/>
        <w:gridCol w:w="1319"/>
        <w:gridCol w:w="1068"/>
      </w:tblGrid>
      <w:tr w:rsidR="001B7379" w:rsidRPr="005D0B51" w14:paraId="3DED4D65" w14:textId="77777777" w:rsidTr="0068224E">
        <w:tc>
          <w:tcPr>
            <w:tcW w:w="1389" w:type="dxa"/>
            <w:shd w:val="clear" w:color="auto" w:fill="auto"/>
            <w:vAlign w:val="center"/>
          </w:tcPr>
          <w:p w14:paraId="1B8E102A" w14:textId="77777777" w:rsidR="001B7379" w:rsidRPr="004B7A2D" w:rsidRDefault="001B7379" w:rsidP="0068224E">
            <w:pPr>
              <w:spacing w:after="0"/>
              <w:rPr>
                <w:rFonts w:ascii="Avenir Next LT Pro" w:hAnsi="Avenir Next LT Pro" w:cstheme="minorHAnsi"/>
                <w:b/>
                <w:sz w:val="20"/>
                <w:szCs w:val="20"/>
              </w:rPr>
            </w:pPr>
            <w:r w:rsidRPr="004B7A2D">
              <w:rPr>
                <w:rFonts w:ascii="Avenir Next LT Pro" w:hAnsi="Avenir Next LT Pro" w:cstheme="minorHAnsi"/>
                <w:b/>
                <w:sz w:val="20"/>
                <w:szCs w:val="20"/>
                <w:lang w:val="fr-CA"/>
              </w:rPr>
              <w:t>Activité de suivi</w:t>
            </w:r>
          </w:p>
        </w:tc>
        <w:tc>
          <w:tcPr>
            <w:tcW w:w="2370" w:type="dxa"/>
            <w:shd w:val="clear" w:color="auto" w:fill="auto"/>
            <w:vAlign w:val="center"/>
          </w:tcPr>
          <w:p w14:paraId="340EE2BE"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b/>
                <w:sz w:val="20"/>
                <w:szCs w:val="20"/>
                <w:lang w:val="fr-CA"/>
              </w:rPr>
              <w:t>Objet</w:t>
            </w:r>
          </w:p>
        </w:tc>
        <w:tc>
          <w:tcPr>
            <w:tcW w:w="1332" w:type="dxa"/>
            <w:shd w:val="clear" w:color="auto" w:fill="auto"/>
            <w:vAlign w:val="center"/>
          </w:tcPr>
          <w:p w14:paraId="3A1D5CF1"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b/>
                <w:sz w:val="20"/>
                <w:szCs w:val="20"/>
                <w:lang w:val="fr-CA"/>
              </w:rPr>
              <w:t>Fréquence</w:t>
            </w:r>
          </w:p>
        </w:tc>
        <w:tc>
          <w:tcPr>
            <w:tcW w:w="1869" w:type="dxa"/>
            <w:shd w:val="clear" w:color="auto" w:fill="auto"/>
            <w:vAlign w:val="center"/>
          </w:tcPr>
          <w:p w14:paraId="13835771"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b/>
                <w:sz w:val="20"/>
                <w:szCs w:val="20"/>
                <w:lang w:val="fr-CA"/>
              </w:rPr>
              <w:t>Action prévue</w:t>
            </w:r>
          </w:p>
        </w:tc>
        <w:tc>
          <w:tcPr>
            <w:tcW w:w="1192" w:type="dxa"/>
            <w:shd w:val="clear" w:color="auto" w:fill="auto"/>
            <w:vAlign w:val="center"/>
          </w:tcPr>
          <w:p w14:paraId="30BE4997"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 xml:space="preserve">Partenaires </w:t>
            </w:r>
          </w:p>
          <w:p w14:paraId="0F1A00E6" w14:textId="77777777" w:rsidR="001B7379" w:rsidRPr="004B7A2D" w:rsidRDefault="001B7379" w:rsidP="0068224E">
            <w:pPr>
              <w:spacing w:after="0"/>
              <w:rPr>
                <w:rFonts w:ascii="Avenir Next LT Pro" w:hAnsi="Avenir Next LT Pro" w:cstheme="minorHAnsi"/>
                <w:sz w:val="20"/>
                <w:szCs w:val="20"/>
                <w:lang w:val="fr-CA"/>
              </w:rPr>
            </w:pPr>
            <w:proofErr w:type="gramStart"/>
            <w:r w:rsidRPr="004B7A2D">
              <w:rPr>
                <w:rFonts w:ascii="Avenir Next LT Pro" w:hAnsi="Avenir Next LT Pro" w:cstheme="minorHAnsi"/>
                <w:b/>
                <w:sz w:val="20"/>
                <w:szCs w:val="20"/>
                <w:lang w:val="fr-CA"/>
              </w:rPr>
              <w:t>éventuels</w:t>
            </w:r>
            <w:proofErr w:type="gramEnd"/>
          </w:p>
        </w:tc>
        <w:tc>
          <w:tcPr>
            <w:tcW w:w="908" w:type="dxa"/>
            <w:shd w:val="clear" w:color="auto" w:fill="auto"/>
            <w:vAlign w:val="center"/>
          </w:tcPr>
          <w:p w14:paraId="73A11F44" w14:textId="77777777" w:rsidR="001B7379" w:rsidRPr="004B7A2D" w:rsidRDefault="001B7379" w:rsidP="0068224E">
            <w:pPr>
              <w:spacing w:after="0"/>
              <w:jc w:val="center"/>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 xml:space="preserve">Coût </w:t>
            </w:r>
          </w:p>
          <w:p w14:paraId="073957E3" w14:textId="77777777" w:rsidR="001B7379" w:rsidRPr="004B7A2D" w:rsidRDefault="001B7379" w:rsidP="0068224E">
            <w:pPr>
              <w:spacing w:after="0"/>
              <w:rPr>
                <w:rFonts w:ascii="Avenir Next LT Pro" w:hAnsi="Avenir Next LT Pro" w:cstheme="minorHAnsi"/>
                <w:sz w:val="20"/>
                <w:szCs w:val="20"/>
                <w:lang w:val="fr-CA"/>
              </w:rPr>
            </w:pPr>
            <w:proofErr w:type="gramStart"/>
            <w:r w:rsidRPr="004B7A2D">
              <w:rPr>
                <w:rFonts w:ascii="Avenir Next LT Pro" w:hAnsi="Avenir Next LT Pro" w:cstheme="minorHAnsi"/>
                <w:b/>
                <w:sz w:val="20"/>
                <w:szCs w:val="20"/>
                <w:lang w:val="fr-CA"/>
              </w:rPr>
              <w:t>éventuel</w:t>
            </w:r>
            <w:proofErr w:type="gramEnd"/>
          </w:p>
        </w:tc>
      </w:tr>
      <w:tr w:rsidR="001B7379" w:rsidRPr="005D0B51" w14:paraId="09F85DDF" w14:textId="77777777" w:rsidTr="0068224E">
        <w:tc>
          <w:tcPr>
            <w:tcW w:w="1389" w:type="dxa"/>
            <w:shd w:val="clear" w:color="auto" w:fill="auto"/>
            <w:vAlign w:val="center"/>
          </w:tcPr>
          <w:p w14:paraId="53BF02CB"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rPr>
              <w:t>Suivre les progrès vers les résultats</w:t>
            </w:r>
            <w:r w:rsidRPr="004B7A2D" w:rsidDel="00313C7F">
              <w:rPr>
                <w:rFonts w:ascii="Avenir Next LT Pro" w:hAnsi="Avenir Next LT Pro" w:cstheme="minorHAnsi"/>
                <w:b/>
                <w:sz w:val="20"/>
                <w:szCs w:val="20"/>
                <w:lang w:val="fr-CA"/>
              </w:rPr>
              <w:t xml:space="preserve"> </w:t>
            </w:r>
          </w:p>
        </w:tc>
        <w:tc>
          <w:tcPr>
            <w:tcW w:w="2370" w:type="dxa"/>
            <w:shd w:val="clear" w:color="auto" w:fill="auto"/>
          </w:tcPr>
          <w:p w14:paraId="61DAFD30"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Recueillir et analyser les données sur les progrès par rapport aux indicateurs de résultats du RRF afin de déterminer les progrès du projet vers l’obtention des produits convenus.</w:t>
            </w:r>
          </w:p>
        </w:tc>
        <w:tc>
          <w:tcPr>
            <w:tcW w:w="1332" w:type="dxa"/>
            <w:shd w:val="clear" w:color="auto" w:fill="auto"/>
          </w:tcPr>
          <w:p w14:paraId="292FF34E"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 xml:space="preserve">Trimestrielle </w:t>
            </w:r>
          </w:p>
        </w:tc>
        <w:tc>
          <w:tcPr>
            <w:tcW w:w="1869" w:type="dxa"/>
            <w:shd w:val="clear" w:color="auto" w:fill="auto"/>
          </w:tcPr>
          <w:p w14:paraId="2F95BB26"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Intervention de la direction du projet en cas de progrès plus lents que prévus.</w:t>
            </w:r>
          </w:p>
        </w:tc>
        <w:tc>
          <w:tcPr>
            <w:tcW w:w="1192" w:type="dxa"/>
            <w:shd w:val="clear" w:color="auto" w:fill="auto"/>
          </w:tcPr>
          <w:p w14:paraId="1E39630B"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Comité de pilotage, Comités de suivi du projet</w:t>
            </w:r>
          </w:p>
        </w:tc>
        <w:tc>
          <w:tcPr>
            <w:tcW w:w="908" w:type="dxa"/>
            <w:shd w:val="clear" w:color="auto" w:fill="auto"/>
          </w:tcPr>
          <w:p w14:paraId="1A99665A"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r>
      <w:tr w:rsidR="001B7379" w:rsidRPr="005D0B51" w14:paraId="6F63957C" w14:textId="77777777" w:rsidTr="0068224E">
        <w:tc>
          <w:tcPr>
            <w:tcW w:w="1389" w:type="dxa"/>
            <w:shd w:val="clear" w:color="auto" w:fill="auto"/>
            <w:vAlign w:val="center"/>
          </w:tcPr>
          <w:p w14:paraId="1835D8F4"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 xml:space="preserve">Suivre et </w:t>
            </w:r>
            <w:r w:rsidRPr="004B7A2D">
              <w:rPr>
                <w:rFonts w:ascii="Avenir Next LT Pro" w:hAnsi="Avenir Next LT Pro" w:cstheme="minorHAnsi"/>
                <w:b/>
                <w:sz w:val="20"/>
                <w:szCs w:val="20"/>
              </w:rPr>
              <w:t xml:space="preserve">gérer </w:t>
            </w:r>
            <w:r w:rsidRPr="004B7A2D">
              <w:rPr>
                <w:rFonts w:ascii="Avenir Next LT Pro" w:hAnsi="Avenir Next LT Pro" w:cstheme="minorHAnsi"/>
                <w:b/>
                <w:sz w:val="20"/>
                <w:szCs w:val="20"/>
                <w:lang w:val="fr-CA"/>
              </w:rPr>
              <w:t>les risques</w:t>
            </w:r>
          </w:p>
        </w:tc>
        <w:tc>
          <w:tcPr>
            <w:tcW w:w="2370" w:type="dxa"/>
            <w:shd w:val="clear" w:color="auto" w:fill="auto"/>
          </w:tcPr>
          <w:p w14:paraId="64D0D12B"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Identifier les risques spécifiques susceptibles de menacer l’atteinte des résultats prévus. Identifier et suivre les mesures de gestion des risques au moyen d’un registre des risques. Ceci comprend les mesures et les plans de suivi qui ont pu être requis selon les normes sociales et environnementales en vigueur. Des audits seront réalisés conformément à la politique d’audit accepté par CAFI pour gérer les risques financiers.</w:t>
            </w:r>
          </w:p>
        </w:tc>
        <w:tc>
          <w:tcPr>
            <w:tcW w:w="1332" w:type="dxa"/>
            <w:shd w:val="clear" w:color="auto" w:fill="auto"/>
            <w:vAlign w:val="center"/>
          </w:tcPr>
          <w:p w14:paraId="39F5583B" w14:textId="77777777" w:rsidR="001B7379" w:rsidRPr="004B7A2D" w:rsidRDefault="001B7379" w:rsidP="0068224E">
            <w:pPr>
              <w:spacing w:after="0"/>
              <w:jc w:val="center"/>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Trimestrielle</w:t>
            </w:r>
          </w:p>
        </w:tc>
        <w:tc>
          <w:tcPr>
            <w:tcW w:w="1869" w:type="dxa"/>
            <w:shd w:val="clear" w:color="auto" w:fill="auto"/>
          </w:tcPr>
          <w:p w14:paraId="1446A1B5"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Le Comité de Pilotage du programme identifie les risques et prend des mesures de gestion de ces risques. Elle veille à la tenue et à l’actualisation du registre des risques pour assurer le suivi des risques repérés et des mesures prises.</w:t>
            </w:r>
          </w:p>
        </w:tc>
        <w:tc>
          <w:tcPr>
            <w:tcW w:w="1192" w:type="dxa"/>
            <w:shd w:val="clear" w:color="auto" w:fill="auto"/>
          </w:tcPr>
          <w:p w14:paraId="74B66129"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c>
          <w:tcPr>
            <w:tcW w:w="908" w:type="dxa"/>
            <w:shd w:val="clear" w:color="auto" w:fill="auto"/>
          </w:tcPr>
          <w:p w14:paraId="13BA5BE1"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r>
      <w:tr w:rsidR="001B7379" w:rsidRPr="005D0B51" w14:paraId="656692BD" w14:textId="77777777" w:rsidTr="0068224E">
        <w:tc>
          <w:tcPr>
            <w:tcW w:w="1389" w:type="dxa"/>
            <w:shd w:val="clear" w:color="auto" w:fill="auto"/>
            <w:vAlign w:val="center"/>
          </w:tcPr>
          <w:p w14:paraId="5A6AB294"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 xml:space="preserve">Apprendre </w:t>
            </w:r>
          </w:p>
        </w:tc>
        <w:tc>
          <w:tcPr>
            <w:tcW w:w="2370" w:type="dxa"/>
            <w:shd w:val="clear" w:color="auto" w:fill="auto"/>
            <w:vAlign w:val="center"/>
          </w:tcPr>
          <w:p w14:paraId="4A51AD69"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Les connaissances, les bonnes pratiques et les enseignements seront dégagés périodiquement des activités du programme ainsi que recherchés activement auprès d’autres projets et de partenaires puis réintégrés dans le programme.</w:t>
            </w:r>
          </w:p>
        </w:tc>
        <w:tc>
          <w:tcPr>
            <w:tcW w:w="1332" w:type="dxa"/>
            <w:shd w:val="clear" w:color="auto" w:fill="auto"/>
            <w:vAlign w:val="center"/>
          </w:tcPr>
          <w:p w14:paraId="3A766039" w14:textId="77777777" w:rsidR="001B7379" w:rsidRPr="004B7A2D" w:rsidRDefault="001B7379" w:rsidP="0068224E">
            <w:pPr>
              <w:spacing w:after="0"/>
              <w:jc w:val="center"/>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Annuelle</w:t>
            </w:r>
          </w:p>
        </w:tc>
        <w:tc>
          <w:tcPr>
            <w:tcW w:w="1869" w:type="dxa"/>
            <w:shd w:val="clear" w:color="auto" w:fill="auto"/>
            <w:vAlign w:val="center"/>
          </w:tcPr>
          <w:p w14:paraId="6A5644B2"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Le Comité de Pilotage du programme dégage les leçons appropriées et en tient compte pour éclairer les décisions de gestion.</w:t>
            </w:r>
          </w:p>
        </w:tc>
        <w:tc>
          <w:tcPr>
            <w:tcW w:w="1192" w:type="dxa"/>
            <w:shd w:val="clear" w:color="auto" w:fill="auto"/>
          </w:tcPr>
          <w:p w14:paraId="0A964047"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c>
          <w:tcPr>
            <w:tcW w:w="908" w:type="dxa"/>
            <w:shd w:val="clear" w:color="auto" w:fill="auto"/>
          </w:tcPr>
          <w:p w14:paraId="412C8E94"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r>
      <w:tr w:rsidR="001B7379" w:rsidRPr="005D0B51" w14:paraId="729FDE23" w14:textId="77777777" w:rsidTr="0068224E">
        <w:tc>
          <w:tcPr>
            <w:tcW w:w="1389" w:type="dxa"/>
            <w:shd w:val="clear" w:color="auto" w:fill="auto"/>
            <w:vAlign w:val="center"/>
          </w:tcPr>
          <w:p w14:paraId="2B1847BC"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Assurance qualité du programme</w:t>
            </w:r>
          </w:p>
        </w:tc>
        <w:tc>
          <w:tcPr>
            <w:tcW w:w="2370" w:type="dxa"/>
            <w:shd w:val="clear" w:color="auto" w:fill="auto"/>
            <w:vAlign w:val="center"/>
          </w:tcPr>
          <w:p w14:paraId="5D84C06D"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 xml:space="preserve">La qualité du projet sera évaluée par rapport aux normes de qualité du PNUD pour repérer les forces et les faiblesses du projet et pour éclairer la </w:t>
            </w:r>
            <w:r w:rsidRPr="004B7A2D">
              <w:rPr>
                <w:rFonts w:ascii="Avenir Next LT Pro" w:hAnsi="Avenir Next LT Pro" w:cstheme="minorHAnsi"/>
                <w:sz w:val="20"/>
                <w:szCs w:val="20"/>
                <w:lang w:val="fr-CA"/>
              </w:rPr>
              <w:lastRenderedPageBreak/>
              <w:t>prise de décisions de gestion afin d’améliorer le programme.</w:t>
            </w:r>
          </w:p>
        </w:tc>
        <w:tc>
          <w:tcPr>
            <w:tcW w:w="1332" w:type="dxa"/>
            <w:shd w:val="clear" w:color="auto" w:fill="auto"/>
            <w:vAlign w:val="center"/>
          </w:tcPr>
          <w:p w14:paraId="48D6FA3A" w14:textId="77777777" w:rsidR="001B7379" w:rsidRPr="004B7A2D" w:rsidRDefault="001B7379" w:rsidP="0068224E">
            <w:pPr>
              <w:spacing w:after="0"/>
              <w:jc w:val="center"/>
              <w:rPr>
                <w:rFonts w:ascii="Avenir Next LT Pro" w:hAnsi="Avenir Next LT Pro" w:cstheme="minorHAnsi"/>
                <w:sz w:val="20"/>
                <w:szCs w:val="20"/>
                <w:lang w:val="fr-CA"/>
              </w:rPr>
            </w:pPr>
            <w:r w:rsidRPr="004B7A2D">
              <w:rPr>
                <w:rFonts w:ascii="Avenir Next LT Pro" w:hAnsi="Avenir Next LT Pro" w:cstheme="minorHAnsi"/>
                <w:sz w:val="20"/>
                <w:szCs w:val="20"/>
                <w:lang w:val="fr-CA"/>
              </w:rPr>
              <w:lastRenderedPageBreak/>
              <w:t>Annuelle</w:t>
            </w:r>
          </w:p>
        </w:tc>
        <w:tc>
          <w:tcPr>
            <w:tcW w:w="1869" w:type="dxa"/>
            <w:shd w:val="clear" w:color="auto" w:fill="auto"/>
            <w:vAlign w:val="center"/>
          </w:tcPr>
          <w:p w14:paraId="7A4A5ABC"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 xml:space="preserve">La direction du programme examine les forces et les faiblesses du projet et en tient compte pour éclairer ses </w:t>
            </w:r>
            <w:r w:rsidRPr="004B7A2D">
              <w:rPr>
                <w:rFonts w:ascii="Avenir Next LT Pro" w:hAnsi="Avenir Next LT Pro" w:cstheme="minorHAnsi"/>
                <w:sz w:val="20"/>
                <w:szCs w:val="20"/>
                <w:lang w:val="fr-CA"/>
              </w:rPr>
              <w:lastRenderedPageBreak/>
              <w:t>décisions et améliorer les performances du programme.</w:t>
            </w:r>
          </w:p>
        </w:tc>
        <w:tc>
          <w:tcPr>
            <w:tcW w:w="1192" w:type="dxa"/>
            <w:shd w:val="clear" w:color="auto" w:fill="auto"/>
          </w:tcPr>
          <w:p w14:paraId="1187CC12"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lastRenderedPageBreak/>
              <w:t>NA</w:t>
            </w:r>
          </w:p>
        </w:tc>
        <w:tc>
          <w:tcPr>
            <w:tcW w:w="908" w:type="dxa"/>
            <w:shd w:val="clear" w:color="auto" w:fill="auto"/>
          </w:tcPr>
          <w:p w14:paraId="21AC8610"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r>
      <w:tr w:rsidR="001B7379" w:rsidRPr="005D0B51" w14:paraId="4B3F7C4C" w14:textId="77777777" w:rsidTr="0068224E">
        <w:tc>
          <w:tcPr>
            <w:tcW w:w="1389" w:type="dxa"/>
            <w:shd w:val="clear" w:color="auto" w:fill="auto"/>
            <w:vAlign w:val="center"/>
          </w:tcPr>
          <w:p w14:paraId="7A19EC1B"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 xml:space="preserve">Revoir et Prendre des mesures correctives </w:t>
            </w:r>
          </w:p>
        </w:tc>
        <w:tc>
          <w:tcPr>
            <w:tcW w:w="2370" w:type="dxa"/>
            <w:shd w:val="clear" w:color="auto" w:fill="auto"/>
            <w:vAlign w:val="center"/>
          </w:tcPr>
          <w:p w14:paraId="4F83D0B4"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Revue interne des données et des preuves issues de toutes les actions de suivi afin d’éclairer la prise de décisions.</w:t>
            </w:r>
          </w:p>
        </w:tc>
        <w:tc>
          <w:tcPr>
            <w:tcW w:w="1332" w:type="dxa"/>
            <w:shd w:val="clear" w:color="auto" w:fill="auto"/>
            <w:vAlign w:val="center"/>
          </w:tcPr>
          <w:p w14:paraId="0EEA5DD7" w14:textId="77777777" w:rsidR="001B7379" w:rsidRPr="004B7A2D" w:rsidRDefault="001B7379" w:rsidP="0068224E">
            <w:pPr>
              <w:spacing w:after="0"/>
              <w:jc w:val="center"/>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Annuelle</w:t>
            </w:r>
          </w:p>
        </w:tc>
        <w:tc>
          <w:tcPr>
            <w:tcW w:w="1869" w:type="dxa"/>
            <w:shd w:val="clear" w:color="auto" w:fill="auto"/>
          </w:tcPr>
          <w:p w14:paraId="501EA96B"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Les données sur les performances, les risques, les leçons et la qualité font l’objet d’un examen du comité de pilotage et sont utilisées pour prendre des mesures correctives.</w:t>
            </w:r>
          </w:p>
        </w:tc>
        <w:tc>
          <w:tcPr>
            <w:tcW w:w="1192" w:type="dxa"/>
            <w:shd w:val="clear" w:color="auto" w:fill="auto"/>
          </w:tcPr>
          <w:p w14:paraId="43563D12"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Comité de pilotage du programme</w:t>
            </w:r>
          </w:p>
        </w:tc>
        <w:tc>
          <w:tcPr>
            <w:tcW w:w="908" w:type="dxa"/>
            <w:shd w:val="clear" w:color="auto" w:fill="auto"/>
          </w:tcPr>
          <w:p w14:paraId="5E71B527"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r>
      <w:tr w:rsidR="001B7379" w:rsidRPr="005D0B51" w14:paraId="4939FD09" w14:textId="77777777" w:rsidTr="0068224E">
        <w:tc>
          <w:tcPr>
            <w:tcW w:w="1389" w:type="dxa"/>
            <w:shd w:val="clear" w:color="auto" w:fill="auto"/>
            <w:vAlign w:val="center"/>
          </w:tcPr>
          <w:p w14:paraId="5D90555C"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 xml:space="preserve">Rapport du projet </w:t>
            </w:r>
          </w:p>
        </w:tc>
        <w:tc>
          <w:tcPr>
            <w:tcW w:w="2370" w:type="dxa"/>
            <w:shd w:val="clear" w:color="auto" w:fill="auto"/>
            <w:vAlign w:val="center"/>
          </w:tcPr>
          <w:p w14:paraId="05279DE4"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 xml:space="preserve">Il sera présenté au Comité de pilotage du programme et aux parties prenantes clés un rapport d’avancement qui comprendra les données sur les résultats obtenus au regard des cibles annuelles prédéfinies au niveau des produits, le résumé d’évaluation annuel de la qualité du projet, un registre des risques actualisé avec indication des mesures d’atténuation et tous les rapports d’évaluation et de revue établis au cours de la période considérée. </w:t>
            </w:r>
          </w:p>
        </w:tc>
        <w:tc>
          <w:tcPr>
            <w:tcW w:w="1332" w:type="dxa"/>
            <w:shd w:val="clear" w:color="auto" w:fill="auto"/>
            <w:vAlign w:val="center"/>
          </w:tcPr>
          <w:p w14:paraId="5BE0E3C8" w14:textId="77777777" w:rsidR="001B7379" w:rsidRPr="004B7A2D" w:rsidRDefault="001B7379" w:rsidP="0068224E">
            <w:pPr>
              <w:spacing w:after="0"/>
              <w:jc w:val="center"/>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Annuelle et à la fin du programme (rapport final)</w:t>
            </w:r>
          </w:p>
        </w:tc>
        <w:tc>
          <w:tcPr>
            <w:tcW w:w="1869" w:type="dxa"/>
            <w:shd w:val="clear" w:color="auto" w:fill="auto"/>
          </w:tcPr>
          <w:p w14:paraId="5D8F5316" w14:textId="77777777" w:rsidR="001B7379" w:rsidRPr="004B7A2D" w:rsidRDefault="001B7379" w:rsidP="0068224E">
            <w:pPr>
              <w:spacing w:after="0"/>
              <w:rPr>
                <w:rFonts w:ascii="Avenir Next LT Pro" w:hAnsi="Avenir Next LT Pro" w:cstheme="minorHAnsi"/>
                <w:sz w:val="20"/>
                <w:szCs w:val="20"/>
                <w:lang w:val="fr-CA"/>
              </w:rPr>
            </w:pPr>
          </w:p>
        </w:tc>
        <w:tc>
          <w:tcPr>
            <w:tcW w:w="1192" w:type="dxa"/>
            <w:shd w:val="clear" w:color="auto" w:fill="auto"/>
          </w:tcPr>
          <w:p w14:paraId="5E734E41"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c>
          <w:tcPr>
            <w:tcW w:w="908" w:type="dxa"/>
            <w:shd w:val="clear" w:color="auto" w:fill="auto"/>
          </w:tcPr>
          <w:p w14:paraId="088DF699"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r>
      <w:tr w:rsidR="001B7379" w:rsidRPr="005D0B51" w14:paraId="45407DB6" w14:textId="77777777" w:rsidTr="0068224E">
        <w:tc>
          <w:tcPr>
            <w:tcW w:w="1389" w:type="dxa"/>
            <w:shd w:val="clear" w:color="auto" w:fill="auto"/>
            <w:vAlign w:val="center"/>
          </w:tcPr>
          <w:p w14:paraId="50AD179D"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b/>
                <w:sz w:val="20"/>
                <w:szCs w:val="20"/>
                <w:lang w:val="fr-CA"/>
              </w:rPr>
              <w:t>Revue du projet (comité de pilotage)</w:t>
            </w:r>
          </w:p>
        </w:tc>
        <w:tc>
          <w:tcPr>
            <w:tcW w:w="2370" w:type="dxa"/>
            <w:shd w:val="clear" w:color="auto" w:fill="auto"/>
            <w:vAlign w:val="center"/>
          </w:tcPr>
          <w:p w14:paraId="1B6FB79B"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 xml:space="preserve">Le mécanisme de gouvernance du programme (comité de pilotage) effectuera des revues périodiques du projet pour en évaluer la performance et examiner le Plan de travail pluriannuel afin de garantir le réalisme des </w:t>
            </w:r>
            <w:r w:rsidRPr="004B7A2D">
              <w:rPr>
                <w:rFonts w:ascii="Avenir Next LT Pro" w:hAnsi="Avenir Next LT Pro" w:cstheme="minorHAnsi"/>
                <w:sz w:val="20"/>
                <w:szCs w:val="20"/>
                <w:lang w:val="fr-CA"/>
              </w:rPr>
              <w:lastRenderedPageBreak/>
              <w:t>budgets pour la durée du projet. La dernière année du programme, le comité de pilotage effectue une revue du projet pour dégager les leçons à retenir, examiner les possibilités d’amplification d’échelle et diffuser les résultats et les enseignements à retenir du projet auprès des publics concernés.</w:t>
            </w:r>
          </w:p>
        </w:tc>
        <w:tc>
          <w:tcPr>
            <w:tcW w:w="1332" w:type="dxa"/>
            <w:shd w:val="clear" w:color="auto" w:fill="auto"/>
            <w:vAlign w:val="center"/>
          </w:tcPr>
          <w:p w14:paraId="27E3796C" w14:textId="77777777" w:rsidR="001B7379" w:rsidRPr="004B7A2D" w:rsidRDefault="001B7379" w:rsidP="0068224E">
            <w:pPr>
              <w:spacing w:after="0"/>
              <w:jc w:val="center"/>
              <w:rPr>
                <w:rFonts w:ascii="Avenir Next LT Pro" w:hAnsi="Avenir Next LT Pro" w:cstheme="minorHAnsi"/>
                <w:sz w:val="20"/>
                <w:szCs w:val="20"/>
                <w:lang w:val="fr-CA"/>
              </w:rPr>
            </w:pPr>
            <w:r w:rsidRPr="004B7A2D">
              <w:rPr>
                <w:rFonts w:ascii="Avenir Next LT Pro" w:hAnsi="Avenir Next LT Pro" w:cstheme="minorHAnsi"/>
                <w:sz w:val="20"/>
                <w:szCs w:val="20"/>
                <w:lang w:val="fr-CA"/>
              </w:rPr>
              <w:lastRenderedPageBreak/>
              <w:t>Au début et à la fin de chaque année</w:t>
            </w:r>
          </w:p>
        </w:tc>
        <w:tc>
          <w:tcPr>
            <w:tcW w:w="1869" w:type="dxa"/>
            <w:shd w:val="clear" w:color="auto" w:fill="auto"/>
            <w:vAlign w:val="center"/>
          </w:tcPr>
          <w:p w14:paraId="5CB5DBFB" w14:textId="77777777" w:rsidR="001B7379" w:rsidRPr="004B7A2D" w:rsidRDefault="001B7379" w:rsidP="0068224E">
            <w:pPr>
              <w:spacing w:after="0"/>
              <w:rPr>
                <w:rFonts w:ascii="Avenir Next LT Pro" w:hAnsi="Avenir Next LT Pro" w:cstheme="minorHAnsi"/>
                <w:b/>
                <w:sz w:val="20"/>
                <w:szCs w:val="20"/>
                <w:lang w:val="fr-CA"/>
              </w:rPr>
            </w:pPr>
            <w:r w:rsidRPr="004B7A2D">
              <w:rPr>
                <w:rFonts w:ascii="Avenir Next LT Pro" w:hAnsi="Avenir Next LT Pro" w:cstheme="minorHAnsi"/>
                <w:sz w:val="20"/>
                <w:szCs w:val="20"/>
                <w:lang w:val="fr-CA"/>
              </w:rPr>
              <w:t xml:space="preserve">Il convient que le comité de pilotage examine toutes les préoccupations relatives à la qualité et à la lenteur de l’avancement du projet et que des mesures de gestion soient </w:t>
            </w:r>
            <w:r w:rsidRPr="004B7A2D">
              <w:rPr>
                <w:rFonts w:ascii="Avenir Next LT Pro" w:hAnsi="Avenir Next LT Pro" w:cstheme="minorHAnsi"/>
                <w:sz w:val="20"/>
                <w:szCs w:val="20"/>
                <w:lang w:val="fr-CA"/>
              </w:rPr>
              <w:lastRenderedPageBreak/>
              <w:t xml:space="preserve">prises pour traiter les problématiques mises en évidence. </w:t>
            </w:r>
          </w:p>
        </w:tc>
        <w:tc>
          <w:tcPr>
            <w:tcW w:w="1192" w:type="dxa"/>
            <w:shd w:val="clear" w:color="auto" w:fill="auto"/>
          </w:tcPr>
          <w:p w14:paraId="47C50B6B"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lastRenderedPageBreak/>
              <w:t>Comité de pilotage du programme</w:t>
            </w:r>
          </w:p>
        </w:tc>
        <w:tc>
          <w:tcPr>
            <w:tcW w:w="908" w:type="dxa"/>
            <w:shd w:val="clear" w:color="auto" w:fill="auto"/>
          </w:tcPr>
          <w:p w14:paraId="6D53DC8A" w14:textId="77777777" w:rsidR="001B7379" w:rsidRPr="004B7A2D" w:rsidRDefault="001B7379" w:rsidP="0068224E">
            <w:pPr>
              <w:spacing w:after="0"/>
              <w:rPr>
                <w:rFonts w:ascii="Avenir Next LT Pro" w:hAnsi="Avenir Next LT Pro" w:cstheme="minorHAnsi"/>
                <w:sz w:val="20"/>
                <w:szCs w:val="20"/>
                <w:lang w:val="fr-CA"/>
              </w:rPr>
            </w:pPr>
            <w:r w:rsidRPr="004B7A2D">
              <w:rPr>
                <w:rFonts w:ascii="Avenir Next LT Pro" w:hAnsi="Avenir Next LT Pro" w:cstheme="minorHAnsi"/>
                <w:sz w:val="20"/>
                <w:szCs w:val="20"/>
                <w:lang w:val="fr-CA"/>
              </w:rPr>
              <w:t>NA</w:t>
            </w:r>
          </w:p>
        </w:tc>
      </w:tr>
    </w:tbl>
    <w:p w14:paraId="705C8704" w14:textId="77777777" w:rsidR="00204658" w:rsidRDefault="00204658" w:rsidP="000055BF">
      <w:pPr>
        <w:spacing w:after="120"/>
        <w:ind w:left="288"/>
        <w:jc w:val="both"/>
        <w:rPr>
          <w:rFonts w:ascii="Avenir Next LT Pro" w:hAnsi="Avenir Next LT Pro" w:cstheme="minorHAnsi"/>
          <w:sz w:val="20"/>
          <w:szCs w:val="20"/>
          <w:lang w:eastAsia="en-GB"/>
        </w:rPr>
      </w:pPr>
    </w:p>
    <w:p w14:paraId="5B88240E" w14:textId="77777777" w:rsidR="0018518C" w:rsidRDefault="0018518C" w:rsidP="000055BF">
      <w:pPr>
        <w:spacing w:after="120"/>
        <w:ind w:left="288"/>
        <w:jc w:val="both"/>
        <w:rPr>
          <w:rFonts w:ascii="Avenir Next LT Pro" w:hAnsi="Avenir Next LT Pro" w:cstheme="minorHAnsi"/>
          <w:b/>
          <w:bCs/>
          <w:sz w:val="20"/>
          <w:szCs w:val="20"/>
          <w:lang w:eastAsia="en-GB"/>
        </w:rPr>
      </w:pPr>
    </w:p>
    <w:p w14:paraId="7758B11A" w14:textId="77777777" w:rsidR="0018518C" w:rsidRDefault="0018518C" w:rsidP="000055BF">
      <w:pPr>
        <w:spacing w:after="120"/>
        <w:ind w:left="288"/>
        <w:jc w:val="both"/>
        <w:rPr>
          <w:rFonts w:ascii="Avenir Next LT Pro" w:hAnsi="Avenir Next LT Pro" w:cstheme="minorHAnsi"/>
          <w:b/>
          <w:bCs/>
          <w:sz w:val="20"/>
          <w:szCs w:val="20"/>
          <w:lang w:eastAsia="en-GB"/>
        </w:rPr>
      </w:pPr>
    </w:p>
    <w:p w14:paraId="71D00CE9" w14:textId="6608B6C6" w:rsidR="001B7379" w:rsidRPr="0067103C" w:rsidRDefault="0067103C" w:rsidP="000055BF">
      <w:pPr>
        <w:spacing w:after="120"/>
        <w:ind w:left="288"/>
        <w:jc w:val="both"/>
        <w:rPr>
          <w:rFonts w:ascii="Avenir Next LT Pro" w:hAnsi="Avenir Next LT Pro" w:cstheme="minorHAnsi"/>
          <w:b/>
          <w:bCs/>
          <w:sz w:val="20"/>
          <w:szCs w:val="20"/>
          <w:lang w:eastAsia="en-GB"/>
        </w:rPr>
      </w:pPr>
      <w:r w:rsidRPr="0067103C">
        <w:rPr>
          <w:rFonts w:ascii="Avenir Next LT Pro" w:hAnsi="Avenir Next LT Pro" w:cstheme="minorHAnsi"/>
          <w:b/>
          <w:bCs/>
          <w:sz w:val="20"/>
          <w:szCs w:val="20"/>
          <w:lang w:eastAsia="en-GB"/>
        </w:rPr>
        <w:t>Plan d’évaluation du Projet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1303"/>
        <w:gridCol w:w="1154"/>
        <w:gridCol w:w="1333"/>
        <w:gridCol w:w="840"/>
        <w:gridCol w:w="1225"/>
        <w:gridCol w:w="1052"/>
        <w:gridCol w:w="1102"/>
      </w:tblGrid>
      <w:tr w:rsidR="0018518C" w:rsidRPr="0018518C" w14:paraId="60DC0ADB" w14:textId="77777777" w:rsidTr="0068224E">
        <w:trPr>
          <w:trHeight w:val="413"/>
        </w:trPr>
        <w:tc>
          <w:tcPr>
            <w:tcW w:w="1038" w:type="dxa"/>
            <w:vMerge w:val="restart"/>
            <w:shd w:val="clear" w:color="auto" w:fill="auto"/>
            <w:vAlign w:val="center"/>
          </w:tcPr>
          <w:p w14:paraId="455227BB"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Titre de l’évaluation</w:t>
            </w:r>
          </w:p>
        </w:tc>
        <w:tc>
          <w:tcPr>
            <w:tcW w:w="1345" w:type="dxa"/>
            <w:vMerge w:val="restart"/>
            <w:shd w:val="clear" w:color="auto" w:fill="auto"/>
            <w:vAlign w:val="center"/>
          </w:tcPr>
          <w:p w14:paraId="7BCB0586"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 xml:space="preserve">Partenaires </w:t>
            </w:r>
          </w:p>
        </w:tc>
        <w:tc>
          <w:tcPr>
            <w:tcW w:w="3336" w:type="dxa"/>
            <w:gridSpan w:val="3"/>
            <w:shd w:val="clear" w:color="auto" w:fill="auto"/>
            <w:vAlign w:val="center"/>
          </w:tcPr>
          <w:p w14:paraId="369FE8A8"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Éléments de référence</w:t>
            </w:r>
          </w:p>
        </w:tc>
        <w:tc>
          <w:tcPr>
            <w:tcW w:w="1207" w:type="dxa"/>
            <w:vMerge w:val="restart"/>
            <w:shd w:val="clear" w:color="auto" w:fill="auto"/>
            <w:vAlign w:val="center"/>
          </w:tcPr>
          <w:p w14:paraId="2FAD3BFD"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 xml:space="preserve">Date d’achèvement prévue </w:t>
            </w:r>
          </w:p>
        </w:tc>
        <w:tc>
          <w:tcPr>
            <w:tcW w:w="1039" w:type="dxa"/>
            <w:vMerge w:val="restart"/>
            <w:shd w:val="clear" w:color="auto" w:fill="auto"/>
            <w:vAlign w:val="center"/>
          </w:tcPr>
          <w:p w14:paraId="23E33347"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 xml:space="preserve">Parties prenantes clés de l’évaluation </w:t>
            </w:r>
          </w:p>
        </w:tc>
        <w:tc>
          <w:tcPr>
            <w:tcW w:w="1095" w:type="dxa"/>
            <w:vMerge w:val="restart"/>
            <w:shd w:val="clear" w:color="auto" w:fill="auto"/>
            <w:vAlign w:val="center"/>
          </w:tcPr>
          <w:p w14:paraId="5E32E084"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 xml:space="preserve">Coût et source du financement </w:t>
            </w:r>
          </w:p>
        </w:tc>
      </w:tr>
      <w:tr w:rsidR="0018518C" w:rsidRPr="0018518C" w14:paraId="78FD95CA" w14:textId="77777777" w:rsidTr="0068224E">
        <w:trPr>
          <w:trHeight w:val="412"/>
        </w:trPr>
        <w:tc>
          <w:tcPr>
            <w:tcW w:w="1038" w:type="dxa"/>
            <w:vMerge/>
            <w:shd w:val="clear" w:color="auto" w:fill="auto"/>
            <w:vAlign w:val="center"/>
          </w:tcPr>
          <w:p w14:paraId="74996AC4" w14:textId="77777777" w:rsidR="0018518C" w:rsidRPr="0018518C" w:rsidRDefault="0018518C" w:rsidP="0068224E">
            <w:pPr>
              <w:spacing w:after="0"/>
              <w:jc w:val="center"/>
              <w:rPr>
                <w:rFonts w:ascii="Avenir Next LT Pro" w:hAnsi="Avenir Next LT Pro" w:cstheme="minorHAnsi"/>
                <w:b/>
                <w:sz w:val="20"/>
                <w:szCs w:val="20"/>
                <w:lang w:val="fr-CA"/>
              </w:rPr>
            </w:pPr>
          </w:p>
        </w:tc>
        <w:tc>
          <w:tcPr>
            <w:tcW w:w="1345" w:type="dxa"/>
            <w:vMerge/>
            <w:shd w:val="clear" w:color="auto" w:fill="auto"/>
            <w:vAlign w:val="center"/>
          </w:tcPr>
          <w:p w14:paraId="3CA1E108" w14:textId="77777777" w:rsidR="0018518C" w:rsidRPr="0018518C" w:rsidRDefault="0018518C" w:rsidP="0068224E">
            <w:pPr>
              <w:spacing w:after="0"/>
              <w:jc w:val="center"/>
              <w:rPr>
                <w:rFonts w:ascii="Avenir Next LT Pro" w:hAnsi="Avenir Next LT Pro" w:cstheme="minorHAnsi"/>
                <w:b/>
                <w:sz w:val="20"/>
                <w:szCs w:val="20"/>
                <w:lang w:val="fr-CA"/>
              </w:rPr>
            </w:pPr>
          </w:p>
        </w:tc>
        <w:tc>
          <w:tcPr>
            <w:tcW w:w="1152" w:type="dxa"/>
            <w:shd w:val="clear" w:color="auto" w:fill="auto"/>
            <w:vAlign w:val="center"/>
          </w:tcPr>
          <w:p w14:paraId="2942C540"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Plan stratégique PNUD</w:t>
            </w:r>
          </w:p>
        </w:tc>
        <w:tc>
          <w:tcPr>
            <w:tcW w:w="1334" w:type="dxa"/>
            <w:shd w:val="clear" w:color="auto" w:fill="auto"/>
            <w:vAlign w:val="center"/>
          </w:tcPr>
          <w:p w14:paraId="0195FDD2"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UNSDCF</w:t>
            </w:r>
          </w:p>
        </w:tc>
        <w:tc>
          <w:tcPr>
            <w:tcW w:w="850" w:type="dxa"/>
            <w:shd w:val="clear" w:color="auto" w:fill="auto"/>
            <w:vAlign w:val="center"/>
          </w:tcPr>
          <w:p w14:paraId="72372565" w14:textId="77777777" w:rsidR="0018518C" w:rsidRPr="0018518C" w:rsidRDefault="0018518C" w:rsidP="0068224E">
            <w:pPr>
              <w:spacing w:after="0"/>
              <w:jc w:val="center"/>
              <w:rPr>
                <w:rFonts w:ascii="Avenir Next LT Pro" w:hAnsi="Avenir Next LT Pro" w:cstheme="minorHAnsi"/>
                <w:b/>
                <w:sz w:val="20"/>
                <w:szCs w:val="20"/>
                <w:lang w:val="fr-CA"/>
              </w:rPr>
            </w:pPr>
            <w:r w:rsidRPr="0018518C">
              <w:rPr>
                <w:rFonts w:ascii="Avenir Next LT Pro" w:hAnsi="Avenir Next LT Pro" w:cstheme="minorHAnsi"/>
                <w:b/>
                <w:sz w:val="20"/>
                <w:szCs w:val="20"/>
                <w:lang w:val="fr-CA"/>
              </w:rPr>
              <w:t>DPP</w:t>
            </w:r>
          </w:p>
        </w:tc>
        <w:tc>
          <w:tcPr>
            <w:tcW w:w="1207" w:type="dxa"/>
            <w:vMerge/>
            <w:shd w:val="clear" w:color="auto" w:fill="auto"/>
            <w:vAlign w:val="center"/>
          </w:tcPr>
          <w:p w14:paraId="48A2982A" w14:textId="77777777" w:rsidR="0018518C" w:rsidRPr="0018518C" w:rsidRDefault="0018518C" w:rsidP="0068224E">
            <w:pPr>
              <w:spacing w:after="0"/>
              <w:jc w:val="center"/>
              <w:rPr>
                <w:rFonts w:ascii="Avenir Next LT Pro" w:hAnsi="Avenir Next LT Pro" w:cstheme="minorHAnsi"/>
                <w:b/>
                <w:sz w:val="20"/>
                <w:szCs w:val="20"/>
                <w:lang w:val="fr-CA"/>
              </w:rPr>
            </w:pPr>
          </w:p>
        </w:tc>
        <w:tc>
          <w:tcPr>
            <w:tcW w:w="1039" w:type="dxa"/>
            <w:vMerge/>
            <w:shd w:val="clear" w:color="auto" w:fill="auto"/>
            <w:vAlign w:val="center"/>
          </w:tcPr>
          <w:p w14:paraId="20B46E08" w14:textId="77777777" w:rsidR="0018518C" w:rsidRPr="0018518C" w:rsidRDefault="0018518C" w:rsidP="0068224E">
            <w:pPr>
              <w:spacing w:after="0"/>
              <w:jc w:val="center"/>
              <w:rPr>
                <w:rFonts w:ascii="Avenir Next LT Pro" w:hAnsi="Avenir Next LT Pro" w:cstheme="minorHAnsi"/>
                <w:b/>
                <w:sz w:val="20"/>
                <w:szCs w:val="20"/>
                <w:lang w:val="fr-CA"/>
              </w:rPr>
            </w:pPr>
          </w:p>
        </w:tc>
        <w:tc>
          <w:tcPr>
            <w:tcW w:w="1095" w:type="dxa"/>
            <w:vMerge/>
            <w:shd w:val="clear" w:color="auto" w:fill="auto"/>
            <w:vAlign w:val="center"/>
          </w:tcPr>
          <w:p w14:paraId="44EDFC87" w14:textId="77777777" w:rsidR="0018518C" w:rsidRPr="0018518C" w:rsidRDefault="0018518C" w:rsidP="0068224E">
            <w:pPr>
              <w:spacing w:after="0"/>
              <w:jc w:val="center"/>
              <w:rPr>
                <w:rFonts w:ascii="Avenir Next LT Pro" w:hAnsi="Avenir Next LT Pro" w:cstheme="minorHAnsi"/>
                <w:b/>
                <w:sz w:val="20"/>
                <w:szCs w:val="20"/>
                <w:lang w:val="fr-CA"/>
              </w:rPr>
            </w:pPr>
          </w:p>
        </w:tc>
      </w:tr>
      <w:tr w:rsidR="0018518C" w:rsidRPr="0018518C" w14:paraId="6344BBB0" w14:textId="77777777" w:rsidTr="0068224E">
        <w:trPr>
          <w:trHeight w:val="440"/>
        </w:trPr>
        <w:tc>
          <w:tcPr>
            <w:tcW w:w="1038" w:type="dxa"/>
            <w:shd w:val="clear" w:color="auto" w:fill="auto"/>
            <w:vAlign w:val="center"/>
          </w:tcPr>
          <w:p w14:paraId="336862EA" w14:textId="77777777" w:rsidR="0018518C" w:rsidRPr="0018518C" w:rsidRDefault="0018518C" w:rsidP="0068224E">
            <w:pPr>
              <w:spacing w:after="0"/>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Évaluation à mi-parcours</w:t>
            </w:r>
          </w:p>
        </w:tc>
        <w:tc>
          <w:tcPr>
            <w:tcW w:w="1345" w:type="dxa"/>
            <w:shd w:val="clear" w:color="auto" w:fill="auto"/>
            <w:vAlign w:val="center"/>
          </w:tcPr>
          <w:p w14:paraId="46A780A7" w14:textId="77777777" w:rsidR="0018518C" w:rsidRPr="0018518C" w:rsidRDefault="0018518C" w:rsidP="0068224E">
            <w:pPr>
              <w:spacing w:after="0"/>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Ministères en charge de l’Environnement et PNUD</w:t>
            </w:r>
          </w:p>
        </w:tc>
        <w:tc>
          <w:tcPr>
            <w:tcW w:w="1152" w:type="dxa"/>
            <w:vMerge w:val="restart"/>
            <w:shd w:val="clear" w:color="auto" w:fill="auto"/>
            <w:vAlign w:val="center"/>
          </w:tcPr>
          <w:p w14:paraId="22FF51C0" w14:textId="77777777" w:rsidR="0018518C" w:rsidRPr="0018518C" w:rsidRDefault="0018518C" w:rsidP="0068224E">
            <w:pPr>
              <w:spacing w:after="0"/>
              <w:rPr>
                <w:rFonts w:ascii="Avenir Next LT Pro" w:hAnsi="Avenir Next LT Pro" w:cstheme="minorHAnsi"/>
                <w:sz w:val="20"/>
                <w:szCs w:val="20"/>
                <w:lang w:val="fr-CD"/>
              </w:rPr>
            </w:pPr>
            <w:r w:rsidRPr="0018518C">
              <w:rPr>
                <w:rFonts w:ascii="Avenir Next LT Pro" w:hAnsi="Avenir Next LT Pro" w:cstheme="minorHAnsi"/>
                <w:bCs/>
                <w:sz w:val="20"/>
                <w:szCs w:val="20"/>
                <w:lang w:val="fr-CD"/>
              </w:rPr>
              <w:t>Orientations du changement :</w:t>
            </w:r>
            <w:r w:rsidRPr="0018518C">
              <w:rPr>
                <w:rFonts w:ascii="Avenir Next LT Pro" w:hAnsi="Avenir Next LT Pro" w:cstheme="minorHAnsi"/>
                <w:sz w:val="20"/>
                <w:szCs w:val="20"/>
                <w:lang w:val="fr-CD"/>
              </w:rPr>
              <w:t xml:space="preserve"> </w:t>
            </w:r>
            <w:r w:rsidRPr="0018518C">
              <w:rPr>
                <w:rFonts w:ascii="Avenir Next LT Pro" w:hAnsi="Avenir Next LT Pro" w:cstheme="minorHAnsi"/>
                <w:i/>
                <w:iCs/>
                <w:sz w:val="20"/>
                <w:szCs w:val="20"/>
                <w:lang w:val="fr-CD" w:eastAsia="fr-CD"/>
              </w:rPr>
              <w:t>"Renforcer la résilience, en renforçant la capacité des pays et des institutions à prévenir les crises, les conflits, les catastrophes naturelles, les chocs climatiques, sociaux et économiq</w:t>
            </w:r>
            <w:r w:rsidRPr="0018518C">
              <w:rPr>
                <w:rFonts w:ascii="Avenir Next LT Pro" w:hAnsi="Avenir Next LT Pro" w:cstheme="minorHAnsi"/>
                <w:i/>
                <w:iCs/>
                <w:sz w:val="20"/>
                <w:szCs w:val="20"/>
                <w:lang w:val="fr-CD" w:eastAsia="fr-CD"/>
              </w:rPr>
              <w:lastRenderedPageBreak/>
              <w:t>ues, à en atténuer les effets et à y faire face".</w:t>
            </w:r>
          </w:p>
          <w:p w14:paraId="37EFE660" w14:textId="77777777" w:rsidR="0018518C" w:rsidRPr="0018518C" w:rsidRDefault="0018518C" w:rsidP="0068224E">
            <w:pPr>
              <w:spacing w:after="0"/>
              <w:rPr>
                <w:rFonts w:ascii="Avenir Next LT Pro" w:hAnsi="Avenir Next LT Pro" w:cstheme="minorHAnsi"/>
                <w:sz w:val="20"/>
                <w:szCs w:val="20"/>
                <w:lang w:val="fr-CD"/>
              </w:rPr>
            </w:pPr>
          </w:p>
          <w:p w14:paraId="0965D07D" w14:textId="77777777" w:rsidR="0018518C" w:rsidRPr="0018518C" w:rsidRDefault="0018518C" w:rsidP="0068224E">
            <w:pPr>
              <w:spacing w:after="0"/>
              <w:rPr>
                <w:rFonts w:ascii="Avenir Next LT Pro" w:hAnsi="Avenir Next LT Pro" w:cstheme="minorHAnsi"/>
                <w:sz w:val="20"/>
                <w:szCs w:val="20"/>
                <w:lang w:val="fr-CD"/>
              </w:rPr>
            </w:pPr>
          </w:p>
          <w:p w14:paraId="21FBF632" w14:textId="77777777" w:rsidR="0018518C" w:rsidRPr="0018518C" w:rsidRDefault="0018518C" w:rsidP="0068224E">
            <w:pPr>
              <w:spacing w:after="0"/>
              <w:rPr>
                <w:rFonts w:ascii="Avenir Next LT Pro" w:hAnsi="Avenir Next LT Pro" w:cstheme="minorHAnsi"/>
                <w:sz w:val="20"/>
                <w:szCs w:val="20"/>
                <w:lang w:val="fr-CD"/>
              </w:rPr>
            </w:pPr>
          </w:p>
          <w:p w14:paraId="5A20AB23" w14:textId="77777777" w:rsidR="0018518C" w:rsidRPr="0018518C" w:rsidRDefault="0018518C" w:rsidP="0068224E">
            <w:pPr>
              <w:spacing w:after="0"/>
              <w:rPr>
                <w:rFonts w:ascii="Avenir Next LT Pro" w:hAnsi="Avenir Next LT Pro" w:cstheme="minorHAnsi"/>
                <w:sz w:val="20"/>
                <w:szCs w:val="20"/>
                <w:lang w:val="fr-CD"/>
              </w:rPr>
            </w:pPr>
          </w:p>
          <w:p w14:paraId="325248CA" w14:textId="77777777" w:rsidR="0018518C" w:rsidRPr="0018518C" w:rsidRDefault="0018518C" w:rsidP="0068224E">
            <w:pPr>
              <w:spacing w:after="0"/>
              <w:rPr>
                <w:rFonts w:ascii="Avenir Next LT Pro" w:hAnsi="Avenir Next LT Pro" w:cstheme="minorHAnsi"/>
                <w:sz w:val="20"/>
                <w:szCs w:val="20"/>
                <w:lang w:val="fr-CD"/>
              </w:rPr>
            </w:pPr>
          </w:p>
          <w:p w14:paraId="19BF3684" w14:textId="77777777" w:rsidR="0018518C" w:rsidRPr="0018518C" w:rsidRDefault="0018518C" w:rsidP="0068224E">
            <w:pPr>
              <w:spacing w:after="0"/>
              <w:rPr>
                <w:rFonts w:ascii="Avenir Next LT Pro" w:hAnsi="Avenir Next LT Pro" w:cstheme="minorHAnsi"/>
                <w:sz w:val="20"/>
                <w:szCs w:val="20"/>
                <w:lang w:val="fr-CD"/>
              </w:rPr>
            </w:pPr>
          </w:p>
          <w:p w14:paraId="579B2438" w14:textId="77777777" w:rsidR="0018518C" w:rsidRPr="0018518C" w:rsidRDefault="0018518C" w:rsidP="0068224E">
            <w:pPr>
              <w:spacing w:after="0"/>
              <w:jc w:val="center"/>
              <w:rPr>
                <w:rFonts w:ascii="Avenir Next LT Pro" w:hAnsi="Avenir Next LT Pro" w:cstheme="minorHAnsi"/>
                <w:sz w:val="20"/>
                <w:szCs w:val="20"/>
                <w:lang w:val="fr-CD"/>
              </w:rPr>
            </w:pPr>
          </w:p>
        </w:tc>
        <w:tc>
          <w:tcPr>
            <w:tcW w:w="1334" w:type="dxa"/>
            <w:vMerge w:val="restart"/>
            <w:shd w:val="clear" w:color="auto" w:fill="auto"/>
            <w:vAlign w:val="center"/>
          </w:tcPr>
          <w:p w14:paraId="75C95002" w14:textId="77777777" w:rsidR="0018518C" w:rsidRPr="0018518C" w:rsidRDefault="0018518C" w:rsidP="0068224E">
            <w:pPr>
              <w:spacing w:after="0"/>
              <w:rPr>
                <w:rFonts w:ascii="Avenir Next LT Pro" w:hAnsi="Avenir Next LT Pro" w:cstheme="minorHAnsi"/>
                <w:sz w:val="20"/>
                <w:szCs w:val="20"/>
                <w:lang w:val="fr-CA"/>
              </w:rPr>
            </w:pPr>
            <w:r w:rsidRPr="0018518C">
              <w:rPr>
                <w:rFonts w:ascii="Avenir Next LT Pro" w:hAnsi="Avenir Next LT Pro" w:cstheme="minorHAnsi"/>
                <w:b/>
                <w:i/>
                <w:iCs/>
                <w:sz w:val="20"/>
                <w:szCs w:val="20"/>
                <w:lang w:val="fr-CD"/>
              </w:rPr>
              <w:lastRenderedPageBreak/>
              <w:t>Axe 2 :</w:t>
            </w:r>
            <w:r w:rsidRPr="0018518C">
              <w:rPr>
                <w:rFonts w:ascii="Avenir Next LT Pro" w:hAnsi="Avenir Next LT Pro" w:cstheme="minorHAnsi"/>
                <w:i/>
                <w:iCs/>
                <w:sz w:val="20"/>
                <w:szCs w:val="20"/>
                <w:lang w:val="fr-CD"/>
              </w:rPr>
              <w:t xml:space="preserve"> Croissance économique inclusive, développement agricole, capture du dividende démographique, protection et gestion durable des ressources naturelles</w:t>
            </w:r>
            <w:r w:rsidRPr="0018518C">
              <w:rPr>
                <w:rFonts w:ascii="Avenir Next LT Pro" w:hAnsi="Avenir Next LT Pro" w:cstheme="minorHAnsi"/>
                <w:sz w:val="20"/>
                <w:szCs w:val="20"/>
                <w:lang w:val="fr-CA"/>
              </w:rPr>
              <w:t xml:space="preserve"> </w:t>
            </w:r>
          </w:p>
          <w:p w14:paraId="470F4A7F" w14:textId="77777777" w:rsidR="0018518C" w:rsidRPr="0018518C" w:rsidRDefault="0018518C" w:rsidP="0068224E">
            <w:pPr>
              <w:spacing w:after="0"/>
              <w:rPr>
                <w:rFonts w:ascii="Avenir Next LT Pro" w:hAnsi="Avenir Next LT Pro" w:cstheme="minorHAnsi"/>
                <w:i/>
                <w:iCs/>
                <w:sz w:val="20"/>
                <w:szCs w:val="20"/>
                <w:lang w:val="fr-CD"/>
              </w:rPr>
            </w:pPr>
          </w:p>
          <w:p w14:paraId="30A9C806" w14:textId="77777777" w:rsidR="0018518C" w:rsidRPr="0018518C" w:rsidRDefault="0018518C" w:rsidP="0068224E">
            <w:pPr>
              <w:tabs>
                <w:tab w:val="left" w:pos="4680"/>
              </w:tabs>
              <w:spacing w:after="0"/>
              <w:rPr>
                <w:rFonts w:ascii="Avenir Next LT Pro" w:hAnsi="Avenir Next LT Pro" w:cstheme="minorHAnsi"/>
                <w:i/>
                <w:iCs/>
                <w:sz w:val="20"/>
                <w:szCs w:val="20"/>
                <w:lang w:val="fr-CD" w:eastAsia="fr-CD"/>
              </w:rPr>
            </w:pPr>
            <w:r w:rsidRPr="0018518C">
              <w:rPr>
                <w:rFonts w:ascii="Avenir Next LT Pro" w:hAnsi="Avenir Next LT Pro" w:cstheme="minorHAnsi"/>
                <w:b/>
                <w:sz w:val="20"/>
                <w:szCs w:val="20"/>
                <w:lang w:val="fr-CD" w:eastAsia="fr-FR"/>
              </w:rPr>
              <w:t>Effet 2.3</w:t>
            </w:r>
            <w:r w:rsidRPr="0018518C">
              <w:rPr>
                <w:rFonts w:ascii="Avenir Next LT Pro" w:hAnsi="Avenir Next LT Pro" w:cstheme="minorHAnsi"/>
                <w:sz w:val="20"/>
                <w:szCs w:val="20"/>
                <w:lang w:val="fr-CD"/>
              </w:rPr>
              <w:t xml:space="preserve"> : </w:t>
            </w:r>
            <w:r w:rsidRPr="0018518C">
              <w:rPr>
                <w:rFonts w:ascii="Avenir Next LT Pro" w:hAnsi="Avenir Next LT Pro" w:cstheme="minorHAnsi"/>
                <w:i/>
                <w:iCs/>
                <w:sz w:val="20"/>
                <w:szCs w:val="20"/>
                <w:lang w:val="fr-CD" w:eastAsia="fr-CD"/>
              </w:rPr>
              <w:t xml:space="preserve">D’ici 2024, les populations tirent profit d’une gestion responsable et durable des ressources </w:t>
            </w:r>
            <w:r w:rsidRPr="0018518C">
              <w:rPr>
                <w:rFonts w:ascii="Avenir Next LT Pro" w:hAnsi="Avenir Next LT Pro" w:cstheme="minorHAnsi"/>
                <w:i/>
                <w:iCs/>
                <w:sz w:val="20"/>
                <w:szCs w:val="20"/>
                <w:lang w:val="fr-CD" w:eastAsia="fr-CD"/>
              </w:rPr>
              <w:lastRenderedPageBreak/>
              <w:t>naturelles (forestières, minières, et foncières), par l’État, les entités décentralisées, les communautés, et le secteur privé, dans un contexte de changement climatique et de préservation de la biodiversité.</w:t>
            </w:r>
          </w:p>
          <w:p w14:paraId="7C6B5881" w14:textId="77777777" w:rsidR="0018518C" w:rsidRPr="0018518C" w:rsidRDefault="0018518C" w:rsidP="0068224E">
            <w:pPr>
              <w:spacing w:after="0"/>
              <w:rPr>
                <w:rFonts w:ascii="Avenir Next LT Pro" w:hAnsi="Avenir Next LT Pro" w:cstheme="minorHAnsi"/>
                <w:sz w:val="20"/>
                <w:szCs w:val="20"/>
                <w:lang w:val="fr-CD"/>
              </w:rPr>
            </w:pPr>
          </w:p>
          <w:p w14:paraId="3D2F5442" w14:textId="77777777" w:rsidR="0018518C" w:rsidRPr="0018518C" w:rsidRDefault="0018518C" w:rsidP="0068224E">
            <w:pPr>
              <w:spacing w:after="0"/>
              <w:rPr>
                <w:rFonts w:ascii="Avenir Next LT Pro" w:hAnsi="Avenir Next LT Pro" w:cstheme="minorHAnsi"/>
                <w:sz w:val="20"/>
                <w:szCs w:val="20"/>
                <w:lang w:val="fr-CA"/>
              </w:rPr>
            </w:pPr>
          </w:p>
          <w:p w14:paraId="5BC04A82" w14:textId="77777777" w:rsidR="0018518C" w:rsidRPr="0018518C" w:rsidRDefault="0018518C" w:rsidP="0068224E">
            <w:pPr>
              <w:spacing w:after="0"/>
              <w:rPr>
                <w:rFonts w:ascii="Avenir Next LT Pro" w:hAnsi="Avenir Next LT Pro" w:cstheme="minorHAnsi"/>
                <w:sz w:val="20"/>
                <w:szCs w:val="20"/>
                <w:lang w:val="fr-CA"/>
              </w:rPr>
            </w:pPr>
          </w:p>
          <w:p w14:paraId="7AF73198" w14:textId="77777777" w:rsidR="0018518C" w:rsidRPr="0018518C" w:rsidRDefault="0018518C" w:rsidP="0068224E">
            <w:pPr>
              <w:spacing w:after="0"/>
              <w:jc w:val="center"/>
              <w:rPr>
                <w:rFonts w:ascii="Avenir Next LT Pro" w:hAnsi="Avenir Next LT Pro" w:cstheme="minorHAnsi"/>
                <w:sz w:val="20"/>
                <w:szCs w:val="20"/>
                <w:lang w:val="fr-CA"/>
              </w:rPr>
            </w:pPr>
          </w:p>
        </w:tc>
        <w:tc>
          <w:tcPr>
            <w:tcW w:w="850" w:type="dxa"/>
            <w:vMerge w:val="restart"/>
            <w:shd w:val="clear" w:color="auto" w:fill="auto"/>
            <w:vAlign w:val="center"/>
          </w:tcPr>
          <w:p w14:paraId="78368249"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lastRenderedPageBreak/>
              <w:t xml:space="preserve">Outputs : </w:t>
            </w:r>
          </w:p>
          <w:p w14:paraId="5E312447"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2.1; 2.2; 2.4; 2.5</w:t>
            </w:r>
          </w:p>
        </w:tc>
        <w:tc>
          <w:tcPr>
            <w:tcW w:w="1207" w:type="dxa"/>
            <w:shd w:val="clear" w:color="auto" w:fill="auto"/>
            <w:vAlign w:val="center"/>
          </w:tcPr>
          <w:p w14:paraId="1E499814"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Décembre 2025</w:t>
            </w:r>
          </w:p>
        </w:tc>
        <w:tc>
          <w:tcPr>
            <w:tcW w:w="1039" w:type="dxa"/>
            <w:shd w:val="clear" w:color="auto" w:fill="auto"/>
            <w:vAlign w:val="center"/>
          </w:tcPr>
          <w:p w14:paraId="085BFA68"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Comité de pilotage, MEDD, PNUD</w:t>
            </w:r>
          </w:p>
        </w:tc>
        <w:tc>
          <w:tcPr>
            <w:tcW w:w="1095" w:type="dxa"/>
            <w:shd w:val="clear" w:color="auto" w:fill="auto"/>
            <w:vAlign w:val="center"/>
          </w:tcPr>
          <w:p w14:paraId="4BA211AA"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30, 000 $ E.U</w:t>
            </w:r>
          </w:p>
          <w:p w14:paraId="238C9534"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PNUD</w:t>
            </w:r>
          </w:p>
        </w:tc>
      </w:tr>
      <w:tr w:rsidR="0018518C" w:rsidRPr="0018518C" w14:paraId="718D4C1F" w14:textId="77777777" w:rsidTr="0068224E">
        <w:trPr>
          <w:trHeight w:val="440"/>
        </w:trPr>
        <w:tc>
          <w:tcPr>
            <w:tcW w:w="1038" w:type="dxa"/>
            <w:shd w:val="clear" w:color="auto" w:fill="auto"/>
            <w:vAlign w:val="center"/>
          </w:tcPr>
          <w:p w14:paraId="5EE139EF" w14:textId="77777777" w:rsidR="0018518C" w:rsidRPr="0018518C" w:rsidRDefault="0018518C" w:rsidP="0068224E">
            <w:pPr>
              <w:spacing w:after="0"/>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Évaluation finale</w:t>
            </w:r>
          </w:p>
        </w:tc>
        <w:tc>
          <w:tcPr>
            <w:tcW w:w="1345" w:type="dxa"/>
            <w:shd w:val="clear" w:color="auto" w:fill="auto"/>
            <w:vAlign w:val="center"/>
          </w:tcPr>
          <w:p w14:paraId="01786E5A" w14:textId="77777777" w:rsidR="0018518C" w:rsidRPr="0018518C" w:rsidRDefault="0018518C" w:rsidP="0068224E">
            <w:pPr>
              <w:spacing w:after="0"/>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Ministères en charge de l’Environnement et PNUD</w:t>
            </w:r>
          </w:p>
        </w:tc>
        <w:tc>
          <w:tcPr>
            <w:tcW w:w="1152" w:type="dxa"/>
            <w:vMerge/>
            <w:shd w:val="clear" w:color="auto" w:fill="auto"/>
            <w:vAlign w:val="center"/>
          </w:tcPr>
          <w:p w14:paraId="042E3516" w14:textId="77777777" w:rsidR="0018518C" w:rsidRPr="0018518C" w:rsidRDefault="0018518C" w:rsidP="0068224E">
            <w:pPr>
              <w:spacing w:after="0"/>
              <w:jc w:val="center"/>
              <w:rPr>
                <w:rFonts w:ascii="Avenir Next LT Pro" w:hAnsi="Avenir Next LT Pro" w:cstheme="minorHAnsi"/>
                <w:sz w:val="20"/>
                <w:szCs w:val="20"/>
                <w:lang w:val="fr-CA"/>
              </w:rPr>
            </w:pPr>
          </w:p>
        </w:tc>
        <w:tc>
          <w:tcPr>
            <w:tcW w:w="1334" w:type="dxa"/>
            <w:vMerge/>
            <w:shd w:val="clear" w:color="auto" w:fill="auto"/>
            <w:vAlign w:val="center"/>
          </w:tcPr>
          <w:p w14:paraId="7BB73DEB" w14:textId="77777777" w:rsidR="0018518C" w:rsidRPr="0018518C" w:rsidRDefault="0018518C" w:rsidP="0068224E">
            <w:pPr>
              <w:spacing w:after="0"/>
              <w:jc w:val="center"/>
              <w:rPr>
                <w:rFonts w:ascii="Avenir Next LT Pro" w:hAnsi="Avenir Next LT Pro" w:cstheme="minorHAnsi"/>
                <w:sz w:val="20"/>
                <w:szCs w:val="20"/>
                <w:lang w:val="fr-CA"/>
              </w:rPr>
            </w:pPr>
          </w:p>
        </w:tc>
        <w:tc>
          <w:tcPr>
            <w:tcW w:w="850" w:type="dxa"/>
            <w:vMerge/>
            <w:shd w:val="clear" w:color="auto" w:fill="auto"/>
            <w:vAlign w:val="center"/>
          </w:tcPr>
          <w:p w14:paraId="3FCF5D29" w14:textId="77777777" w:rsidR="0018518C" w:rsidRPr="0018518C" w:rsidRDefault="0018518C" w:rsidP="0068224E">
            <w:pPr>
              <w:spacing w:after="0"/>
              <w:jc w:val="center"/>
              <w:rPr>
                <w:rFonts w:ascii="Avenir Next LT Pro" w:hAnsi="Avenir Next LT Pro" w:cstheme="minorHAnsi"/>
                <w:sz w:val="20"/>
                <w:szCs w:val="20"/>
                <w:lang w:val="fr-CA"/>
              </w:rPr>
            </w:pPr>
          </w:p>
        </w:tc>
        <w:tc>
          <w:tcPr>
            <w:tcW w:w="1207" w:type="dxa"/>
            <w:shd w:val="clear" w:color="auto" w:fill="auto"/>
            <w:vAlign w:val="center"/>
          </w:tcPr>
          <w:p w14:paraId="1135C0FE"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Octobre 2024</w:t>
            </w:r>
          </w:p>
        </w:tc>
        <w:tc>
          <w:tcPr>
            <w:tcW w:w="1039" w:type="dxa"/>
            <w:shd w:val="clear" w:color="auto" w:fill="auto"/>
            <w:vAlign w:val="center"/>
          </w:tcPr>
          <w:p w14:paraId="5639949B"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Comité de pilotage, MEDD, PNUD</w:t>
            </w:r>
          </w:p>
        </w:tc>
        <w:tc>
          <w:tcPr>
            <w:tcW w:w="1095" w:type="dxa"/>
            <w:shd w:val="clear" w:color="auto" w:fill="auto"/>
            <w:vAlign w:val="center"/>
          </w:tcPr>
          <w:p w14:paraId="7A06F152"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30, 000 $ E.U</w:t>
            </w:r>
          </w:p>
          <w:p w14:paraId="7764D005" w14:textId="77777777" w:rsidR="0018518C" w:rsidRPr="0018518C" w:rsidRDefault="0018518C" w:rsidP="0068224E">
            <w:pPr>
              <w:spacing w:after="0"/>
              <w:jc w:val="center"/>
              <w:rPr>
                <w:rFonts w:ascii="Avenir Next LT Pro" w:hAnsi="Avenir Next LT Pro" w:cstheme="minorHAnsi"/>
                <w:sz w:val="20"/>
                <w:szCs w:val="20"/>
                <w:lang w:val="fr-CA"/>
              </w:rPr>
            </w:pPr>
            <w:r w:rsidRPr="0018518C">
              <w:rPr>
                <w:rFonts w:ascii="Avenir Next LT Pro" w:hAnsi="Avenir Next LT Pro" w:cstheme="minorHAnsi"/>
                <w:sz w:val="20"/>
                <w:szCs w:val="20"/>
                <w:lang w:val="fr-CA"/>
              </w:rPr>
              <w:t>PNUD</w:t>
            </w:r>
          </w:p>
        </w:tc>
      </w:tr>
    </w:tbl>
    <w:p w14:paraId="31DBD432" w14:textId="77777777" w:rsidR="004B7A2D" w:rsidRDefault="004B7A2D" w:rsidP="000055BF">
      <w:pPr>
        <w:spacing w:after="120"/>
        <w:ind w:left="288"/>
        <w:jc w:val="both"/>
        <w:rPr>
          <w:rFonts w:ascii="Avenir Next LT Pro" w:hAnsi="Avenir Next LT Pro" w:cstheme="minorHAnsi"/>
          <w:sz w:val="20"/>
          <w:szCs w:val="20"/>
          <w:lang w:eastAsia="en-GB"/>
        </w:rPr>
      </w:pPr>
    </w:p>
    <w:p w14:paraId="27A40D65" w14:textId="77777777" w:rsidR="004B7A2D" w:rsidRPr="002D5CF0" w:rsidRDefault="004B7A2D" w:rsidP="000055BF">
      <w:pPr>
        <w:spacing w:after="120"/>
        <w:ind w:left="288"/>
        <w:jc w:val="both"/>
        <w:rPr>
          <w:rFonts w:ascii="Avenir Next LT Pro" w:hAnsi="Avenir Next LT Pro" w:cstheme="minorHAnsi"/>
          <w:sz w:val="20"/>
          <w:szCs w:val="20"/>
          <w:lang w:eastAsia="en-GB"/>
        </w:rPr>
      </w:pPr>
    </w:p>
    <w:tbl>
      <w:tblPr>
        <w:tblStyle w:val="Grilledutableau"/>
        <w:tblW w:w="0" w:type="auto"/>
        <w:tblLook w:val="04A0" w:firstRow="1" w:lastRow="0" w:firstColumn="1" w:lastColumn="0" w:noHBand="0" w:noVBand="1"/>
      </w:tblPr>
      <w:tblGrid>
        <w:gridCol w:w="9060"/>
      </w:tblGrid>
      <w:tr w:rsidR="005874C1" w:rsidRPr="00C345C4" w14:paraId="1C6E4B87" w14:textId="77777777" w:rsidTr="78B8B380">
        <w:tc>
          <w:tcPr>
            <w:tcW w:w="9060" w:type="dxa"/>
          </w:tcPr>
          <w:p w14:paraId="420FB0A7" w14:textId="2C408AE2" w:rsidR="007C2459" w:rsidRPr="001C565C" w:rsidRDefault="00AE0FA9" w:rsidP="001C565C">
            <w:pPr>
              <w:pStyle w:val="paragraph"/>
              <w:spacing w:before="60" w:beforeAutospacing="0" w:after="120" w:afterAutospacing="0"/>
              <w:jc w:val="both"/>
              <w:textAlignment w:val="baseline"/>
              <w:rPr>
                <w:rStyle w:val="eop"/>
                <w:rFonts w:ascii="Avenir Next LT Pro" w:eastAsia="Calibri" w:hAnsi="Avenir Next LT Pro" w:cstheme="minorHAnsi"/>
                <w:sz w:val="20"/>
                <w:szCs w:val="20"/>
                <w:lang w:val="fr-FR"/>
              </w:rPr>
            </w:pPr>
            <w:r w:rsidRPr="00C345C4">
              <w:rPr>
                <w:rStyle w:val="normaltextrun"/>
                <w:rFonts w:ascii="Avenir Next LT Pro" w:eastAsia="Calibri" w:hAnsi="Avenir Next LT Pro" w:cstheme="minorHAnsi"/>
                <w:sz w:val="20"/>
                <w:szCs w:val="20"/>
                <w:lang w:val="fr-FR"/>
              </w:rPr>
              <w:t>Le</w:t>
            </w:r>
            <w:r w:rsidR="007C2459" w:rsidRPr="00C345C4">
              <w:rPr>
                <w:rStyle w:val="normaltextrun"/>
                <w:rFonts w:ascii="Avenir Next LT Pro" w:eastAsia="Calibri" w:hAnsi="Avenir Next LT Pro" w:cstheme="minorHAnsi"/>
                <w:sz w:val="20"/>
                <w:szCs w:val="20"/>
                <w:lang w:val="fr-FR"/>
              </w:rPr>
              <w:t xml:space="preserve"> projet fournira </w:t>
            </w:r>
            <w:r w:rsidR="00A51189">
              <w:rPr>
                <w:rStyle w:val="normaltextrun"/>
                <w:rFonts w:ascii="Avenir Next LT Pro" w:eastAsia="Calibri" w:hAnsi="Avenir Next LT Pro" w:cstheme="minorHAnsi"/>
                <w:sz w:val="20"/>
                <w:szCs w:val="20"/>
                <w:lang w:val="fr-FR"/>
              </w:rPr>
              <w:t>à</w:t>
            </w:r>
            <w:r w:rsidR="00A51189">
              <w:rPr>
                <w:rStyle w:val="normaltextrun"/>
                <w:rFonts w:ascii="Avenir Next LT Pro" w:eastAsia="Calibri" w:hAnsi="Avenir Next LT Pro" w:cstheme="minorHAnsi"/>
                <w:lang w:val="fr-FR"/>
              </w:rPr>
              <w:t xml:space="preserve"> </w:t>
            </w:r>
            <w:r w:rsidR="007C2459" w:rsidRPr="00C345C4">
              <w:rPr>
                <w:rStyle w:val="normaltextrun"/>
                <w:rFonts w:ascii="Avenir Next LT Pro" w:eastAsia="Calibri" w:hAnsi="Avenir Next LT Pro" w:cstheme="minorHAnsi"/>
                <w:sz w:val="20"/>
                <w:szCs w:val="20"/>
                <w:lang w:val="fr-FR"/>
              </w:rPr>
              <w:t>CAFI</w:t>
            </w:r>
            <w:r w:rsidR="00BF3B7E" w:rsidRPr="00C345C4">
              <w:rPr>
                <w:rStyle w:val="normaltextrun"/>
                <w:rFonts w:ascii="Avenir Next LT Pro" w:eastAsia="Calibri" w:hAnsi="Avenir Next LT Pro" w:cstheme="minorHAnsi"/>
                <w:sz w:val="20"/>
                <w:szCs w:val="20"/>
                <w:lang w:val="fr-FR"/>
              </w:rPr>
              <w:t xml:space="preserve"> </w:t>
            </w:r>
            <w:r w:rsidR="00BF3B7E" w:rsidRPr="00C345C4">
              <w:rPr>
                <w:rFonts w:ascii="Avenir Next LT Pro" w:hAnsi="Avenir Next LT Pro" w:cstheme="minorHAnsi"/>
                <w:sz w:val="20"/>
                <w:szCs w:val="20"/>
                <w:lang w:val="fr-FR"/>
              </w:rPr>
              <w:t>et FONAREDD</w:t>
            </w:r>
            <w:r w:rsidR="007C2459" w:rsidRPr="00C345C4">
              <w:rPr>
                <w:rStyle w:val="normaltextrun"/>
                <w:rFonts w:ascii="Avenir Next LT Pro" w:eastAsia="Calibri" w:hAnsi="Avenir Next LT Pro" w:cstheme="minorHAnsi"/>
                <w:sz w:val="20"/>
                <w:szCs w:val="20"/>
                <w:lang w:val="fr-FR"/>
              </w:rPr>
              <w:t>,</w:t>
            </w:r>
            <w:r w:rsidR="00F12B4A" w:rsidRPr="00C345C4">
              <w:rPr>
                <w:rStyle w:val="normaltextrun"/>
                <w:rFonts w:ascii="Avenir Next LT Pro" w:eastAsia="Calibri" w:hAnsi="Avenir Next LT Pro" w:cstheme="minorHAnsi"/>
                <w:sz w:val="20"/>
                <w:szCs w:val="20"/>
                <w:lang w:val="fr-FR"/>
              </w:rPr>
              <w:t xml:space="preserve"> </w:t>
            </w:r>
            <w:r w:rsidR="00941AC4" w:rsidRPr="00941AC4">
              <w:rPr>
                <w:rStyle w:val="normaltextrun"/>
                <w:rFonts w:ascii="Avenir Next LT Pro" w:eastAsia="Calibri" w:hAnsi="Avenir Next LT Pro" w:cstheme="minorHAnsi"/>
                <w:i/>
                <w:iCs/>
                <w:sz w:val="20"/>
                <w:szCs w:val="20"/>
                <w:lang w:val="fr-FR"/>
              </w:rPr>
              <w:t>a</w:t>
            </w:r>
            <w:r w:rsidR="00F12B4A" w:rsidRPr="00941AC4">
              <w:rPr>
                <w:rStyle w:val="normaltextrun"/>
                <w:rFonts w:ascii="Avenir Next LT Pro" w:eastAsia="Calibri" w:hAnsi="Avenir Next LT Pro" w:cstheme="minorHAnsi"/>
                <w:i/>
                <w:sz w:val="20"/>
                <w:szCs w:val="20"/>
                <w:lang w:val="fr-FR"/>
              </w:rPr>
              <w:t xml:space="preserve"> minima</w:t>
            </w:r>
            <w:r w:rsidR="007C2459" w:rsidRPr="00C345C4">
              <w:rPr>
                <w:rStyle w:val="normaltextrun"/>
                <w:rFonts w:ascii="Avenir Next LT Pro" w:eastAsia="Calibri" w:hAnsi="Avenir Next LT Pro" w:cstheme="minorHAnsi"/>
                <w:sz w:val="20"/>
                <w:szCs w:val="20"/>
                <w:lang w:val="fr-FR"/>
              </w:rPr>
              <w:t xml:space="preserve"> tous les ans, toutes les données, informations, analyses techniques, méthodologies ainsi </w:t>
            </w:r>
            <w:r w:rsidR="004A6E05" w:rsidRPr="00C345C4">
              <w:rPr>
                <w:rStyle w:val="normaltextrun"/>
                <w:rFonts w:ascii="Avenir Next LT Pro" w:eastAsia="Calibri" w:hAnsi="Avenir Next LT Pro" w:cstheme="minorHAnsi"/>
                <w:sz w:val="20"/>
                <w:szCs w:val="20"/>
                <w:lang w:val="fr-FR"/>
              </w:rPr>
              <w:t xml:space="preserve">que </w:t>
            </w:r>
            <w:r w:rsidR="009A3993" w:rsidRPr="00C345C4">
              <w:rPr>
                <w:rStyle w:val="normaltextrun"/>
                <w:rFonts w:ascii="Avenir Next LT Pro" w:eastAsia="Calibri" w:hAnsi="Avenir Next LT Pro" w:cstheme="minorHAnsi"/>
                <w:sz w:val="20"/>
                <w:szCs w:val="20"/>
                <w:lang w:val="fr-FR"/>
              </w:rPr>
              <w:t xml:space="preserve">toutes les </w:t>
            </w:r>
            <w:r w:rsidR="007C2459" w:rsidRPr="00C345C4">
              <w:rPr>
                <w:rStyle w:val="normaltextrun"/>
                <w:rFonts w:ascii="Avenir Next LT Pro" w:eastAsia="Calibri" w:hAnsi="Avenir Next LT Pro" w:cstheme="minorHAnsi"/>
                <w:sz w:val="20"/>
                <w:szCs w:val="20"/>
                <w:lang w:val="fr-FR"/>
              </w:rPr>
              <w:t>photos et vidéos générées par le projet</w:t>
            </w:r>
            <w:r w:rsidR="00DD33F1">
              <w:rPr>
                <w:rStyle w:val="normaltextrun"/>
                <w:rFonts w:ascii="Avenir Next LT Pro" w:eastAsia="Calibri" w:hAnsi="Avenir Next LT Pro" w:cstheme="minorHAnsi"/>
                <w:sz w:val="20"/>
                <w:szCs w:val="20"/>
                <w:lang w:val="fr-FR"/>
              </w:rPr>
              <w:t>.</w:t>
            </w:r>
            <w:r w:rsidR="007C2459" w:rsidRPr="00C345C4">
              <w:rPr>
                <w:rStyle w:val="normaltextrun"/>
                <w:rFonts w:ascii="Avenir Next LT Pro" w:eastAsia="Calibri" w:hAnsi="Avenir Next LT Pro" w:cstheme="minorHAnsi"/>
                <w:b/>
                <w:bCs/>
                <w:sz w:val="20"/>
                <w:szCs w:val="20"/>
                <w:lang w:val="fr-FR"/>
              </w:rPr>
              <w:t xml:space="preserve"> </w:t>
            </w:r>
            <w:r w:rsidR="007C2459" w:rsidRPr="00C345C4">
              <w:rPr>
                <w:rStyle w:val="normaltextrun"/>
                <w:rFonts w:ascii="Avenir Next LT Pro" w:eastAsia="Calibri" w:hAnsi="Avenir Next LT Pro" w:cstheme="minorHAnsi"/>
                <w:sz w:val="20"/>
                <w:szCs w:val="20"/>
                <w:lang w:val="fr-FR"/>
              </w:rPr>
              <w:t xml:space="preserve">Cela inclut toutes les données brutes et traitées issues des enquêtes et </w:t>
            </w:r>
            <w:r w:rsidR="009A3993" w:rsidRPr="00C345C4">
              <w:rPr>
                <w:rStyle w:val="normaltextrun"/>
                <w:rFonts w:ascii="Avenir Next LT Pro" w:eastAsia="Calibri" w:hAnsi="Avenir Next LT Pro" w:cstheme="minorHAnsi"/>
                <w:sz w:val="20"/>
                <w:szCs w:val="20"/>
                <w:lang w:val="fr-FR"/>
              </w:rPr>
              <w:t xml:space="preserve">des </w:t>
            </w:r>
            <w:r w:rsidR="007C2459" w:rsidRPr="00C345C4">
              <w:rPr>
                <w:rStyle w:val="normaltextrun"/>
                <w:rFonts w:ascii="Avenir Next LT Pro" w:eastAsia="Calibri" w:hAnsi="Avenir Next LT Pro" w:cstheme="minorHAnsi"/>
                <w:sz w:val="20"/>
                <w:szCs w:val="20"/>
                <w:lang w:val="fr-FR"/>
              </w:rPr>
              <w:t>études (</w:t>
            </w:r>
            <w:r w:rsidR="009379B4">
              <w:rPr>
                <w:rStyle w:val="normaltextrun"/>
                <w:rFonts w:ascii="Avenir Next LT Pro" w:eastAsia="Calibri" w:hAnsi="Avenir Next LT Pro" w:cstheme="minorHAnsi"/>
                <w:sz w:val="20"/>
                <w:szCs w:val="20"/>
                <w:lang w:val="fr-FR"/>
              </w:rPr>
              <w:t>enquêtes/</w:t>
            </w:r>
            <w:r w:rsidR="007C2459" w:rsidRPr="00C345C4">
              <w:rPr>
                <w:rStyle w:val="normaltextrun"/>
                <w:rFonts w:ascii="Avenir Next LT Pro" w:eastAsia="Calibri" w:hAnsi="Avenir Next LT Pro" w:cstheme="minorHAnsi"/>
                <w:sz w:val="20"/>
                <w:szCs w:val="20"/>
                <w:lang w:val="fr-FR"/>
              </w:rPr>
              <w:t>sondage</w:t>
            </w:r>
            <w:r w:rsidR="00535CF7">
              <w:rPr>
                <w:rStyle w:val="normaltextrun"/>
                <w:rFonts w:ascii="Avenir Next LT Pro" w:eastAsia="Calibri" w:hAnsi="Avenir Next LT Pro" w:cstheme="minorHAnsi"/>
                <w:sz w:val="20"/>
                <w:szCs w:val="20"/>
                <w:lang w:val="fr-FR"/>
              </w:rPr>
              <w:t>s</w:t>
            </w:r>
            <w:r w:rsidR="007C2459" w:rsidRPr="00C345C4">
              <w:rPr>
                <w:rStyle w:val="normaltextrun"/>
                <w:rFonts w:ascii="Avenir Next LT Pro" w:eastAsia="Calibri" w:hAnsi="Avenir Next LT Pro" w:cstheme="minorHAnsi"/>
                <w:sz w:val="20"/>
                <w:szCs w:val="20"/>
                <w:lang w:val="fr-FR"/>
              </w:rPr>
              <w:t xml:space="preserve"> des ménages, études des moteurs de déforestation, études de filières, etc</w:t>
            </w:r>
            <w:r w:rsidR="009A3993" w:rsidRPr="00C345C4">
              <w:rPr>
                <w:rStyle w:val="normaltextrun"/>
                <w:rFonts w:ascii="Avenir Next LT Pro" w:eastAsia="Calibri" w:hAnsi="Avenir Next LT Pro" w:cstheme="minorHAnsi"/>
                <w:sz w:val="20"/>
                <w:szCs w:val="20"/>
                <w:lang w:val="fr-FR"/>
              </w:rPr>
              <w:t>.</w:t>
            </w:r>
            <w:r w:rsidR="007C2459" w:rsidRPr="00C345C4">
              <w:rPr>
                <w:rStyle w:val="normaltextrun"/>
                <w:rFonts w:ascii="Avenir Next LT Pro" w:eastAsia="Calibri" w:hAnsi="Avenir Next LT Pro" w:cstheme="minorHAnsi"/>
                <w:sz w:val="20"/>
                <w:szCs w:val="20"/>
                <w:lang w:val="fr-FR"/>
              </w:rPr>
              <w:t xml:space="preserve">), les données issues du suivi et </w:t>
            </w:r>
            <w:r w:rsidR="009A3993" w:rsidRPr="00C345C4">
              <w:rPr>
                <w:rStyle w:val="normaltextrun"/>
                <w:rFonts w:ascii="Avenir Next LT Pro" w:eastAsia="Calibri" w:hAnsi="Avenir Next LT Pro" w:cstheme="minorHAnsi"/>
                <w:sz w:val="20"/>
                <w:szCs w:val="20"/>
                <w:lang w:val="fr-FR"/>
              </w:rPr>
              <w:t>de l’</w:t>
            </w:r>
            <w:r w:rsidR="007C2459" w:rsidRPr="00C345C4">
              <w:rPr>
                <w:rStyle w:val="normaltextrun"/>
                <w:rFonts w:ascii="Avenir Next LT Pro" w:eastAsia="Calibri" w:hAnsi="Avenir Next LT Pro" w:cstheme="minorHAnsi"/>
                <w:sz w:val="20"/>
                <w:szCs w:val="20"/>
                <w:lang w:val="fr-FR"/>
              </w:rPr>
              <w:t xml:space="preserve">évaluation des activités, y compris les informations </w:t>
            </w:r>
            <w:r w:rsidR="009A3993" w:rsidRPr="00C345C4">
              <w:rPr>
                <w:rStyle w:val="normaltextrun"/>
                <w:rFonts w:ascii="Avenir Next LT Pro" w:eastAsia="Calibri" w:hAnsi="Avenir Next LT Pro" w:cstheme="minorHAnsi"/>
                <w:sz w:val="20"/>
                <w:szCs w:val="20"/>
                <w:lang w:val="fr-FR"/>
              </w:rPr>
              <w:t>spatiales</w:t>
            </w:r>
            <w:r w:rsidR="007C2459" w:rsidRPr="00C345C4">
              <w:rPr>
                <w:rStyle w:val="normaltextrun"/>
                <w:rFonts w:ascii="Avenir Next LT Pro" w:eastAsia="Calibri" w:hAnsi="Avenir Next LT Pro" w:cstheme="minorHAnsi"/>
                <w:sz w:val="20"/>
                <w:szCs w:val="20"/>
                <w:lang w:val="fr-FR"/>
              </w:rPr>
              <w:t xml:space="preserve"> (c’est-à-dire les coordonnées GPS</w:t>
            </w:r>
            <w:r w:rsidR="002E7925">
              <w:rPr>
                <w:rStyle w:val="normaltextrun"/>
                <w:rFonts w:ascii="Avenir Next LT Pro" w:eastAsia="Calibri" w:hAnsi="Avenir Next LT Pro" w:cstheme="minorHAnsi"/>
                <w:sz w:val="20"/>
                <w:szCs w:val="20"/>
                <w:lang w:val="fr-FR"/>
              </w:rPr>
              <w:t xml:space="preserve"> </w:t>
            </w:r>
            <w:r w:rsidR="002E7925" w:rsidRPr="002E7925">
              <w:rPr>
                <w:rStyle w:val="normaltextrun"/>
                <w:rFonts w:ascii="Avenir Next LT Pro" w:eastAsia="Calibri" w:hAnsi="Avenir Next LT Pro" w:cstheme="minorHAnsi"/>
                <w:sz w:val="20"/>
                <w:szCs w:val="20"/>
                <w:lang w:val="fr-FR"/>
              </w:rPr>
              <w:t>et shapefiles</w:t>
            </w:r>
            <w:r w:rsidR="007C2459" w:rsidRPr="00C345C4">
              <w:rPr>
                <w:rStyle w:val="normaltextrun"/>
                <w:rFonts w:ascii="Avenir Next LT Pro" w:eastAsia="Calibri" w:hAnsi="Avenir Next LT Pro" w:cstheme="minorHAnsi"/>
                <w:sz w:val="20"/>
                <w:szCs w:val="20"/>
                <w:lang w:val="fr-FR"/>
              </w:rPr>
              <w:t>) associées</w:t>
            </w:r>
            <w:r w:rsidR="001C565C">
              <w:rPr>
                <w:rStyle w:val="normaltextrun"/>
                <w:rFonts w:ascii="Avenir Next LT Pro" w:eastAsia="Calibri" w:hAnsi="Avenir Next LT Pro" w:cstheme="minorHAnsi"/>
                <w:sz w:val="20"/>
                <w:szCs w:val="20"/>
                <w:lang w:val="fr-FR"/>
              </w:rPr>
              <w:t xml:space="preserve"> ainsi que des photos géoréférencées des divers résultats PSE</w:t>
            </w:r>
            <w:r w:rsidR="002E7925">
              <w:rPr>
                <w:rStyle w:val="normaltextrun"/>
                <w:rFonts w:ascii="Avenir Next LT Pro" w:eastAsia="Calibri" w:hAnsi="Avenir Next LT Pro" w:cstheme="minorHAnsi"/>
                <w:sz w:val="20"/>
                <w:szCs w:val="20"/>
                <w:lang w:val="fr-FR"/>
              </w:rPr>
              <w:t xml:space="preserve"> </w:t>
            </w:r>
            <w:r w:rsidR="001C565C">
              <w:rPr>
                <w:rStyle w:val="normaltextrun"/>
                <w:rFonts w:ascii="Avenir Next LT Pro" w:eastAsia="Calibri" w:hAnsi="Avenir Next LT Pro" w:cstheme="minorHAnsi"/>
                <w:sz w:val="20"/>
                <w:szCs w:val="20"/>
                <w:lang w:val="fr-FR"/>
              </w:rPr>
              <w:t>rapportés</w:t>
            </w:r>
            <w:r w:rsidR="007C2459" w:rsidRPr="00C345C4">
              <w:rPr>
                <w:rStyle w:val="normaltextrun"/>
                <w:rFonts w:ascii="Avenir Next LT Pro" w:eastAsia="Calibri" w:hAnsi="Avenir Next LT Pro" w:cstheme="minorHAnsi"/>
                <w:sz w:val="20"/>
                <w:szCs w:val="20"/>
                <w:lang w:val="fr-FR"/>
              </w:rPr>
              <w:t>.</w:t>
            </w:r>
            <w:r w:rsidR="007C2459" w:rsidRPr="00C345C4">
              <w:rPr>
                <w:rStyle w:val="eop"/>
                <w:rFonts w:ascii="Avenir Next LT Pro" w:hAnsi="Avenir Next LT Pro" w:cstheme="minorHAnsi"/>
                <w:sz w:val="20"/>
                <w:szCs w:val="20"/>
                <w:lang w:val="fr-FR"/>
              </w:rPr>
              <w:t> </w:t>
            </w:r>
          </w:p>
          <w:p w14:paraId="067C50E6" w14:textId="5BA1EBD6" w:rsidR="007C2459" w:rsidRPr="00DB0EC4" w:rsidRDefault="007C2459" w:rsidP="269B353C">
            <w:pPr>
              <w:pStyle w:val="paragraph"/>
              <w:spacing w:before="60" w:beforeAutospacing="0" w:after="120" w:afterAutospacing="0"/>
              <w:jc w:val="both"/>
              <w:textAlignment w:val="baseline"/>
              <w:rPr>
                <w:rStyle w:val="normaltextrun"/>
                <w:rFonts w:ascii="Avenir Next LT Pro" w:eastAsia="Calibri" w:hAnsi="Avenir Next LT Pro" w:cstheme="minorBidi"/>
                <w:sz w:val="20"/>
                <w:szCs w:val="20"/>
                <w:lang w:val="fr-FR"/>
              </w:rPr>
            </w:pPr>
            <w:r w:rsidRPr="269B353C">
              <w:rPr>
                <w:rStyle w:val="normaltextrun"/>
                <w:rFonts w:ascii="Avenir Next LT Pro" w:eastAsia="Calibri" w:hAnsi="Avenir Next LT Pro" w:cstheme="minorBidi"/>
                <w:sz w:val="20"/>
                <w:szCs w:val="20"/>
                <w:lang w:val="fr-FR"/>
              </w:rPr>
              <w:t>Pour un suivi-évaluation robuste et efficace des activités et de leurs résultats, le projet se dote d’une capacité de collecte et de traitement des données spatiales (géoréférencées) des activités pertinentes du projet.</w:t>
            </w:r>
            <w:r w:rsidR="025D6D70" w:rsidRPr="269B353C">
              <w:rPr>
                <w:rStyle w:val="normaltextrun"/>
                <w:rFonts w:ascii="Avenir Next LT Pro" w:eastAsia="Calibri" w:hAnsi="Avenir Next LT Pro" w:cstheme="minorBidi"/>
                <w:sz w:val="20"/>
                <w:szCs w:val="20"/>
                <w:lang w:val="fr-FR"/>
              </w:rPr>
              <w:t xml:space="preserve"> </w:t>
            </w:r>
            <w:r w:rsidR="49B25F49" w:rsidRPr="269B353C">
              <w:rPr>
                <w:rStyle w:val="normaltextrun"/>
                <w:rFonts w:ascii="Avenir Next LT Pro" w:eastAsia="Calibri" w:hAnsi="Avenir Next LT Pro" w:cstheme="minorBidi"/>
                <w:sz w:val="20"/>
                <w:szCs w:val="20"/>
                <w:lang w:val="fr-FR"/>
              </w:rPr>
              <w:t xml:space="preserve">Les données relatives </w:t>
            </w:r>
            <w:r w:rsidR="008A2B99">
              <w:rPr>
                <w:rStyle w:val="normaltextrun"/>
                <w:rFonts w:ascii="Avenir Next LT Pro" w:eastAsia="Calibri" w:hAnsi="Avenir Next LT Pro" w:cstheme="minorBidi"/>
                <w:sz w:val="20"/>
                <w:szCs w:val="20"/>
                <w:lang w:val="fr-FR"/>
              </w:rPr>
              <w:t>liées à l’utilisation des terres, y compris les PSE,</w:t>
            </w:r>
            <w:r w:rsidR="49B25F49" w:rsidRPr="269B353C">
              <w:rPr>
                <w:rStyle w:val="normaltextrun"/>
                <w:rFonts w:ascii="Avenir Next LT Pro" w:eastAsia="Calibri" w:hAnsi="Avenir Next LT Pro" w:cstheme="minorBidi"/>
                <w:sz w:val="20"/>
                <w:szCs w:val="20"/>
                <w:lang w:val="fr-FR"/>
              </w:rPr>
              <w:t xml:space="preserve"> devront obligatoirement suivre le canevas de rapportage </w:t>
            </w:r>
            <w:r w:rsidR="2ACE81FA" w:rsidRPr="269B353C">
              <w:rPr>
                <w:rStyle w:val="normaltextrun"/>
                <w:rFonts w:ascii="Avenir Next LT Pro" w:eastAsia="Calibri" w:hAnsi="Avenir Next LT Pro" w:cstheme="minorBidi"/>
                <w:sz w:val="20"/>
                <w:szCs w:val="20"/>
                <w:lang w:val="fr-FR"/>
              </w:rPr>
              <w:t xml:space="preserve">fournis par le Secrétariat </w:t>
            </w:r>
            <w:r w:rsidR="15B4EDA8" w:rsidRPr="269B353C">
              <w:rPr>
                <w:rStyle w:val="normaltextrun"/>
                <w:rFonts w:ascii="Avenir Next LT Pro" w:eastAsia="Calibri" w:hAnsi="Avenir Next LT Pro" w:cstheme="minorBidi"/>
                <w:sz w:val="20"/>
                <w:szCs w:val="20"/>
                <w:lang w:val="fr-FR"/>
              </w:rPr>
              <w:t xml:space="preserve">CAFI (et </w:t>
            </w:r>
            <w:r w:rsidR="2ACE81FA" w:rsidRPr="269B353C">
              <w:rPr>
                <w:rStyle w:val="normaltextrun"/>
                <w:rFonts w:ascii="Avenir Next LT Pro" w:eastAsia="Calibri" w:hAnsi="Avenir Next LT Pro" w:cstheme="minorBidi"/>
                <w:sz w:val="20"/>
                <w:szCs w:val="20"/>
                <w:lang w:val="fr-FR"/>
              </w:rPr>
              <w:t>FONAREDD</w:t>
            </w:r>
            <w:r w:rsidR="15B4EDA8" w:rsidRPr="269B353C">
              <w:rPr>
                <w:rStyle w:val="normaltextrun"/>
                <w:rFonts w:ascii="Avenir Next LT Pro" w:eastAsia="Calibri" w:hAnsi="Avenir Next LT Pro" w:cstheme="minorBidi"/>
                <w:sz w:val="20"/>
                <w:szCs w:val="20"/>
                <w:lang w:val="fr-FR"/>
              </w:rPr>
              <w:t xml:space="preserve"> en RDC)</w:t>
            </w:r>
            <w:r w:rsidR="7CEC999B" w:rsidRPr="269B353C">
              <w:rPr>
                <w:rStyle w:val="normaltextrun"/>
                <w:rFonts w:ascii="Avenir Next LT Pro" w:eastAsia="Calibri" w:hAnsi="Avenir Next LT Pro" w:cstheme="minorBidi"/>
                <w:sz w:val="20"/>
                <w:szCs w:val="20"/>
                <w:lang w:val="fr-FR"/>
              </w:rPr>
              <w:t xml:space="preserve">. </w:t>
            </w:r>
            <w:r w:rsidR="002A3F2A">
              <w:rPr>
                <w:rStyle w:val="normaltextrun"/>
                <w:rFonts w:ascii="Avenir Next LT Pro" w:eastAsia="Calibri" w:hAnsi="Avenir Next LT Pro" w:cstheme="minorBidi"/>
                <w:sz w:val="20"/>
                <w:szCs w:val="20"/>
                <w:lang w:val="fr-FR"/>
              </w:rPr>
              <w:t>Pour</w:t>
            </w:r>
            <w:r w:rsidR="000721B1" w:rsidRPr="000721B1">
              <w:rPr>
                <w:rStyle w:val="normaltextrun"/>
                <w:rFonts w:ascii="Avenir Next LT Pro" w:eastAsia="Calibri" w:hAnsi="Avenir Next LT Pro" w:cstheme="minorBidi"/>
                <w:sz w:val="20"/>
                <w:szCs w:val="20"/>
                <w:lang w:val="fr-CH"/>
              </w:rPr>
              <w:t xml:space="preserve"> toutes les activités liées à l’utilisation des terres</w:t>
            </w:r>
            <w:r w:rsidR="00294A9C">
              <w:rPr>
                <w:rStyle w:val="normaltextrun"/>
                <w:rFonts w:ascii="Avenir Next LT Pro" w:eastAsia="Calibri" w:hAnsi="Avenir Next LT Pro" w:cstheme="minorBidi"/>
                <w:sz w:val="20"/>
                <w:szCs w:val="20"/>
                <w:lang w:val="fr-CH"/>
              </w:rPr>
              <w:t xml:space="preserve">, y </w:t>
            </w:r>
            <w:r w:rsidR="000721B1">
              <w:rPr>
                <w:rStyle w:val="normaltextrun"/>
                <w:rFonts w:ascii="Avenir Next LT Pro" w:eastAsia="Calibri" w:hAnsi="Avenir Next LT Pro" w:cstheme="minorBidi"/>
                <w:sz w:val="20"/>
                <w:szCs w:val="20"/>
                <w:lang w:val="fr-CH"/>
              </w:rPr>
              <w:t>compris les PSE</w:t>
            </w:r>
            <w:r w:rsidR="00027C89" w:rsidRPr="269B353C">
              <w:rPr>
                <w:rStyle w:val="normaltextrun"/>
                <w:rFonts w:ascii="Avenir Next LT Pro" w:eastAsia="Calibri" w:hAnsi="Avenir Next LT Pro" w:cstheme="minorBidi"/>
                <w:sz w:val="20"/>
                <w:szCs w:val="20"/>
                <w:lang w:val="fr-FR"/>
              </w:rPr>
              <w:t xml:space="preserve">, l’utilisation du système d’information </w:t>
            </w:r>
            <w:r w:rsidR="003309A1">
              <w:rPr>
                <w:rStyle w:val="normaltextrun"/>
                <w:rFonts w:ascii="Avenir Next LT Pro" w:eastAsia="Calibri" w:hAnsi="Avenir Next LT Pro" w:cstheme="minorBidi"/>
                <w:sz w:val="20"/>
                <w:szCs w:val="20"/>
                <w:lang w:val="fr-FR"/>
              </w:rPr>
              <w:t>géospatial de CAFI</w:t>
            </w:r>
            <w:r w:rsidR="00027C89" w:rsidRPr="269B353C">
              <w:rPr>
                <w:rStyle w:val="normaltextrun"/>
                <w:rFonts w:ascii="Avenir Next LT Pro" w:eastAsia="Calibri" w:hAnsi="Avenir Next LT Pro" w:cstheme="minorBidi"/>
                <w:sz w:val="20"/>
                <w:szCs w:val="20"/>
                <w:lang w:val="fr-FR"/>
              </w:rPr>
              <w:t xml:space="preserve"> </w:t>
            </w:r>
            <w:r w:rsidR="0041671F">
              <w:rPr>
                <w:rStyle w:val="normaltextrun"/>
                <w:rFonts w:ascii="Avenir Next LT Pro" w:eastAsia="Calibri" w:hAnsi="Avenir Next LT Pro" w:cstheme="minorBidi"/>
                <w:sz w:val="20"/>
                <w:szCs w:val="20"/>
                <w:lang w:val="fr-FR"/>
              </w:rPr>
              <w:t>est</w:t>
            </w:r>
            <w:r w:rsidR="00027C89" w:rsidRPr="269B353C">
              <w:rPr>
                <w:rStyle w:val="normaltextrun"/>
                <w:rFonts w:ascii="Avenir Next LT Pro" w:eastAsia="Calibri" w:hAnsi="Avenir Next LT Pro" w:cstheme="minorBidi"/>
                <w:sz w:val="20"/>
                <w:szCs w:val="20"/>
                <w:lang w:val="fr-FR"/>
              </w:rPr>
              <w:t xml:space="preserve"> obligatoire</w:t>
            </w:r>
            <w:r w:rsidR="24ED9C24" w:rsidRPr="269B353C">
              <w:rPr>
                <w:rStyle w:val="normaltextrun"/>
                <w:rFonts w:ascii="Avenir Next LT Pro" w:eastAsia="Calibri" w:hAnsi="Avenir Next LT Pro" w:cstheme="minorBidi"/>
                <w:sz w:val="20"/>
                <w:szCs w:val="20"/>
                <w:lang w:val="fr-FR"/>
              </w:rPr>
              <w:t>.</w:t>
            </w:r>
          </w:p>
          <w:p w14:paraId="565A08EB" w14:textId="7A1903B7" w:rsidR="005874C1" w:rsidRPr="00C345C4" w:rsidRDefault="007C2459" w:rsidP="269B353C">
            <w:pPr>
              <w:pStyle w:val="paragraph"/>
              <w:spacing w:before="60" w:beforeAutospacing="0" w:after="120" w:afterAutospacing="0"/>
              <w:jc w:val="both"/>
              <w:textAlignment w:val="baseline"/>
              <w:rPr>
                <w:rStyle w:val="eop"/>
                <w:rFonts w:ascii="Avenir Next LT Pro" w:hAnsi="Avenir Next LT Pro" w:cstheme="minorBidi"/>
                <w:sz w:val="20"/>
                <w:szCs w:val="20"/>
                <w:lang w:val="fr-FR"/>
              </w:rPr>
            </w:pPr>
            <w:r w:rsidRPr="269B353C">
              <w:rPr>
                <w:rStyle w:val="normaltextrun"/>
                <w:rFonts w:ascii="Avenir Next LT Pro" w:eastAsia="Calibri" w:hAnsi="Avenir Next LT Pro" w:cstheme="minorBidi"/>
                <w:sz w:val="20"/>
                <w:szCs w:val="20"/>
                <w:lang w:val="fr-FR"/>
              </w:rPr>
              <w:t>Quand certaines informations ne sont pas de caractère public, ces données peuvent être communiquées via des liens à des dossiers numériques dédiés sécurisés</w:t>
            </w:r>
            <w:r w:rsidR="002E7925">
              <w:rPr>
                <w:rStyle w:val="normaltextrun"/>
                <w:rFonts w:ascii="Avenir Next LT Pro" w:eastAsia="Calibri" w:hAnsi="Avenir Next LT Pro" w:cstheme="minorBidi"/>
                <w:sz w:val="20"/>
                <w:szCs w:val="20"/>
                <w:lang w:val="fr-FR"/>
              </w:rPr>
              <w:t xml:space="preserve"> mis à disposition par CAFI (et le FONAREDD en RDC) qui fournissent </w:t>
            </w:r>
            <w:r w:rsidRPr="269B353C">
              <w:rPr>
                <w:rStyle w:val="normaltextrun"/>
                <w:rFonts w:ascii="Avenir Next LT Pro" w:eastAsia="Calibri" w:hAnsi="Avenir Next LT Pro" w:cstheme="minorBidi"/>
                <w:sz w:val="20"/>
                <w:szCs w:val="20"/>
                <w:lang w:val="fr-FR"/>
              </w:rPr>
              <w:t xml:space="preserve">un accès protégé à </w:t>
            </w:r>
            <w:r w:rsidR="002E7925">
              <w:rPr>
                <w:rStyle w:val="normaltextrun"/>
                <w:rFonts w:ascii="Avenir Next LT Pro" w:eastAsia="Calibri" w:hAnsi="Avenir Next LT Pro" w:cstheme="minorBidi"/>
                <w:sz w:val="20"/>
                <w:szCs w:val="20"/>
                <w:lang w:val="fr-FR"/>
              </w:rPr>
              <w:t xml:space="preserve">l’agence de mise en œuvre et </w:t>
            </w:r>
            <w:r w:rsidRPr="269B353C">
              <w:rPr>
                <w:rStyle w:val="normaltextrun"/>
                <w:rFonts w:ascii="Avenir Next LT Pro" w:eastAsia="Calibri" w:hAnsi="Avenir Next LT Pro" w:cstheme="minorBidi"/>
                <w:sz w:val="20"/>
                <w:szCs w:val="20"/>
                <w:lang w:val="fr-FR"/>
              </w:rPr>
              <w:t xml:space="preserve">CAFI </w:t>
            </w:r>
            <w:r w:rsidR="15B4EDA8" w:rsidRPr="269B353C">
              <w:rPr>
                <w:rStyle w:val="normaltextrun"/>
                <w:rFonts w:ascii="Avenir Next LT Pro" w:eastAsia="Calibri" w:hAnsi="Avenir Next LT Pro" w:cstheme="minorBidi"/>
                <w:sz w:val="20"/>
                <w:szCs w:val="20"/>
                <w:lang w:val="fr-FR"/>
              </w:rPr>
              <w:t>(</w:t>
            </w:r>
            <w:r w:rsidR="6FD48428" w:rsidRPr="269B353C">
              <w:rPr>
                <w:rStyle w:val="normaltextrun"/>
                <w:rFonts w:ascii="Avenir Next LT Pro" w:eastAsia="Calibri" w:hAnsi="Avenir Next LT Pro" w:cstheme="minorBidi"/>
                <w:sz w:val="20"/>
                <w:szCs w:val="20"/>
                <w:lang w:val="fr-FR"/>
              </w:rPr>
              <w:t>et FONAREDD</w:t>
            </w:r>
            <w:r w:rsidR="15B4EDA8" w:rsidRPr="269B353C">
              <w:rPr>
                <w:rStyle w:val="normaltextrun"/>
                <w:rFonts w:ascii="Avenir Next LT Pro" w:eastAsia="Calibri" w:hAnsi="Avenir Next LT Pro" w:cstheme="minorBidi"/>
                <w:sz w:val="20"/>
                <w:szCs w:val="20"/>
                <w:lang w:val="fr-FR"/>
              </w:rPr>
              <w:t xml:space="preserve"> en RDC</w:t>
            </w:r>
            <w:r w:rsidR="00007059">
              <w:rPr>
                <w:rStyle w:val="normaltextrun"/>
                <w:rFonts w:ascii="Avenir Next LT Pro" w:eastAsia="Calibri" w:hAnsi="Avenir Next LT Pro" w:cstheme="minorBidi"/>
                <w:sz w:val="20"/>
                <w:szCs w:val="20"/>
                <w:lang w:val="fr-FR"/>
              </w:rPr>
              <w:t>)</w:t>
            </w:r>
            <w:r w:rsidR="6FD48428" w:rsidRPr="269B353C">
              <w:rPr>
                <w:rStyle w:val="normaltextrun"/>
                <w:rFonts w:ascii="Avenir Next LT Pro" w:eastAsia="Calibri" w:hAnsi="Avenir Next LT Pro" w:cstheme="minorBidi"/>
                <w:sz w:val="20"/>
                <w:szCs w:val="20"/>
                <w:lang w:val="fr-FR"/>
              </w:rPr>
              <w:t xml:space="preserve"> </w:t>
            </w:r>
            <w:r w:rsidRPr="269B353C">
              <w:rPr>
                <w:rStyle w:val="normaltextrun"/>
                <w:rFonts w:ascii="Avenir Next LT Pro" w:eastAsia="Calibri" w:hAnsi="Avenir Next LT Pro" w:cstheme="minorBidi"/>
                <w:sz w:val="20"/>
                <w:szCs w:val="20"/>
                <w:lang w:val="fr-FR"/>
              </w:rPr>
              <w:t>via leurs secrétariats.</w:t>
            </w:r>
          </w:p>
          <w:p w14:paraId="64A63806" w14:textId="5D0941FC" w:rsidR="00AE0FA9" w:rsidRDefault="7BA60DBB" w:rsidP="60A5B38C">
            <w:pPr>
              <w:pStyle w:val="paragraph"/>
              <w:spacing w:before="60" w:beforeAutospacing="0" w:after="120" w:afterAutospacing="0"/>
              <w:jc w:val="both"/>
              <w:textAlignment w:val="baseline"/>
              <w:rPr>
                <w:rStyle w:val="normaltextrun"/>
                <w:rFonts w:ascii="Avenir Next LT Pro" w:eastAsia="Calibri" w:hAnsi="Avenir Next LT Pro" w:cstheme="minorBidi"/>
                <w:sz w:val="20"/>
                <w:szCs w:val="20"/>
                <w:lang w:val="fr-FR"/>
              </w:rPr>
            </w:pPr>
            <w:r w:rsidRPr="60A5B38C">
              <w:rPr>
                <w:rStyle w:val="normaltextrun"/>
                <w:rFonts w:ascii="Avenir Next LT Pro" w:eastAsia="Calibri" w:hAnsi="Avenir Next LT Pro" w:cstheme="minorBidi"/>
                <w:sz w:val="20"/>
                <w:szCs w:val="20"/>
                <w:lang w:val="fr-FR"/>
              </w:rPr>
              <w:t>En année 1 du projet</w:t>
            </w:r>
            <w:r w:rsidR="514DD377" w:rsidRPr="60A5B38C">
              <w:rPr>
                <w:rStyle w:val="normaltextrun"/>
                <w:rFonts w:ascii="Avenir Next LT Pro" w:eastAsia="Calibri" w:hAnsi="Avenir Next LT Pro" w:cstheme="minorBidi"/>
                <w:sz w:val="20"/>
                <w:szCs w:val="20"/>
                <w:lang w:val="fr-FR"/>
              </w:rPr>
              <w:t>,</w:t>
            </w:r>
            <w:r w:rsidRPr="60A5B38C">
              <w:rPr>
                <w:rStyle w:val="normaltextrun"/>
                <w:rFonts w:ascii="Avenir Next LT Pro" w:eastAsia="Calibri" w:hAnsi="Avenir Next LT Pro" w:cstheme="minorBidi"/>
                <w:sz w:val="20"/>
                <w:szCs w:val="20"/>
                <w:lang w:val="fr-FR"/>
              </w:rPr>
              <w:t xml:space="preserve"> sera produit et partagé avec CAFI</w:t>
            </w:r>
            <w:r w:rsidR="514DD377" w:rsidRPr="60A5B38C">
              <w:rPr>
                <w:rStyle w:val="normaltextrun"/>
                <w:rFonts w:ascii="Avenir Next LT Pro" w:eastAsia="Calibri" w:hAnsi="Avenir Next LT Pro" w:cstheme="minorBidi"/>
                <w:sz w:val="20"/>
                <w:szCs w:val="20"/>
                <w:lang w:val="fr-FR"/>
              </w:rPr>
              <w:t xml:space="preserve"> </w:t>
            </w:r>
            <w:r w:rsidR="6FD48428" w:rsidRPr="60A5B38C">
              <w:rPr>
                <w:rFonts w:ascii="Avenir Next LT Pro" w:hAnsi="Avenir Next LT Pro" w:cstheme="minorBidi"/>
                <w:sz w:val="20"/>
                <w:szCs w:val="20"/>
                <w:lang w:val="fr-FR"/>
              </w:rPr>
              <w:t>[et FONAREDD]</w:t>
            </w:r>
            <w:r w:rsidRPr="60A5B38C">
              <w:rPr>
                <w:rStyle w:val="normaltextrun"/>
                <w:rFonts w:ascii="Avenir Next LT Pro" w:eastAsia="Calibri" w:hAnsi="Avenir Next LT Pro" w:cstheme="minorBidi"/>
                <w:sz w:val="20"/>
                <w:szCs w:val="20"/>
                <w:lang w:val="fr-FR"/>
              </w:rPr>
              <w:t xml:space="preserve"> </w:t>
            </w:r>
            <w:r w:rsidRPr="002E7925">
              <w:rPr>
                <w:rStyle w:val="normaltextrun"/>
                <w:rFonts w:ascii="Avenir Next LT Pro" w:eastAsia="Calibri" w:hAnsi="Avenir Next LT Pro" w:cstheme="minorBidi"/>
                <w:b/>
                <w:bCs/>
                <w:sz w:val="20"/>
                <w:szCs w:val="20"/>
                <w:lang w:val="fr-FR"/>
              </w:rPr>
              <w:t xml:space="preserve">un plan de suivi et </w:t>
            </w:r>
            <w:r w:rsidR="3DAEEBC5" w:rsidRPr="002E7925">
              <w:rPr>
                <w:rStyle w:val="normaltextrun"/>
                <w:rFonts w:ascii="Avenir Next LT Pro" w:eastAsia="Calibri" w:hAnsi="Avenir Next LT Pro" w:cstheme="minorBidi"/>
                <w:b/>
                <w:bCs/>
                <w:sz w:val="20"/>
                <w:szCs w:val="20"/>
                <w:lang w:val="fr-FR"/>
              </w:rPr>
              <w:t>d’</w:t>
            </w:r>
            <w:r w:rsidRPr="002E7925">
              <w:rPr>
                <w:rStyle w:val="normaltextrun"/>
                <w:rFonts w:ascii="Avenir Next LT Pro" w:eastAsia="Calibri" w:hAnsi="Avenir Next LT Pro" w:cstheme="minorBidi"/>
                <w:b/>
                <w:bCs/>
                <w:sz w:val="20"/>
                <w:szCs w:val="20"/>
                <w:lang w:val="fr-FR"/>
              </w:rPr>
              <w:t>évaluation pluriannuel</w:t>
            </w:r>
            <w:r w:rsidRPr="60A5B38C">
              <w:rPr>
                <w:rStyle w:val="normaltextrun"/>
                <w:rFonts w:ascii="Avenir Next LT Pro" w:eastAsia="Calibri" w:hAnsi="Avenir Next LT Pro" w:cstheme="minorBidi"/>
                <w:sz w:val="20"/>
                <w:szCs w:val="20"/>
                <w:lang w:val="fr-FR"/>
              </w:rPr>
              <w:t xml:space="preserve"> accompagné d’un guide méthodologique de suivi-évaluation qui orientera les équipes de travail, les experts et consultants ainsi que les partenaires impliqués dans la collecte de données et dans le suivi du projet</w:t>
            </w:r>
            <w:r w:rsidR="00F65C15">
              <w:rPr>
                <w:rStyle w:val="normaltextrun"/>
                <w:rFonts w:ascii="Avenir Next LT Pro" w:eastAsia="Calibri" w:hAnsi="Avenir Next LT Pro" w:cstheme="minorBidi"/>
                <w:sz w:val="20"/>
                <w:szCs w:val="20"/>
                <w:lang w:val="fr-FR"/>
              </w:rPr>
              <w:t xml:space="preserve"> ; ce guide devra être </w:t>
            </w:r>
            <w:r w:rsidRPr="60A5B38C">
              <w:rPr>
                <w:rStyle w:val="normaltextrun"/>
                <w:rFonts w:ascii="Avenir Next LT Pro" w:eastAsia="Calibri" w:hAnsi="Avenir Next LT Pro" w:cstheme="minorBidi"/>
                <w:sz w:val="20"/>
                <w:szCs w:val="20"/>
                <w:lang w:val="fr-FR"/>
              </w:rPr>
              <w:t xml:space="preserve">conforme </w:t>
            </w:r>
            <w:r w:rsidR="514DD377" w:rsidRPr="60A5B38C">
              <w:rPr>
                <w:rStyle w:val="normaltextrun"/>
                <w:rFonts w:ascii="Avenir Next LT Pro" w:eastAsia="Calibri" w:hAnsi="Avenir Next LT Pro" w:cstheme="minorBidi"/>
                <w:sz w:val="20"/>
                <w:szCs w:val="20"/>
                <w:lang w:val="fr-FR"/>
              </w:rPr>
              <w:t>aux</w:t>
            </w:r>
            <w:r w:rsidRPr="60A5B38C">
              <w:rPr>
                <w:rStyle w:val="normaltextrun"/>
                <w:rFonts w:ascii="Avenir Next LT Pro" w:eastAsia="Calibri" w:hAnsi="Avenir Next LT Pro" w:cstheme="minorBidi"/>
                <w:sz w:val="20"/>
                <w:szCs w:val="20"/>
                <w:lang w:val="fr-FR"/>
              </w:rPr>
              <w:t xml:space="preserve"> </w:t>
            </w:r>
            <w:r w:rsidR="00F65C15">
              <w:rPr>
                <w:rStyle w:val="normaltextrun"/>
                <w:rFonts w:ascii="Avenir Next LT Pro" w:eastAsia="Calibri" w:hAnsi="Avenir Next LT Pro" w:cstheme="minorBidi"/>
                <w:sz w:val="20"/>
                <w:szCs w:val="20"/>
                <w:lang w:val="fr-FR"/>
              </w:rPr>
              <w:t>prescriptions</w:t>
            </w:r>
            <w:r w:rsidRPr="60A5B38C">
              <w:rPr>
                <w:rStyle w:val="normaltextrun"/>
                <w:rFonts w:ascii="Avenir Next LT Pro" w:eastAsia="Calibri" w:hAnsi="Avenir Next LT Pro" w:cstheme="minorBidi"/>
                <w:sz w:val="20"/>
                <w:szCs w:val="20"/>
                <w:lang w:val="fr-FR"/>
              </w:rPr>
              <w:t xml:space="preserve"> du Manuel d’opération</w:t>
            </w:r>
            <w:r w:rsidR="00D7494E">
              <w:rPr>
                <w:rStyle w:val="normaltextrun"/>
                <w:rFonts w:ascii="Avenir Next LT Pro" w:eastAsia="Calibri" w:hAnsi="Avenir Next LT Pro" w:cstheme="minorBidi"/>
                <w:sz w:val="20"/>
                <w:szCs w:val="20"/>
                <w:lang w:val="fr-FR"/>
              </w:rPr>
              <w:t>s</w:t>
            </w:r>
            <w:r w:rsidR="00F65C15">
              <w:rPr>
                <w:rStyle w:val="normaltextrun"/>
                <w:rFonts w:ascii="Avenir Next LT Pro" w:eastAsia="Calibri" w:hAnsi="Avenir Next LT Pro" w:cstheme="minorBidi"/>
                <w:sz w:val="20"/>
                <w:szCs w:val="20"/>
                <w:lang w:val="fr-FR"/>
              </w:rPr>
              <w:t xml:space="preserve"> et </w:t>
            </w:r>
            <w:r w:rsidRPr="60A5B38C">
              <w:rPr>
                <w:rStyle w:val="normaltextrun"/>
                <w:rFonts w:ascii="Avenir Next LT Pro" w:eastAsia="Calibri" w:hAnsi="Avenir Next LT Pro" w:cstheme="minorBidi"/>
                <w:sz w:val="20"/>
                <w:szCs w:val="20"/>
                <w:lang w:val="fr-FR"/>
              </w:rPr>
              <w:t xml:space="preserve">de la Politique et </w:t>
            </w:r>
            <w:r w:rsidR="00F65C15">
              <w:rPr>
                <w:rStyle w:val="normaltextrun"/>
                <w:rFonts w:ascii="Avenir Next LT Pro" w:eastAsia="Calibri" w:hAnsi="Avenir Next LT Pro" w:cstheme="minorBidi"/>
                <w:sz w:val="20"/>
                <w:szCs w:val="20"/>
                <w:lang w:val="fr-FR"/>
              </w:rPr>
              <w:t>des</w:t>
            </w:r>
            <w:r w:rsidR="2E2CC86D" w:rsidRPr="60A5B38C">
              <w:rPr>
                <w:rStyle w:val="normaltextrun"/>
                <w:rFonts w:ascii="Avenir Next LT Pro" w:eastAsia="Calibri" w:hAnsi="Avenir Next LT Pro" w:cstheme="minorBidi"/>
                <w:sz w:val="20"/>
                <w:szCs w:val="20"/>
                <w:lang w:val="fr-FR"/>
              </w:rPr>
              <w:t xml:space="preserve"> </w:t>
            </w:r>
            <w:r w:rsidRPr="60A5B38C">
              <w:rPr>
                <w:rStyle w:val="normaltextrun"/>
                <w:rFonts w:ascii="Avenir Next LT Pro" w:eastAsia="Calibri" w:hAnsi="Avenir Next LT Pro" w:cstheme="minorBidi"/>
                <w:sz w:val="20"/>
                <w:szCs w:val="20"/>
                <w:lang w:val="fr-FR"/>
              </w:rPr>
              <w:t>Lignes Directrices de Suivi Évaluation de CAFI</w:t>
            </w:r>
            <w:r w:rsidR="0014550B" w:rsidRPr="60A5B38C">
              <w:rPr>
                <w:rStyle w:val="normaltextrun"/>
                <w:rFonts w:ascii="Avenir Next LT Pro" w:eastAsia="Calibri" w:hAnsi="Avenir Next LT Pro" w:cstheme="minorBidi"/>
                <w:sz w:val="20"/>
                <w:szCs w:val="20"/>
                <w:lang w:val="fr-FR"/>
              </w:rPr>
              <w:t xml:space="preserve"> en vigueur au moment de l’élaboration du document de projet. </w:t>
            </w:r>
          </w:p>
          <w:p w14:paraId="2F9FB1A1" w14:textId="6B4F8E0E" w:rsidR="00693E4A" w:rsidRPr="00C345C4" w:rsidRDefault="65E7C80B" w:rsidP="78B8B380">
            <w:pPr>
              <w:pStyle w:val="paragraph"/>
              <w:spacing w:before="60" w:beforeAutospacing="0" w:after="120" w:afterAutospacing="0"/>
              <w:jc w:val="both"/>
              <w:textAlignment w:val="baseline"/>
              <w:rPr>
                <w:rStyle w:val="normaltextrun"/>
                <w:rFonts w:ascii="Avenir Next LT Pro" w:hAnsi="Avenir Next LT Pro" w:cstheme="minorBidi"/>
                <w:sz w:val="20"/>
                <w:szCs w:val="20"/>
                <w:lang w:val="fr-FR"/>
              </w:rPr>
            </w:pPr>
            <w:r w:rsidRPr="78B8B380">
              <w:rPr>
                <w:rStyle w:val="normaltextrun"/>
                <w:rFonts w:ascii="Avenir Next LT Pro" w:eastAsia="Calibri" w:hAnsi="Avenir Next LT Pro" w:cstheme="minorBidi"/>
                <w:sz w:val="20"/>
                <w:szCs w:val="20"/>
                <w:lang w:val="fr-FR"/>
              </w:rPr>
              <w:t>Dans le cadre de</w:t>
            </w:r>
            <w:r w:rsidR="64CFFD02" w:rsidRPr="78B8B380">
              <w:rPr>
                <w:rStyle w:val="normaltextrun"/>
                <w:rFonts w:ascii="Avenir Next LT Pro" w:eastAsia="Calibri" w:hAnsi="Avenir Next LT Pro" w:cstheme="minorBidi"/>
                <w:sz w:val="20"/>
                <w:szCs w:val="20"/>
                <w:lang w:val="fr-FR"/>
              </w:rPr>
              <w:t>s</w:t>
            </w:r>
            <w:r w:rsidRPr="78B8B380">
              <w:rPr>
                <w:rStyle w:val="normaltextrun"/>
                <w:rFonts w:ascii="Avenir Next LT Pro" w:eastAsia="Calibri" w:hAnsi="Avenir Next LT Pro" w:cstheme="minorBidi"/>
                <w:sz w:val="20"/>
                <w:szCs w:val="20"/>
                <w:lang w:val="fr-FR"/>
              </w:rPr>
              <w:t xml:space="preserve"> PSE</w:t>
            </w:r>
            <w:r w:rsidR="64CFFD02" w:rsidRPr="78B8B380">
              <w:rPr>
                <w:rStyle w:val="normaltextrun"/>
                <w:rFonts w:ascii="Avenir Next LT Pro" w:eastAsia="Calibri" w:hAnsi="Avenir Next LT Pro" w:cstheme="minorBidi"/>
                <w:sz w:val="20"/>
                <w:szCs w:val="20"/>
                <w:lang w:val="fr-FR"/>
              </w:rPr>
              <w:t xml:space="preserve">, un mécanisme de vérification indépendante des résultats PSE rapportés sera </w:t>
            </w:r>
            <w:r w:rsidR="0F424B85" w:rsidRPr="78B8B380">
              <w:rPr>
                <w:rStyle w:val="normaltextrun"/>
                <w:rFonts w:ascii="Avenir Next LT Pro" w:eastAsia="Calibri" w:hAnsi="Avenir Next LT Pro" w:cstheme="minorBidi"/>
                <w:sz w:val="20"/>
                <w:szCs w:val="20"/>
                <w:lang w:val="fr-FR"/>
              </w:rPr>
              <w:t>mis en œuvre</w:t>
            </w:r>
            <w:r w:rsidR="53C01AE3" w:rsidRPr="78B8B380">
              <w:rPr>
                <w:rStyle w:val="normaltextrun"/>
                <w:rFonts w:ascii="Avenir Next LT Pro" w:eastAsia="Calibri" w:hAnsi="Avenir Next LT Pro" w:cstheme="minorBidi"/>
                <w:sz w:val="20"/>
                <w:szCs w:val="20"/>
                <w:lang w:val="fr-FR"/>
              </w:rPr>
              <w:t> ;</w:t>
            </w:r>
            <w:r w:rsidR="64CFFD02" w:rsidRPr="78B8B380">
              <w:rPr>
                <w:rStyle w:val="normaltextrun"/>
                <w:rFonts w:ascii="Avenir Next LT Pro" w:eastAsia="Calibri" w:hAnsi="Avenir Next LT Pro" w:cstheme="minorBidi"/>
                <w:sz w:val="20"/>
                <w:szCs w:val="20"/>
                <w:lang w:val="fr-FR"/>
              </w:rPr>
              <w:t xml:space="preserve"> </w:t>
            </w:r>
            <w:r w:rsidR="435C7F18" w:rsidRPr="78B8B380">
              <w:rPr>
                <w:rStyle w:val="normaltextrun"/>
                <w:rFonts w:ascii="Avenir Next LT Pro" w:eastAsia="Calibri" w:hAnsi="Avenir Next LT Pro" w:cstheme="minorBidi"/>
                <w:sz w:val="20"/>
                <w:szCs w:val="20"/>
                <w:lang w:val="fr-FR"/>
              </w:rPr>
              <w:t xml:space="preserve">le Secrétariat CAFI (et FONAREDD en RDC) définira les méthodologies applicables et financera </w:t>
            </w:r>
            <w:r w:rsidR="59F14876" w:rsidRPr="78B8B380">
              <w:rPr>
                <w:rStyle w:val="normaltextrun"/>
                <w:rFonts w:ascii="Avenir Next LT Pro" w:eastAsia="Calibri" w:hAnsi="Avenir Next LT Pro" w:cstheme="minorBidi"/>
                <w:sz w:val="20"/>
                <w:szCs w:val="20"/>
                <w:lang w:val="fr-FR"/>
              </w:rPr>
              <w:t>cette activité</w:t>
            </w:r>
            <w:r w:rsidR="435C7F18" w:rsidRPr="78B8B380">
              <w:rPr>
                <w:rStyle w:val="normaltextrun"/>
                <w:rFonts w:ascii="Avenir Next LT Pro" w:eastAsia="Calibri" w:hAnsi="Avenir Next LT Pro" w:cstheme="minorBidi"/>
                <w:sz w:val="20"/>
                <w:szCs w:val="20"/>
                <w:lang w:val="fr-FR"/>
              </w:rPr>
              <w:t>, que l’organisation de mise en œuvre sera tenue de faciliter</w:t>
            </w:r>
            <w:r w:rsidR="01F945BE" w:rsidRPr="78B8B380">
              <w:rPr>
                <w:rStyle w:val="normaltextrun"/>
                <w:rFonts w:ascii="Avenir Next LT Pro" w:eastAsia="Calibri" w:hAnsi="Avenir Next LT Pro" w:cstheme="minorBidi"/>
                <w:sz w:val="20"/>
                <w:szCs w:val="20"/>
                <w:lang w:val="fr-FR"/>
              </w:rPr>
              <w:t xml:space="preserve">. </w:t>
            </w:r>
          </w:p>
        </w:tc>
      </w:tr>
    </w:tbl>
    <w:p w14:paraId="4AF3D4E6" w14:textId="77777777" w:rsidR="00027C89" w:rsidRPr="00C345C4" w:rsidRDefault="00027C89" w:rsidP="00EF6E8E">
      <w:pPr>
        <w:spacing w:after="120"/>
        <w:rPr>
          <w:rFonts w:ascii="Avenir Next LT Pro" w:hAnsi="Avenir Next LT Pro"/>
          <w:lang w:eastAsia="fr-FR"/>
        </w:rPr>
      </w:pPr>
    </w:p>
    <w:p w14:paraId="5D5C2AAC" w14:textId="3C575E49" w:rsidR="00684E5E" w:rsidRPr="00C345C4" w:rsidRDefault="754FE288" w:rsidP="00684E5E">
      <w:pPr>
        <w:pStyle w:val="Titre1"/>
        <w:rPr>
          <w:rFonts w:ascii="Avenir Next LT Pro" w:hAnsi="Avenir Next LT Pro"/>
        </w:rPr>
      </w:pPr>
      <w:bookmarkStart w:id="67" w:name="_Toc87443341"/>
      <w:bookmarkStart w:id="68" w:name="_Toc87443376"/>
      <w:bookmarkStart w:id="69" w:name="_Toc163230393"/>
      <w:r w:rsidRPr="00C345C4">
        <w:rPr>
          <w:rFonts w:ascii="Avenir Next LT Pro" w:hAnsi="Avenir Next LT Pro"/>
        </w:rPr>
        <w:lastRenderedPageBreak/>
        <w:t>C</w:t>
      </w:r>
      <w:r w:rsidR="2E45E140" w:rsidRPr="00C345C4">
        <w:rPr>
          <w:rFonts w:ascii="Avenir Next LT Pro" w:hAnsi="Avenir Next LT Pro"/>
        </w:rPr>
        <w:t>ommunication</w:t>
      </w:r>
      <w:r w:rsidR="00684E5E" w:rsidRPr="00C345C4">
        <w:rPr>
          <w:rFonts w:ascii="Avenir Next LT Pro" w:hAnsi="Avenir Next LT Pro"/>
        </w:rPr>
        <w:t xml:space="preserve"> et visibilité</w:t>
      </w:r>
      <w:bookmarkEnd w:id="67"/>
      <w:bookmarkEnd w:id="68"/>
      <w:bookmarkEnd w:id="69"/>
      <w:r w:rsidR="00684E5E" w:rsidRPr="00C345C4">
        <w:rPr>
          <w:rFonts w:ascii="Avenir Next LT Pro" w:hAnsi="Avenir Next LT Pro"/>
        </w:rPr>
        <w:t> </w:t>
      </w:r>
    </w:p>
    <w:p w14:paraId="638CFC38" w14:textId="022A65E5" w:rsidR="00684E5E" w:rsidRPr="00C345C4" w:rsidRDefault="6A998F46" w:rsidP="007C0900">
      <w:pPr>
        <w:spacing w:after="120"/>
        <w:jc w:val="both"/>
        <w:rPr>
          <w:rFonts w:ascii="Avenir Next LT Pro" w:hAnsi="Avenir Next LT Pro"/>
          <w:sz w:val="20"/>
          <w:szCs w:val="20"/>
        </w:rPr>
      </w:pPr>
      <w:r w:rsidRPr="00C345C4">
        <w:rPr>
          <w:rFonts w:ascii="Avenir Next LT Pro" w:hAnsi="Avenir Next LT Pro"/>
          <w:sz w:val="20"/>
          <w:szCs w:val="20"/>
        </w:rPr>
        <w:t>La communication et la visibilité auront deux objectifs principaux : i) influencer les perceptions et susciter le changement</w:t>
      </w:r>
      <w:r w:rsidR="00355593">
        <w:rPr>
          <w:rFonts w:ascii="Avenir Next LT Pro" w:hAnsi="Avenir Next LT Pro"/>
          <w:sz w:val="20"/>
          <w:szCs w:val="20"/>
        </w:rPr>
        <w:t xml:space="preserve"> ; </w:t>
      </w:r>
      <w:r w:rsidRPr="00C345C4">
        <w:rPr>
          <w:rFonts w:ascii="Avenir Next LT Pro" w:hAnsi="Avenir Next LT Pro"/>
          <w:sz w:val="20"/>
          <w:szCs w:val="20"/>
        </w:rPr>
        <w:t xml:space="preserve">ii) accroître la visibilité du travail et des résultats du </w:t>
      </w:r>
      <w:r w:rsidR="00AE1C16">
        <w:rPr>
          <w:rFonts w:ascii="Avenir Next LT Pro" w:hAnsi="Avenir Next LT Pro"/>
          <w:sz w:val="20"/>
          <w:szCs w:val="20"/>
        </w:rPr>
        <w:t>P</w:t>
      </w:r>
      <w:r w:rsidRPr="00C345C4">
        <w:rPr>
          <w:rFonts w:ascii="Avenir Next LT Pro" w:hAnsi="Avenir Next LT Pro"/>
          <w:sz w:val="20"/>
          <w:szCs w:val="20"/>
        </w:rPr>
        <w:t>rojet, ainsi que de ses financeurs.</w:t>
      </w:r>
    </w:p>
    <w:p w14:paraId="29CC0E62" w14:textId="2CCEAC67" w:rsidR="00684E5E" w:rsidRPr="00C345C4" w:rsidRDefault="2E45E140" w:rsidP="00EF6E8E">
      <w:pPr>
        <w:spacing w:after="120"/>
        <w:ind w:right="-7"/>
        <w:jc w:val="both"/>
        <w:rPr>
          <w:rFonts w:ascii="Avenir Next LT Pro" w:hAnsi="Avenir Next LT Pro" w:cs="Calibri"/>
          <w:iCs/>
          <w:sz w:val="20"/>
          <w:szCs w:val="20"/>
        </w:rPr>
      </w:pPr>
      <w:r w:rsidRPr="00C345C4">
        <w:rPr>
          <w:rFonts w:ascii="Avenir Next LT Pro" w:hAnsi="Avenir Next LT Pro"/>
          <w:sz w:val="20"/>
          <w:szCs w:val="20"/>
        </w:rPr>
        <w:t>Tou</w:t>
      </w:r>
      <w:r w:rsidR="09FA40EE" w:rsidRPr="00C345C4">
        <w:rPr>
          <w:rFonts w:ascii="Avenir Next LT Pro" w:hAnsi="Avenir Next LT Pro"/>
          <w:sz w:val="20"/>
          <w:szCs w:val="20"/>
        </w:rPr>
        <w:t>s</w:t>
      </w:r>
      <w:r w:rsidRPr="00C345C4">
        <w:rPr>
          <w:rFonts w:ascii="Avenir Next LT Pro" w:hAnsi="Avenir Next LT Pro"/>
          <w:sz w:val="20"/>
          <w:szCs w:val="20"/>
        </w:rPr>
        <w:t xml:space="preserve"> </w:t>
      </w:r>
      <w:r w:rsidR="27BDD3AD" w:rsidRPr="00C345C4">
        <w:rPr>
          <w:rFonts w:ascii="Avenir Next LT Pro" w:hAnsi="Avenir Next LT Pro"/>
          <w:sz w:val="20"/>
          <w:szCs w:val="20"/>
        </w:rPr>
        <w:t xml:space="preserve">les efforts de </w:t>
      </w:r>
      <w:r w:rsidR="00684E5E" w:rsidRPr="00C345C4">
        <w:rPr>
          <w:rFonts w:ascii="Avenir Next LT Pro" w:hAnsi="Avenir Next LT Pro"/>
          <w:iCs/>
          <w:sz w:val="20"/>
          <w:szCs w:val="20"/>
        </w:rPr>
        <w:t xml:space="preserve">communication et </w:t>
      </w:r>
      <w:r w:rsidR="134DBE82" w:rsidRPr="00C345C4">
        <w:rPr>
          <w:rFonts w:ascii="Avenir Next LT Pro" w:hAnsi="Avenir Next LT Pro"/>
          <w:sz w:val="20"/>
          <w:szCs w:val="20"/>
        </w:rPr>
        <w:t>de</w:t>
      </w:r>
      <w:r w:rsidR="00684E5E" w:rsidRPr="00C345C4">
        <w:rPr>
          <w:rFonts w:ascii="Avenir Next LT Pro" w:hAnsi="Avenir Next LT Pro"/>
          <w:iCs/>
          <w:sz w:val="20"/>
          <w:szCs w:val="20"/>
        </w:rPr>
        <w:t xml:space="preserve"> visibilité au niveau national et </w:t>
      </w:r>
      <w:r w:rsidR="00AE1C16">
        <w:rPr>
          <w:rFonts w:ascii="Avenir Next LT Pro" w:hAnsi="Avenir Next LT Pro"/>
          <w:iCs/>
          <w:sz w:val="20"/>
          <w:szCs w:val="20"/>
        </w:rPr>
        <w:t>provincial</w:t>
      </w:r>
      <w:r w:rsidR="00AE1C16" w:rsidRPr="00C345C4">
        <w:rPr>
          <w:rFonts w:ascii="Avenir Next LT Pro" w:hAnsi="Avenir Next LT Pro"/>
          <w:iCs/>
          <w:sz w:val="20"/>
          <w:szCs w:val="20"/>
        </w:rPr>
        <w:t xml:space="preserve"> </w:t>
      </w:r>
      <w:r w:rsidR="00E92E68" w:rsidRPr="00C345C4">
        <w:rPr>
          <w:rFonts w:ascii="Avenir Next LT Pro" w:hAnsi="Avenir Next LT Pro"/>
          <w:sz w:val="20"/>
          <w:szCs w:val="20"/>
        </w:rPr>
        <w:t>s</w:t>
      </w:r>
      <w:r w:rsidR="002B4087" w:rsidRPr="00C345C4">
        <w:rPr>
          <w:rFonts w:ascii="Avenir Next LT Pro" w:hAnsi="Avenir Next LT Pro"/>
          <w:sz w:val="20"/>
          <w:szCs w:val="20"/>
        </w:rPr>
        <w:t>ont</w:t>
      </w:r>
      <w:r w:rsidR="4E78F47F" w:rsidRPr="00C345C4">
        <w:rPr>
          <w:rFonts w:ascii="Avenir Next LT Pro" w:hAnsi="Avenir Next LT Pro"/>
          <w:sz w:val="20"/>
          <w:szCs w:val="20"/>
        </w:rPr>
        <w:t xml:space="preserve"> </w:t>
      </w:r>
      <w:r w:rsidR="00684E5E" w:rsidRPr="00C345C4">
        <w:rPr>
          <w:rFonts w:ascii="Avenir Next LT Pro" w:hAnsi="Avenir Next LT Pro"/>
          <w:iCs/>
          <w:sz w:val="20"/>
          <w:szCs w:val="20"/>
        </w:rPr>
        <w:t>alignés sur le plan de communication et de visibilité de CAFI</w:t>
      </w:r>
      <w:r w:rsidR="00A50484" w:rsidRPr="00C345C4">
        <w:rPr>
          <w:rFonts w:ascii="Avenir Next LT Pro" w:hAnsi="Avenir Next LT Pro"/>
          <w:iCs/>
          <w:sz w:val="20"/>
          <w:szCs w:val="20"/>
        </w:rPr>
        <w:t xml:space="preserve"> et du FONAREDD</w:t>
      </w:r>
      <w:r w:rsidR="00E927E3">
        <w:rPr>
          <w:rFonts w:ascii="Avenir Next LT Pro" w:hAnsi="Avenir Next LT Pro"/>
          <w:iCs/>
          <w:sz w:val="20"/>
          <w:szCs w:val="20"/>
        </w:rPr>
        <w:t xml:space="preserve"> </w:t>
      </w:r>
      <w:r w:rsidR="00684E5E" w:rsidRPr="00C345C4">
        <w:rPr>
          <w:rFonts w:ascii="Avenir Next LT Pro" w:hAnsi="Avenir Next LT Pro"/>
          <w:iCs/>
          <w:sz w:val="20"/>
          <w:szCs w:val="20"/>
        </w:rPr>
        <w:t>et mis en œuvre par les organisations de mise en œuvre pour assurer la visibilité de CAFI</w:t>
      </w:r>
      <w:r w:rsidR="0039729B" w:rsidRPr="00C345C4">
        <w:rPr>
          <w:rFonts w:ascii="Avenir Next LT Pro" w:hAnsi="Avenir Next LT Pro"/>
          <w:iCs/>
          <w:sz w:val="20"/>
          <w:szCs w:val="20"/>
        </w:rPr>
        <w:t xml:space="preserve"> et du FONAREDD</w:t>
      </w:r>
      <w:r w:rsidR="2894204B" w:rsidRPr="00C345C4">
        <w:rPr>
          <w:rFonts w:ascii="Avenir Next LT Pro" w:hAnsi="Avenir Next LT Pro"/>
          <w:sz w:val="20"/>
          <w:szCs w:val="20"/>
        </w:rPr>
        <w:t xml:space="preserve">, ainsi que pour </w:t>
      </w:r>
      <w:r w:rsidR="00684E5E" w:rsidRPr="00C345C4">
        <w:rPr>
          <w:rFonts w:ascii="Avenir Next LT Pro" w:hAnsi="Avenir Next LT Pro"/>
          <w:iCs/>
          <w:sz w:val="20"/>
          <w:szCs w:val="20"/>
        </w:rPr>
        <w:t xml:space="preserve">sensibiliser </w:t>
      </w:r>
      <w:r w:rsidR="635F9A88" w:rsidRPr="00C345C4">
        <w:rPr>
          <w:rFonts w:ascii="Avenir Next LT Pro" w:hAnsi="Avenir Next LT Pro"/>
          <w:sz w:val="20"/>
          <w:szCs w:val="20"/>
        </w:rPr>
        <w:t xml:space="preserve">les publics ciblés </w:t>
      </w:r>
      <w:r w:rsidR="00D443D9">
        <w:rPr>
          <w:rFonts w:ascii="Avenir Next LT Pro" w:hAnsi="Avenir Next LT Pro"/>
          <w:iCs/>
          <w:sz w:val="20"/>
          <w:szCs w:val="20"/>
        </w:rPr>
        <w:t>sur</w:t>
      </w:r>
      <w:r w:rsidR="00684E5E" w:rsidRPr="00C345C4">
        <w:rPr>
          <w:rFonts w:ascii="Avenir Next LT Pro" w:hAnsi="Avenir Next LT Pro"/>
          <w:iCs/>
          <w:sz w:val="20"/>
          <w:szCs w:val="20"/>
        </w:rPr>
        <w:t xml:space="preserve"> la manière </w:t>
      </w:r>
      <w:r w:rsidR="00D443D9">
        <w:rPr>
          <w:rFonts w:ascii="Avenir Next LT Pro" w:hAnsi="Avenir Next LT Pro"/>
          <w:iCs/>
          <w:sz w:val="20"/>
          <w:szCs w:val="20"/>
        </w:rPr>
        <w:t xml:space="preserve">avec laquelle </w:t>
      </w:r>
      <w:r w:rsidR="00684E5E" w:rsidRPr="00C345C4">
        <w:rPr>
          <w:rFonts w:ascii="Avenir Next LT Pro" w:hAnsi="Avenir Next LT Pro"/>
          <w:iCs/>
          <w:sz w:val="20"/>
          <w:szCs w:val="20"/>
        </w:rPr>
        <w:t xml:space="preserve">le </w:t>
      </w:r>
      <w:r w:rsidR="00AE1C16">
        <w:rPr>
          <w:rFonts w:ascii="Avenir Next LT Pro" w:hAnsi="Avenir Next LT Pro"/>
          <w:iCs/>
          <w:sz w:val="20"/>
          <w:szCs w:val="20"/>
        </w:rPr>
        <w:t>P</w:t>
      </w:r>
      <w:r w:rsidR="00684E5E" w:rsidRPr="00C345C4">
        <w:rPr>
          <w:rFonts w:ascii="Avenir Next LT Pro" w:hAnsi="Avenir Next LT Pro"/>
          <w:iCs/>
          <w:sz w:val="20"/>
          <w:szCs w:val="20"/>
        </w:rPr>
        <w:t xml:space="preserve">rojet lutte contre la perte de forêts, le changement climatique et la pauvreté </w:t>
      </w:r>
      <w:r w:rsidR="00AE1C16">
        <w:rPr>
          <w:rFonts w:ascii="Avenir Next LT Pro" w:hAnsi="Avenir Next LT Pro"/>
          <w:iCs/>
          <w:sz w:val="20"/>
          <w:szCs w:val="20"/>
        </w:rPr>
        <w:t>en RDC</w:t>
      </w:r>
      <w:r w:rsidR="00684E5E" w:rsidRPr="00C345C4">
        <w:rPr>
          <w:rFonts w:ascii="Avenir Next LT Pro" w:hAnsi="Avenir Next LT Pro"/>
          <w:iCs/>
          <w:sz w:val="20"/>
          <w:szCs w:val="20"/>
        </w:rPr>
        <w:t xml:space="preserve">. </w:t>
      </w:r>
    </w:p>
    <w:p w14:paraId="06AB1B48" w14:textId="66C46D8F" w:rsidR="3AD50573" w:rsidRPr="00C345C4" w:rsidRDefault="5FF34873" w:rsidP="00EF6E8E">
      <w:pPr>
        <w:spacing w:after="120"/>
        <w:ind w:right="-7"/>
        <w:jc w:val="both"/>
        <w:rPr>
          <w:rFonts w:ascii="Avenir Next LT Pro" w:hAnsi="Avenir Next LT Pro"/>
          <w:sz w:val="20"/>
          <w:szCs w:val="20"/>
        </w:rPr>
      </w:pPr>
      <w:r w:rsidRPr="00C345C4">
        <w:rPr>
          <w:rFonts w:ascii="Avenir Next LT Pro" w:hAnsi="Avenir Next LT Pro"/>
          <w:sz w:val="20"/>
          <w:szCs w:val="20"/>
        </w:rPr>
        <w:t>Le</w:t>
      </w:r>
      <w:r w:rsidR="195863A9" w:rsidRPr="00C345C4">
        <w:rPr>
          <w:rFonts w:ascii="Avenir Next LT Pro" w:hAnsi="Avenir Next LT Pro"/>
          <w:sz w:val="20"/>
          <w:szCs w:val="20"/>
        </w:rPr>
        <w:t xml:space="preserve"> projet</w:t>
      </w:r>
      <w:r w:rsidRPr="00C345C4">
        <w:rPr>
          <w:rFonts w:ascii="Avenir Next LT Pro" w:hAnsi="Avenir Next LT Pro"/>
          <w:sz w:val="20"/>
          <w:szCs w:val="20"/>
        </w:rPr>
        <w:t xml:space="preserve"> utiliser</w:t>
      </w:r>
      <w:r w:rsidR="311E2A5D" w:rsidRPr="00C345C4">
        <w:rPr>
          <w:rFonts w:ascii="Avenir Next LT Pro" w:hAnsi="Avenir Next LT Pro"/>
          <w:sz w:val="20"/>
          <w:szCs w:val="20"/>
        </w:rPr>
        <w:t>a</w:t>
      </w:r>
      <w:r w:rsidRPr="00C345C4">
        <w:rPr>
          <w:rFonts w:ascii="Avenir Next LT Pro" w:hAnsi="Avenir Next LT Pro"/>
          <w:sz w:val="20"/>
          <w:szCs w:val="20"/>
        </w:rPr>
        <w:t xml:space="preserve"> les logos et la mention </w:t>
      </w:r>
      <w:r w:rsidR="304ACCAB" w:rsidRPr="00C345C4">
        <w:rPr>
          <w:rFonts w:ascii="Avenir Next LT Pro" w:hAnsi="Avenir Next LT Pro"/>
          <w:sz w:val="20"/>
          <w:szCs w:val="20"/>
        </w:rPr>
        <w:t xml:space="preserve">de financement </w:t>
      </w:r>
      <w:r w:rsidR="000C68B0" w:rsidRPr="00C345C4">
        <w:rPr>
          <w:rFonts w:ascii="Avenir Next LT Pro" w:hAnsi="Avenir Next LT Pro"/>
          <w:sz w:val="20"/>
          <w:szCs w:val="20"/>
        </w:rPr>
        <w:t>« </w:t>
      </w:r>
      <w:r w:rsidRPr="00C345C4">
        <w:rPr>
          <w:rFonts w:ascii="Avenir Next LT Pro" w:hAnsi="Avenir Next LT Pro"/>
          <w:sz w:val="20"/>
          <w:szCs w:val="20"/>
        </w:rPr>
        <w:t>fin</w:t>
      </w:r>
      <w:r w:rsidR="5D73E5C6" w:rsidRPr="00C345C4">
        <w:rPr>
          <w:rFonts w:ascii="Avenir Next LT Pro" w:hAnsi="Avenir Next LT Pro"/>
          <w:sz w:val="20"/>
          <w:szCs w:val="20"/>
        </w:rPr>
        <w:t>ancé</w:t>
      </w:r>
      <w:r w:rsidRPr="00C345C4">
        <w:rPr>
          <w:rFonts w:ascii="Avenir Next LT Pro" w:hAnsi="Avenir Next LT Pro"/>
          <w:sz w:val="20"/>
          <w:szCs w:val="20"/>
        </w:rPr>
        <w:t xml:space="preserve"> </w:t>
      </w:r>
      <w:r w:rsidR="00C867EF" w:rsidRPr="00C345C4">
        <w:rPr>
          <w:rFonts w:ascii="Avenir Next LT Pro" w:hAnsi="Avenir Next LT Pro"/>
          <w:sz w:val="20"/>
          <w:szCs w:val="20"/>
        </w:rPr>
        <w:t xml:space="preserve">par </w:t>
      </w:r>
      <w:r w:rsidRPr="00C345C4">
        <w:rPr>
          <w:rFonts w:ascii="Avenir Next LT Pro" w:hAnsi="Avenir Next LT Pro"/>
          <w:sz w:val="20"/>
          <w:szCs w:val="20"/>
        </w:rPr>
        <w:t>CAF</w:t>
      </w:r>
      <w:r w:rsidR="31B6EE52" w:rsidRPr="00C345C4">
        <w:rPr>
          <w:rFonts w:ascii="Avenir Next LT Pro" w:hAnsi="Avenir Next LT Pro"/>
          <w:sz w:val="20"/>
          <w:szCs w:val="20"/>
        </w:rPr>
        <w:t xml:space="preserve">I </w:t>
      </w:r>
      <w:r w:rsidRPr="00C345C4">
        <w:rPr>
          <w:rFonts w:ascii="Avenir Next LT Pro" w:hAnsi="Avenir Next LT Pro"/>
          <w:sz w:val="20"/>
          <w:szCs w:val="20"/>
        </w:rPr>
        <w:t>et FONAREDD</w:t>
      </w:r>
      <w:r w:rsidR="000C68B0" w:rsidRPr="00C345C4">
        <w:rPr>
          <w:rFonts w:ascii="Avenir Next LT Pro" w:hAnsi="Avenir Next LT Pro"/>
          <w:sz w:val="20"/>
          <w:szCs w:val="20"/>
        </w:rPr>
        <w:t>»</w:t>
      </w:r>
      <w:r w:rsidRPr="00C345C4">
        <w:rPr>
          <w:rFonts w:ascii="Avenir Next LT Pro" w:hAnsi="Avenir Next LT Pro"/>
          <w:sz w:val="20"/>
          <w:szCs w:val="20"/>
        </w:rPr>
        <w:t xml:space="preserve"> dans toutes </w:t>
      </w:r>
      <w:r w:rsidR="3C814245" w:rsidRPr="00C345C4">
        <w:rPr>
          <w:rFonts w:ascii="Avenir Next LT Pro" w:hAnsi="Avenir Next LT Pro"/>
          <w:sz w:val="20"/>
          <w:szCs w:val="20"/>
        </w:rPr>
        <w:t>ses</w:t>
      </w:r>
      <w:r w:rsidRPr="00C345C4">
        <w:rPr>
          <w:rFonts w:ascii="Avenir Next LT Pro" w:hAnsi="Avenir Next LT Pro"/>
          <w:sz w:val="20"/>
          <w:szCs w:val="20"/>
        </w:rPr>
        <w:t xml:space="preserve"> communicatio</w:t>
      </w:r>
      <w:r w:rsidR="364A274B" w:rsidRPr="00C345C4">
        <w:rPr>
          <w:rFonts w:ascii="Avenir Next LT Pro" w:hAnsi="Avenir Next LT Pro"/>
          <w:sz w:val="20"/>
          <w:szCs w:val="20"/>
        </w:rPr>
        <w:t xml:space="preserve">ns </w:t>
      </w:r>
      <w:r w:rsidR="60240E4A" w:rsidRPr="00C345C4">
        <w:rPr>
          <w:rFonts w:ascii="Avenir Next LT Pro" w:hAnsi="Avenir Next LT Pro"/>
          <w:sz w:val="20"/>
          <w:szCs w:val="20"/>
        </w:rPr>
        <w:t xml:space="preserve">et </w:t>
      </w:r>
      <w:r w:rsidR="000C68B0" w:rsidRPr="00C345C4">
        <w:rPr>
          <w:rFonts w:ascii="Avenir Next LT Pro" w:hAnsi="Avenir Next LT Pro"/>
          <w:sz w:val="20"/>
          <w:szCs w:val="20"/>
        </w:rPr>
        <w:t xml:space="preserve">ses </w:t>
      </w:r>
      <w:r w:rsidR="60240E4A" w:rsidRPr="00C345C4">
        <w:rPr>
          <w:rFonts w:ascii="Avenir Next LT Pro" w:hAnsi="Avenir Next LT Pro"/>
          <w:sz w:val="20"/>
          <w:szCs w:val="20"/>
        </w:rPr>
        <w:t>activit</w:t>
      </w:r>
      <w:r w:rsidR="32288095" w:rsidRPr="00C345C4">
        <w:rPr>
          <w:rFonts w:ascii="Avenir Next LT Pro" w:hAnsi="Avenir Next LT Pro"/>
          <w:sz w:val="20"/>
          <w:szCs w:val="20"/>
        </w:rPr>
        <w:t>é</w:t>
      </w:r>
      <w:r w:rsidR="60240E4A" w:rsidRPr="00C345C4">
        <w:rPr>
          <w:rFonts w:ascii="Avenir Next LT Pro" w:hAnsi="Avenir Next LT Pro"/>
          <w:sz w:val="20"/>
          <w:szCs w:val="20"/>
        </w:rPr>
        <w:t>s de diffusion</w:t>
      </w:r>
      <w:r w:rsidR="000C68B0" w:rsidRPr="00C345C4">
        <w:rPr>
          <w:rFonts w:ascii="Avenir Next LT Pro" w:hAnsi="Avenir Next LT Pro"/>
          <w:sz w:val="20"/>
          <w:szCs w:val="20"/>
        </w:rPr>
        <w:t>,</w:t>
      </w:r>
      <w:r w:rsidR="60240E4A" w:rsidRPr="00C345C4">
        <w:rPr>
          <w:rFonts w:ascii="Avenir Next LT Pro" w:hAnsi="Avenir Next LT Pro"/>
          <w:sz w:val="20"/>
          <w:szCs w:val="20"/>
        </w:rPr>
        <w:t xml:space="preserve"> </w:t>
      </w:r>
      <w:r w:rsidR="000C68B0" w:rsidRPr="00C345C4">
        <w:rPr>
          <w:rFonts w:ascii="Avenir Next LT Pro" w:hAnsi="Avenir Next LT Pro"/>
          <w:sz w:val="20"/>
          <w:szCs w:val="20"/>
        </w:rPr>
        <w:t xml:space="preserve">sur les </w:t>
      </w:r>
      <w:r w:rsidR="60240E4A" w:rsidRPr="00C345C4">
        <w:rPr>
          <w:rFonts w:ascii="Avenir Next LT Pro" w:hAnsi="Avenir Next LT Pro"/>
          <w:sz w:val="20"/>
          <w:szCs w:val="20"/>
        </w:rPr>
        <w:t>infrastructures,</w:t>
      </w:r>
      <w:r w:rsidR="00913B84" w:rsidRPr="00C345C4">
        <w:rPr>
          <w:rFonts w:ascii="Avenir Next LT Pro" w:hAnsi="Avenir Next LT Pro"/>
          <w:sz w:val="20"/>
          <w:szCs w:val="20"/>
        </w:rPr>
        <w:t xml:space="preserve"> les</w:t>
      </w:r>
      <w:r w:rsidR="60240E4A" w:rsidRPr="00C345C4">
        <w:rPr>
          <w:rFonts w:ascii="Avenir Next LT Pro" w:hAnsi="Avenir Next LT Pro"/>
          <w:sz w:val="20"/>
          <w:szCs w:val="20"/>
        </w:rPr>
        <w:t xml:space="preserve"> équipements, </w:t>
      </w:r>
      <w:r w:rsidR="00913B84" w:rsidRPr="00C345C4">
        <w:rPr>
          <w:rFonts w:ascii="Avenir Next LT Pro" w:hAnsi="Avenir Next LT Pro"/>
          <w:sz w:val="20"/>
          <w:szCs w:val="20"/>
        </w:rPr>
        <w:t xml:space="preserve">les </w:t>
      </w:r>
      <w:r w:rsidR="60240E4A" w:rsidRPr="00C345C4">
        <w:rPr>
          <w:rFonts w:ascii="Avenir Next LT Pro" w:hAnsi="Avenir Next LT Pro"/>
          <w:sz w:val="20"/>
          <w:szCs w:val="20"/>
        </w:rPr>
        <w:t xml:space="preserve">véhicules, </w:t>
      </w:r>
      <w:r w:rsidR="00913B84" w:rsidRPr="00C345C4">
        <w:rPr>
          <w:rFonts w:ascii="Avenir Next LT Pro" w:hAnsi="Avenir Next LT Pro"/>
          <w:sz w:val="20"/>
          <w:szCs w:val="20"/>
        </w:rPr>
        <w:t>l’</w:t>
      </w:r>
      <w:r w:rsidR="60240E4A" w:rsidRPr="00C345C4">
        <w:rPr>
          <w:rFonts w:ascii="Avenir Next LT Pro" w:hAnsi="Avenir Next LT Pro"/>
          <w:sz w:val="20"/>
          <w:szCs w:val="20"/>
        </w:rPr>
        <w:t>approvisionnement et tou</w:t>
      </w:r>
      <w:r w:rsidR="2A55ED6D" w:rsidRPr="00C345C4">
        <w:rPr>
          <w:rFonts w:ascii="Avenir Next LT Pro" w:hAnsi="Avenir Next LT Pro"/>
          <w:sz w:val="20"/>
          <w:szCs w:val="20"/>
        </w:rPr>
        <w:t>t</w:t>
      </w:r>
      <w:r w:rsidR="60240E4A" w:rsidRPr="00C345C4">
        <w:rPr>
          <w:rFonts w:ascii="Avenir Next LT Pro" w:hAnsi="Avenir Next LT Pro"/>
          <w:sz w:val="20"/>
          <w:szCs w:val="20"/>
        </w:rPr>
        <w:t xml:space="preserve"> r</w:t>
      </w:r>
      <w:r w:rsidR="7EB34AED" w:rsidRPr="00C345C4">
        <w:rPr>
          <w:rFonts w:ascii="Avenir Next LT Pro" w:hAnsi="Avenir Next LT Pro"/>
          <w:sz w:val="20"/>
          <w:szCs w:val="20"/>
        </w:rPr>
        <w:t>é</w:t>
      </w:r>
      <w:r w:rsidR="60240E4A" w:rsidRPr="00C345C4">
        <w:rPr>
          <w:rFonts w:ascii="Avenir Next LT Pro" w:hAnsi="Avenir Next LT Pro"/>
          <w:sz w:val="20"/>
          <w:szCs w:val="20"/>
        </w:rPr>
        <w:t>sultat financé</w:t>
      </w:r>
      <w:r w:rsidR="246B13FA" w:rsidRPr="00C345C4">
        <w:rPr>
          <w:rFonts w:ascii="Avenir Next LT Pro" w:hAnsi="Avenir Next LT Pro"/>
          <w:sz w:val="20"/>
          <w:szCs w:val="20"/>
        </w:rPr>
        <w:t xml:space="preserve">. </w:t>
      </w:r>
    </w:p>
    <w:p w14:paraId="57BD6CAA" w14:textId="1922A5C9" w:rsidR="007C238B" w:rsidRPr="00C345C4" w:rsidRDefault="246B13FA" w:rsidP="00EF6E8E">
      <w:pPr>
        <w:spacing w:after="120"/>
        <w:ind w:right="-7"/>
        <w:jc w:val="both"/>
        <w:rPr>
          <w:rFonts w:ascii="Avenir Next LT Pro" w:hAnsi="Avenir Next LT Pro"/>
          <w:sz w:val="20"/>
          <w:szCs w:val="20"/>
        </w:rPr>
      </w:pPr>
      <w:r w:rsidRPr="00C345C4">
        <w:rPr>
          <w:rFonts w:ascii="Avenir Next LT Pro" w:hAnsi="Avenir Next LT Pro"/>
          <w:sz w:val="20"/>
          <w:szCs w:val="20"/>
        </w:rPr>
        <w:t>Le</w:t>
      </w:r>
      <w:r w:rsidR="2312EC90" w:rsidRPr="00C345C4">
        <w:rPr>
          <w:rFonts w:ascii="Avenir Next LT Pro" w:hAnsi="Avenir Next LT Pro"/>
          <w:sz w:val="20"/>
          <w:szCs w:val="20"/>
        </w:rPr>
        <w:t>s l</w:t>
      </w:r>
      <w:r w:rsidRPr="00C345C4">
        <w:rPr>
          <w:rFonts w:ascii="Avenir Next LT Pro" w:hAnsi="Avenir Next LT Pro"/>
          <w:sz w:val="20"/>
          <w:szCs w:val="20"/>
        </w:rPr>
        <w:t>ogo</w:t>
      </w:r>
      <w:r w:rsidR="47FA7148" w:rsidRPr="00C345C4">
        <w:rPr>
          <w:rFonts w:ascii="Avenir Next LT Pro" w:hAnsi="Avenir Next LT Pro"/>
          <w:sz w:val="20"/>
          <w:szCs w:val="20"/>
        </w:rPr>
        <w:t>s</w:t>
      </w:r>
      <w:r w:rsidRPr="00C345C4">
        <w:rPr>
          <w:rFonts w:ascii="Avenir Next LT Pro" w:hAnsi="Avenir Next LT Pro"/>
          <w:sz w:val="20"/>
          <w:szCs w:val="20"/>
        </w:rPr>
        <w:t xml:space="preserve"> et la mention</w:t>
      </w:r>
      <w:r w:rsidR="671EDDBB" w:rsidRPr="00C345C4">
        <w:rPr>
          <w:rFonts w:ascii="Avenir Next LT Pro" w:hAnsi="Avenir Next LT Pro"/>
          <w:sz w:val="20"/>
          <w:szCs w:val="20"/>
        </w:rPr>
        <w:t xml:space="preserve"> </w:t>
      </w:r>
      <w:r w:rsidR="000E179A" w:rsidRPr="00C345C4">
        <w:rPr>
          <w:rFonts w:ascii="Avenir Next LT Pro" w:hAnsi="Avenir Next LT Pro"/>
          <w:sz w:val="20"/>
          <w:szCs w:val="20"/>
        </w:rPr>
        <w:t xml:space="preserve">« financé par CAFI et FONAREDD » </w:t>
      </w:r>
      <w:r w:rsidR="5D2BDF4D" w:rsidRPr="00C345C4">
        <w:rPr>
          <w:rFonts w:ascii="Avenir Next LT Pro" w:hAnsi="Avenir Next LT Pro"/>
          <w:sz w:val="20"/>
          <w:szCs w:val="20"/>
        </w:rPr>
        <w:t xml:space="preserve">seront </w:t>
      </w:r>
      <w:r w:rsidRPr="00C345C4">
        <w:rPr>
          <w:rFonts w:ascii="Avenir Next LT Pro" w:hAnsi="Avenir Next LT Pro"/>
          <w:sz w:val="20"/>
          <w:szCs w:val="20"/>
        </w:rPr>
        <w:t xml:space="preserve">montrés de manière visible au public et </w:t>
      </w:r>
      <w:r w:rsidR="31327CD9" w:rsidRPr="00C345C4">
        <w:rPr>
          <w:rFonts w:ascii="Avenir Next LT Pro" w:hAnsi="Avenir Next LT Pro"/>
          <w:sz w:val="20"/>
          <w:szCs w:val="20"/>
        </w:rPr>
        <w:t xml:space="preserve">de </w:t>
      </w:r>
      <w:r w:rsidR="74AC49DA" w:rsidRPr="00C345C4">
        <w:rPr>
          <w:rFonts w:ascii="Avenir Next LT Pro" w:hAnsi="Avenir Next LT Pro"/>
          <w:sz w:val="20"/>
          <w:szCs w:val="20"/>
        </w:rPr>
        <w:t>façon</w:t>
      </w:r>
      <w:r w:rsidR="31327CD9" w:rsidRPr="00C345C4">
        <w:rPr>
          <w:rFonts w:ascii="Avenir Next LT Pro" w:hAnsi="Avenir Next LT Pro"/>
          <w:sz w:val="20"/>
          <w:szCs w:val="20"/>
        </w:rPr>
        <w:t xml:space="preserve"> </w:t>
      </w:r>
      <w:r w:rsidR="54193E19" w:rsidRPr="00C345C4">
        <w:rPr>
          <w:rFonts w:ascii="Avenir Next LT Pro" w:hAnsi="Avenir Next LT Pro"/>
          <w:sz w:val="20"/>
          <w:szCs w:val="20"/>
        </w:rPr>
        <w:t>proéminen</w:t>
      </w:r>
      <w:r w:rsidR="0E17B373" w:rsidRPr="00C345C4">
        <w:rPr>
          <w:rFonts w:ascii="Avenir Next LT Pro" w:hAnsi="Avenir Next LT Pro"/>
          <w:sz w:val="20"/>
          <w:szCs w:val="20"/>
        </w:rPr>
        <w:t>te</w:t>
      </w:r>
      <w:r w:rsidRPr="00C345C4">
        <w:rPr>
          <w:rFonts w:ascii="Avenir Next LT Pro" w:hAnsi="Avenir Next LT Pro"/>
          <w:sz w:val="20"/>
          <w:szCs w:val="20"/>
        </w:rPr>
        <w:t xml:space="preserve">. </w:t>
      </w:r>
      <w:r w:rsidR="00BA6A91" w:rsidRPr="00C345C4">
        <w:rPr>
          <w:rFonts w:ascii="Avenir Next LT Pro" w:hAnsi="Avenir Next LT Pro"/>
          <w:sz w:val="20"/>
          <w:szCs w:val="20"/>
        </w:rPr>
        <w:t xml:space="preserve">Ils </w:t>
      </w:r>
      <w:r w:rsidR="39CB16B8" w:rsidRPr="00C345C4">
        <w:rPr>
          <w:rFonts w:ascii="Avenir Next LT Pro" w:hAnsi="Avenir Next LT Pro"/>
          <w:sz w:val="20"/>
          <w:szCs w:val="20"/>
        </w:rPr>
        <w:t>apparaitr</w:t>
      </w:r>
      <w:r w:rsidR="5973D833" w:rsidRPr="00C345C4">
        <w:rPr>
          <w:rFonts w:ascii="Avenir Next LT Pro" w:hAnsi="Avenir Next LT Pro"/>
          <w:sz w:val="20"/>
          <w:szCs w:val="20"/>
        </w:rPr>
        <w:t>ont</w:t>
      </w:r>
      <w:r w:rsidR="39CB16B8" w:rsidRPr="00C345C4">
        <w:rPr>
          <w:rFonts w:ascii="Avenir Next LT Pro" w:hAnsi="Avenir Next LT Pro"/>
          <w:sz w:val="20"/>
          <w:szCs w:val="20"/>
        </w:rPr>
        <w:t xml:space="preserve"> dans tout type de produit public, y compris les publications</w:t>
      </w:r>
      <w:r w:rsidR="009D7373" w:rsidRPr="00C345C4">
        <w:rPr>
          <w:rFonts w:ascii="Avenir Next LT Pro" w:hAnsi="Avenir Next LT Pro"/>
          <w:sz w:val="20"/>
          <w:szCs w:val="20"/>
        </w:rPr>
        <w:t>, et le financement sera mentionné lors de toute relation</w:t>
      </w:r>
      <w:r w:rsidR="008B2372" w:rsidRPr="00C345C4">
        <w:rPr>
          <w:rFonts w:ascii="Avenir Next LT Pro" w:hAnsi="Avenir Next LT Pro"/>
          <w:sz w:val="20"/>
          <w:szCs w:val="20"/>
        </w:rPr>
        <w:t xml:space="preserve"> avec les</w:t>
      </w:r>
      <w:r w:rsidR="39CB16B8" w:rsidRPr="00C345C4">
        <w:rPr>
          <w:rFonts w:ascii="Avenir Next LT Pro" w:hAnsi="Avenir Next LT Pro"/>
          <w:sz w:val="20"/>
          <w:szCs w:val="20"/>
        </w:rPr>
        <w:t xml:space="preserve"> media. </w:t>
      </w:r>
    </w:p>
    <w:p w14:paraId="2DE93BE9" w14:textId="77777777" w:rsidR="00F17CF0" w:rsidRPr="00C345C4" w:rsidRDefault="00F17CF0" w:rsidP="00EF6E8E">
      <w:pPr>
        <w:spacing w:after="120"/>
        <w:ind w:right="-7"/>
        <w:jc w:val="both"/>
        <w:rPr>
          <w:rFonts w:ascii="Avenir Next LT Pro" w:hAnsi="Avenir Next LT Pro"/>
          <w:sz w:val="20"/>
          <w:szCs w:val="20"/>
        </w:rPr>
      </w:pPr>
    </w:p>
    <w:p w14:paraId="620C3216" w14:textId="77777777" w:rsidR="00A8386E" w:rsidRPr="00C345C4" w:rsidRDefault="00A8386E" w:rsidP="00A8386E">
      <w:pPr>
        <w:pStyle w:val="Titre1"/>
        <w:rPr>
          <w:rFonts w:ascii="Avenir Next LT Pro" w:hAnsi="Avenir Next LT Pro"/>
        </w:rPr>
      </w:pPr>
      <w:bookmarkStart w:id="70" w:name="_Toc163230394"/>
      <w:r w:rsidRPr="00C345C4">
        <w:rPr>
          <w:rFonts w:ascii="Avenir Next LT Pro" w:hAnsi="Avenir Next LT Pro"/>
        </w:rPr>
        <w:t>Transparence fiduciaire</w:t>
      </w:r>
      <w:bookmarkEnd w:id="70"/>
    </w:p>
    <w:p w14:paraId="694981D8" w14:textId="180A800A" w:rsidR="002879AE" w:rsidRPr="00C345C4" w:rsidRDefault="00A8386E" w:rsidP="00EF6E8E">
      <w:pPr>
        <w:spacing w:after="120"/>
        <w:jc w:val="both"/>
        <w:rPr>
          <w:rFonts w:ascii="Avenir Next LT Pro" w:hAnsi="Avenir Next LT Pro"/>
          <w:bCs/>
          <w:color w:val="3E762A" w:themeColor="accent1" w:themeShade="BF"/>
          <w:sz w:val="20"/>
          <w:szCs w:val="20"/>
        </w:rPr>
      </w:pPr>
      <w:r w:rsidRPr="00C345C4">
        <w:rPr>
          <w:rFonts w:ascii="Avenir Next LT Pro" w:hAnsi="Avenir Next LT Pro"/>
          <w:color w:val="3E762A" w:themeColor="accent1" w:themeShade="BF"/>
          <w:sz w:val="20"/>
          <w:szCs w:val="20"/>
          <w:lang w:eastAsia="fr-FR"/>
        </w:rPr>
        <w:t xml:space="preserve">Cette section concerne la </w:t>
      </w:r>
      <w:r w:rsidRPr="00C345C4">
        <w:rPr>
          <w:rFonts w:ascii="Avenir Next LT Pro" w:hAnsi="Avenir Next LT Pro"/>
          <w:bCs/>
          <w:color w:val="3E762A" w:themeColor="accent1" w:themeShade="BF"/>
          <w:sz w:val="20"/>
          <w:szCs w:val="20"/>
        </w:rPr>
        <w:t xml:space="preserve">communication des règlements </w:t>
      </w:r>
      <w:r w:rsidR="004A111D" w:rsidRPr="00C345C4">
        <w:rPr>
          <w:rFonts w:ascii="Avenir Next LT Pro" w:hAnsi="Avenir Next LT Pro"/>
          <w:bCs/>
          <w:color w:val="3E762A" w:themeColor="accent1" w:themeShade="BF"/>
          <w:sz w:val="20"/>
          <w:szCs w:val="20"/>
        </w:rPr>
        <w:t xml:space="preserve">des agences </w:t>
      </w:r>
      <w:r w:rsidR="004A111D">
        <w:rPr>
          <w:rFonts w:ascii="Avenir Next LT Pro" w:hAnsi="Avenir Next LT Pro"/>
          <w:bCs/>
          <w:color w:val="3E762A" w:themeColor="accent1" w:themeShade="BF"/>
          <w:sz w:val="20"/>
          <w:szCs w:val="20"/>
        </w:rPr>
        <w:t>relatives aux</w:t>
      </w:r>
      <w:r w:rsidRPr="00C345C4">
        <w:rPr>
          <w:rFonts w:ascii="Avenir Next LT Pro" w:hAnsi="Avenir Next LT Pro"/>
          <w:bCs/>
          <w:color w:val="3E762A" w:themeColor="accent1" w:themeShade="BF"/>
          <w:sz w:val="20"/>
          <w:szCs w:val="20"/>
        </w:rPr>
        <w:t xml:space="preserve"> audits</w:t>
      </w:r>
      <w:r w:rsidR="004A111D">
        <w:rPr>
          <w:rFonts w:ascii="Avenir Next LT Pro" w:hAnsi="Avenir Next LT Pro"/>
          <w:bCs/>
          <w:color w:val="3E762A" w:themeColor="accent1" w:themeShade="BF"/>
          <w:sz w:val="20"/>
          <w:szCs w:val="20"/>
        </w:rPr>
        <w:t xml:space="preserve"> financiers</w:t>
      </w:r>
      <w:r w:rsidRPr="00C345C4">
        <w:rPr>
          <w:rFonts w:ascii="Avenir Next LT Pro" w:hAnsi="Avenir Next LT Pro"/>
          <w:bCs/>
          <w:color w:val="3E762A" w:themeColor="accent1" w:themeShade="BF"/>
          <w:sz w:val="20"/>
          <w:szCs w:val="20"/>
        </w:rPr>
        <w:t xml:space="preserve">. </w:t>
      </w:r>
    </w:p>
    <w:p w14:paraId="08EA5BAC" w14:textId="21FFB182" w:rsidR="00A8386E" w:rsidRPr="00C345C4" w:rsidRDefault="00A8386E" w:rsidP="00A8386E">
      <w:pPr>
        <w:spacing w:after="0"/>
        <w:jc w:val="both"/>
        <w:rPr>
          <w:rFonts w:ascii="Avenir Next LT Pro" w:eastAsiaTheme="minorHAnsi" w:hAnsi="Avenir Next LT Pro"/>
          <w:b/>
          <w:color w:val="3E762A" w:themeColor="accent1" w:themeShade="BF"/>
          <w:sz w:val="20"/>
          <w:szCs w:val="20"/>
        </w:rPr>
      </w:pPr>
      <w:r w:rsidRPr="00C345C4">
        <w:rPr>
          <w:rFonts w:ascii="Avenir Next LT Pro" w:hAnsi="Avenir Next LT Pro"/>
          <w:bCs/>
          <w:color w:val="3E762A" w:themeColor="accent1" w:themeShade="BF"/>
          <w:sz w:val="20"/>
          <w:szCs w:val="20"/>
        </w:rPr>
        <w:t xml:space="preserve">Cette section inclut : </w:t>
      </w:r>
    </w:p>
    <w:p w14:paraId="21CB9B9F" w14:textId="47422CEA" w:rsidR="00A8386E" w:rsidRPr="00C345C4" w:rsidRDefault="00CC462A" w:rsidP="009C2355">
      <w:pPr>
        <w:pStyle w:val="Paragraphedeliste"/>
        <w:numPr>
          <w:ilvl w:val="1"/>
          <w:numId w:val="1"/>
        </w:numPr>
        <w:spacing w:after="0" w:line="240" w:lineRule="auto"/>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Des l</w:t>
      </w:r>
      <w:r w:rsidR="00A8386E" w:rsidRPr="00C345C4">
        <w:rPr>
          <w:rFonts w:ascii="Avenir Next LT Pro" w:hAnsi="Avenir Next LT Pro"/>
          <w:color w:val="3E762A" w:themeColor="accent1" w:themeShade="BF"/>
          <w:sz w:val="20"/>
          <w:szCs w:val="20"/>
          <w:lang w:eastAsia="fr-FR"/>
        </w:rPr>
        <w:t xml:space="preserve">iens </w:t>
      </w:r>
      <w:r w:rsidR="00C608F3" w:rsidRPr="00C345C4">
        <w:rPr>
          <w:rFonts w:ascii="Avenir Next LT Pro" w:hAnsi="Avenir Next LT Pro"/>
          <w:color w:val="3E762A" w:themeColor="accent1" w:themeShade="BF"/>
          <w:sz w:val="20"/>
          <w:szCs w:val="20"/>
          <w:lang w:eastAsia="fr-FR"/>
        </w:rPr>
        <w:t xml:space="preserve">vers les </w:t>
      </w:r>
      <w:r w:rsidR="00A8386E" w:rsidRPr="00C345C4">
        <w:rPr>
          <w:rFonts w:ascii="Avenir Next LT Pro" w:hAnsi="Avenir Next LT Pro"/>
          <w:color w:val="3E762A" w:themeColor="accent1" w:themeShade="BF"/>
          <w:sz w:val="20"/>
          <w:szCs w:val="20"/>
          <w:lang w:eastAsia="fr-FR"/>
        </w:rPr>
        <w:t xml:space="preserve">procédures et </w:t>
      </w:r>
      <w:r w:rsidR="00C608F3" w:rsidRPr="00C345C4">
        <w:rPr>
          <w:rFonts w:ascii="Avenir Next LT Pro" w:hAnsi="Avenir Next LT Pro"/>
          <w:color w:val="3E762A" w:themeColor="accent1" w:themeShade="BF"/>
          <w:sz w:val="20"/>
          <w:szCs w:val="20"/>
          <w:lang w:eastAsia="fr-FR"/>
        </w:rPr>
        <w:t xml:space="preserve">les </w:t>
      </w:r>
      <w:r w:rsidR="00A8386E" w:rsidRPr="00C345C4">
        <w:rPr>
          <w:rFonts w:ascii="Avenir Next LT Pro" w:hAnsi="Avenir Next LT Pro"/>
          <w:color w:val="3E762A" w:themeColor="accent1" w:themeShade="BF"/>
          <w:sz w:val="20"/>
          <w:szCs w:val="20"/>
          <w:lang w:eastAsia="fr-FR"/>
        </w:rPr>
        <w:t>règlements de l’organisation de mise en œuvre</w:t>
      </w:r>
      <w:r w:rsidRPr="00C345C4">
        <w:rPr>
          <w:rFonts w:ascii="Avenir Next LT Pro" w:hAnsi="Avenir Next LT Pro"/>
          <w:color w:val="3E762A" w:themeColor="accent1" w:themeShade="BF"/>
          <w:sz w:val="20"/>
          <w:szCs w:val="20"/>
          <w:lang w:eastAsia="fr-FR"/>
        </w:rPr>
        <w:t> ;</w:t>
      </w:r>
    </w:p>
    <w:p w14:paraId="4EBDF0A5" w14:textId="00F8930A" w:rsidR="002879AE" w:rsidRPr="00C345C4" w:rsidRDefault="00CC462A" w:rsidP="009C2355">
      <w:pPr>
        <w:pStyle w:val="Paragraphedeliste"/>
        <w:numPr>
          <w:ilvl w:val="1"/>
          <w:numId w:val="1"/>
        </w:numPr>
        <w:spacing w:after="0" w:line="240" w:lineRule="auto"/>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Des l</w:t>
      </w:r>
      <w:r w:rsidR="00A8386E" w:rsidRPr="00C345C4">
        <w:rPr>
          <w:rFonts w:ascii="Avenir Next LT Pro" w:hAnsi="Avenir Next LT Pro"/>
          <w:color w:val="3E762A" w:themeColor="accent1" w:themeShade="BF"/>
          <w:sz w:val="20"/>
          <w:szCs w:val="20"/>
          <w:lang w:eastAsia="fr-FR"/>
        </w:rPr>
        <w:t xml:space="preserve">iens </w:t>
      </w:r>
      <w:r w:rsidRPr="00C345C4">
        <w:rPr>
          <w:rFonts w:ascii="Avenir Next LT Pro" w:hAnsi="Avenir Next LT Pro"/>
          <w:color w:val="3E762A" w:themeColor="accent1" w:themeShade="BF"/>
          <w:sz w:val="20"/>
          <w:szCs w:val="20"/>
          <w:lang w:eastAsia="fr-FR"/>
        </w:rPr>
        <w:t>vers</w:t>
      </w:r>
      <w:r w:rsidR="00A8386E" w:rsidRPr="00C345C4">
        <w:rPr>
          <w:rFonts w:ascii="Avenir Next LT Pro" w:hAnsi="Avenir Next LT Pro"/>
          <w:color w:val="3E762A" w:themeColor="accent1" w:themeShade="BF"/>
          <w:sz w:val="20"/>
          <w:szCs w:val="20"/>
          <w:lang w:eastAsia="fr-FR"/>
        </w:rPr>
        <w:t xml:space="preserve"> les audits, </w:t>
      </w:r>
      <w:r w:rsidRPr="00C345C4">
        <w:rPr>
          <w:rFonts w:ascii="Avenir Next LT Pro" w:hAnsi="Avenir Next LT Pro"/>
          <w:color w:val="3E762A" w:themeColor="accent1" w:themeShade="BF"/>
          <w:sz w:val="20"/>
          <w:szCs w:val="20"/>
          <w:lang w:eastAsia="fr-FR"/>
        </w:rPr>
        <w:t xml:space="preserve">les </w:t>
      </w:r>
      <w:r w:rsidR="00A8386E" w:rsidRPr="00C345C4">
        <w:rPr>
          <w:rFonts w:ascii="Avenir Next LT Pro" w:hAnsi="Avenir Next LT Pro"/>
          <w:color w:val="3E762A" w:themeColor="accent1" w:themeShade="BF"/>
          <w:sz w:val="20"/>
          <w:szCs w:val="20"/>
          <w:lang w:eastAsia="fr-FR"/>
        </w:rPr>
        <w:t>évaluations externes et les mesures anti-corruption</w:t>
      </w:r>
      <w:r w:rsidRPr="00C345C4">
        <w:rPr>
          <w:rFonts w:ascii="Avenir Next LT Pro" w:hAnsi="Avenir Next LT Pro"/>
          <w:color w:val="3E762A" w:themeColor="accent1" w:themeShade="BF"/>
          <w:sz w:val="20"/>
          <w:szCs w:val="20"/>
          <w:lang w:eastAsia="fr-FR"/>
        </w:rPr>
        <w:t> ;</w:t>
      </w:r>
    </w:p>
    <w:p w14:paraId="3EF82EBB" w14:textId="7E42584B" w:rsidR="00A8386E" w:rsidRPr="00C345C4" w:rsidRDefault="00A8386E" w:rsidP="00BB47AE">
      <w:pPr>
        <w:pStyle w:val="Paragraphedeliste"/>
        <w:numPr>
          <w:ilvl w:val="1"/>
          <w:numId w:val="1"/>
        </w:numPr>
        <w:spacing w:after="120" w:line="240" w:lineRule="auto"/>
        <w:contextualSpacing w:val="0"/>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rPr>
        <w:t>La description des affectations des équipements et des actifs pendant la mise en œuvre du projet et leur destination finale</w:t>
      </w:r>
      <w:r w:rsidR="00CC462A" w:rsidRPr="00C345C4">
        <w:rPr>
          <w:rFonts w:ascii="Avenir Next LT Pro" w:hAnsi="Avenir Next LT Pro"/>
          <w:color w:val="3E762A" w:themeColor="accent1" w:themeShade="BF"/>
          <w:sz w:val="20"/>
          <w:szCs w:val="20"/>
        </w:rPr>
        <w:t>.</w:t>
      </w:r>
    </w:p>
    <w:p w14:paraId="0864ECAA" w14:textId="613EC5D1" w:rsidR="00BB47AE" w:rsidRPr="00BB47AE" w:rsidRDefault="00BB47AE" w:rsidP="00BB47AE">
      <w:pPr>
        <w:spacing w:after="0"/>
        <w:jc w:val="both"/>
        <w:rPr>
          <w:rFonts w:ascii="Avenir Next LT Pro" w:hAnsi="Avenir Next LT Pro"/>
          <w:bCs/>
          <w:color w:val="000000" w:themeColor="text1"/>
          <w:sz w:val="20"/>
          <w:szCs w:val="20"/>
        </w:rPr>
      </w:pPr>
      <w:r w:rsidRPr="00BB47AE">
        <w:rPr>
          <w:rFonts w:ascii="Avenir Next LT Pro" w:hAnsi="Avenir Next LT Pro"/>
          <w:bCs/>
          <w:color w:val="000000" w:themeColor="text1"/>
          <w:sz w:val="20"/>
          <w:szCs w:val="20"/>
        </w:rPr>
        <w:t>Le PNUD s'est depuis longtemps engagé en faveur de la transparence. Il s’est engagé à exercer un contrôle interne indépendant et objectif pour améliorer l'efficacité et l'efficience de ses opérations, et dispose de plusieurs bureaux/unités pour son opérationnalisation : i) le Bureau de l'audit et des enquêtes qui effectue des vérifications internes, des services consultatifs connexes et des services d'enquêtes ; ii) l’</w:t>
      </w:r>
      <w:r w:rsidR="00B20AA4">
        <w:rPr>
          <w:rFonts w:ascii="Avenir Next LT Pro" w:hAnsi="Avenir Next LT Pro"/>
          <w:bCs/>
          <w:color w:val="000000" w:themeColor="text1"/>
          <w:sz w:val="20"/>
          <w:szCs w:val="20"/>
        </w:rPr>
        <w:t>U</w:t>
      </w:r>
      <w:r w:rsidRPr="00BB47AE">
        <w:rPr>
          <w:rFonts w:ascii="Avenir Next LT Pro" w:hAnsi="Avenir Next LT Pro"/>
          <w:bCs/>
          <w:color w:val="000000" w:themeColor="text1"/>
          <w:sz w:val="20"/>
          <w:szCs w:val="20"/>
        </w:rPr>
        <w:t>nité dédiée à la conformité sociale et environnementale ; iii) le Bureau de la déontologie constitue une ressource indépendante qui promeut au sein du PNUD le professionnalisme, l'intégrité, la responsabilité, la transparence, le souci du résultat et le respect mutuel. Il œuvre pour le respect des normes d'intégrité requises par la Charte des Nations Unies ; iv) le Bureau de l'évaluation indépendante s'efforce d'améliorer l'efficacité du développement en renforçant la responsabilité et l'apprentissage grâce à l'évaluation et aux partenariats.</w:t>
      </w:r>
    </w:p>
    <w:p w14:paraId="22D7E8DC" w14:textId="77777777" w:rsidR="00BB47AE" w:rsidRPr="00BB47AE" w:rsidRDefault="00BB47AE" w:rsidP="00BB47AE">
      <w:pPr>
        <w:spacing w:after="0"/>
        <w:jc w:val="both"/>
        <w:rPr>
          <w:rFonts w:ascii="Avenir Next LT Pro" w:hAnsi="Avenir Next LT Pro"/>
          <w:bCs/>
          <w:color w:val="000000" w:themeColor="text1"/>
          <w:sz w:val="20"/>
          <w:szCs w:val="20"/>
        </w:rPr>
      </w:pPr>
    </w:p>
    <w:p w14:paraId="500D151D" w14:textId="77777777" w:rsidR="00BB47AE" w:rsidRPr="00BB47AE" w:rsidRDefault="00BB47AE" w:rsidP="00BB47AE">
      <w:pPr>
        <w:spacing w:after="0"/>
        <w:jc w:val="both"/>
        <w:rPr>
          <w:rFonts w:ascii="Avenir Next LT Pro" w:hAnsi="Avenir Next LT Pro"/>
          <w:bCs/>
          <w:color w:val="000000" w:themeColor="text1"/>
          <w:sz w:val="20"/>
          <w:szCs w:val="20"/>
        </w:rPr>
      </w:pPr>
      <w:r w:rsidRPr="00BB47AE">
        <w:rPr>
          <w:rFonts w:ascii="Avenir Next LT Pro" w:hAnsi="Avenir Next LT Pro"/>
          <w:bCs/>
          <w:color w:val="000000" w:themeColor="text1"/>
          <w:sz w:val="20"/>
          <w:szCs w:val="20"/>
        </w:rPr>
        <w:t>Les normes opérationnelles et les directives procédurales sur les principaux processus opérationnels du PNUD sont détaillées dans ses politiques et procédures relatives aux programmes et aux opérations (POPP). La plate-forme en ligne POPP est accessible au public, ce qui permet une plus grande transparence sur le fonctionnement du PNUD.</w:t>
      </w:r>
    </w:p>
    <w:p w14:paraId="20EFE788" w14:textId="77777777" w:rsidR="00BB47AE" w:rsidRPr="00BB47AE" w:rsidRDefault="00BB47AE" w:rsidP="00BB47AE">
      <w:pPr>
        <w:spacing w:after="0"/>
        <w:jc w:val="both"/>
        <w:rPr>
          <w:rFonts w:ascii="Avenir Next LT Pro" w:hAnsi="Avenir Next LT Pro"/>
          <w:bCs/>
          <w:color w:val="000000" w:themeColor="text1"/>
          <w:sz w:val="20"/>
          <w:szCs w:val="20"/>
        </w:rPr>
      </w:pPr>
      <w:r w:rsidRPr="00BB47AE">
        <w:rPr>
          <w:rFonts w:ascii="Avenir Next LT Pro" w:hAnsi="Avenir Next LT Pro"/>
          <w:bCs/>
          <w:color w:val="000000" w:themeColor="text1"/>
          <w:sz w:val="20"/>
          <w:szCs w:val="20"/>
        </w:rPr>
        <w:t xml:space="preserve">https://popp.undp.org/fr?_gl=1*19nbng1*_ga*NzE4MDA0MjI2LjE2NjExODAwMzA.*_ga_3W7LPK0WP1*MTY5OTc4MTkzMC43NC4xLjE2OTk3ODUyMTguMjcuMC4w </w:t>
      </w:r>
    </w:p>
    <w:p w14:paraId="2E9218C2" w14:textId="77777777" w:rsidR="00BB47AE" w:rsidRPr="00BB47AE" w:rsidRDefault="00BB47AE" w:rsidP="00BB47AE">
      <w:pPr>
        <w:spacing w:after="0"/>
        <w:jc w:val="both"/>
        <w:rPr>
          <w:rFonts w:ascii="Avenir Next LT Pro" w:hAnsi="Avenir Next LT Pro"/>
          <w:bCs/>
          <w:color w:val="3E762A" w:themeColor="accent1" w:themeShade="BF"/>
          <w:sz w:val="20"/>
          <w:szCs w:val="20"/>
        </w:rPr>
      </w:pPr>
    </w:p>
    <w:p w14:paraId="62E5A5C6" w14:textId="259B3D0F" w:rsidR="00A873C7" w:rsidRPr="00C345C4" w:rsidRDefault="00A873C7" w:rsidP="00A873C7">
      <w:pPr>
        <w:spacing w:after="0"/>
        <w:jc w:val="both"/>
        <w:rPr>
          <w:rFonts w:ascii="Avenir Next LT Pro" w:hAnsi="Avenir Next LT Pro"/>
          <w:sz w:val="20"/>
          <w:szCs w:val="20"/>
          <w:lang w:eastAsia="fr-FR"/>
        </w:rPr>
      </w:pPr>
      <w:r w:rsidRPr="00C345C4">
        <w:rPr>
          <w:rFonts w:ascii="Avenir Next LT Pro" w:hAnsi="Avenir Next LT Pro"/>
          <w:bCs/>
          <w:sz w:val="20"/>
          <w:szCs w:val="20"/>
        </w:rPr>
        <w:t>Pour les acquisitions de biens, travaux et services à contracter pour une valeur supérieure à 100,000 dollars américains, un plan d’approvisionnement/passation de marchés y compris une description du processus qui sera utilisé pour identifier le fournisseur</w:t>
      </w:r>
      <w:r w:rsidR="00154C2B" w:rsidRPr="00C345C4">
        <w:rPr>
          <w:rFonts w:ascii="Avenir Next LT Pro" w:hAnsi="Avenir Next LT Pro"/>
          <w:bCs/>
          <w:sz w:val="20"/>
          <w:szCs w:val="20"/>
        </w:rPr>
        <w:t xml:space="preserve"> est proposé en annexe. </w:t>
      </w:r>
    </w:p>
    <w:p w14:paraId="7943DEDB" w14:textId="77777777" w:rsidR="004C2E2D" w:rsidRPr="00C345C4" w:rsidRDefault="004C2E2D" w:rsidP="00EF6E8E">
      <w:pPr>
        <w:spacing w:after="120"/>
        <w:jc w:val="both"/>
        <w:rPr>
          <w:rFonts w:ascii="Avenir Next LT Pro" w:hAnsi="Avenir Next LT Pro"/>
        </w:rPr>
      </w:pPr>
    </w:p>
    <w:p w14:paraId="48553560" w14:textId="4841AC6E" w:rsidR="00FE4FCC" w:rsidRPr="00E13D5D" w:rsidRDefault="0043261C" w:rsidP="00FE4FCC">
      <w:pPr>
        <w:pStyle w:val="Titre1"/>
        <w:rPr>
          <w:rFonts w:ascii="Avenir Next LT Pro" w:hAnsi="Avenir Next LT Pro"/>
        </w:rPr>
      </w:pPr>
      <w:bookmarkStart w:id="71" w:name="_Toc163230395"/>
      <w:r w:rsidRPr="00E13D5D">
        <w:rPr>
          <w:rFonts w:ascii="Avenir Next LT Pro" w:hAnsi="Avenir Next LT Pro"/>
        </w:rPr>
        <w:t>Budget, p</w:t>
      </w:r>
      <w:r w:rsidR="002C2FD6" w:rsidRPr="00E13D5D">
        <w:rPr>
          <w:rFonts w:ascii="Avenir Next LT Pro" w:hAnsi="Avenir Next LT Pro"/>
        </w:rPr>
        <w:t xml:space="preserve">lan de travail </w:t>
      </w:r>
      <w:r w:rsidR="00F90317" w:rsidRPr="00E13D5D">
        <w:rPr>
          <w:rFonts w:ascii="Avenir Next LT Pro" w:hAnsi="Avenir Next LT Pro"/>
        </w:rPr>
        <w:t>et chronogramme</w:t>
      </w:r>
      <w:bookmarkEnd w:id="71"/>
      <w:r w:rsidR="00F90317" w:rsidRPr="00E13D5D">
        <w:rPr>
          <w:rFonts w:ascii="Avenir Next LT Pro" w:hAnsi="Avenir Next LT Pro"/>
        </w:rPr>
        <w:t xml:space="preserve"> </w:t>
      </w:r>
    </w:p>
    <w:p w14:paraId="0E4EA576" w14:textId="0BA8D69D" w:rsidR="00C12FA5" w:rsidRPr="00E13D5D" w:rsidRDefault="00340287" w:rsidP="000E7FF0">
      <w:pPr>
        <w:pStyle w:val="Titre2"/>
        <w:rPr>
          <w:rFonts w:ascii="Avenir Next LT Pro" w:hAnsi="Avenir Next LT Pro"/>
        </w:rPr>
      </w:pPr>
      <w:bookmarkStart w:id="72" w:name="_Toc163230396"/>
      <w:r w:rsidRPr="00E13D5D">
        <w:rPr>
          <w:rFonts w:ascii="Avenir Next LT Pro" w:hAnsi="Avenir Next LT Pro"/>
        </w:rPr>
        <w:t xml:space="preserve">Plan de travail </w:t>
      </w:r>
      <w:r w:rsidR="00072645" w:rsidRPr="00E13D5D">
        <w:rPr>
          <w:rFonts w:ascii="Avenir Next LT Pro" w:hAnsi="Avenir Next LT Pro"/>
        </w:rPr>
        <w:t>et budget par produits/activités</w:t>
      </w:r>
      <w:bookmarkEnd w:id="72"/>
      <w:r w:rsidR="00072645" w:rsidRPr="00E13D5D">
        <w:rPr>
          <w:rFonts w:ascii="Avenir Next LT Pro" w:hAnsi="Avenir Next LT Pro"/>
        </w:rPr>
        <w:t xml:space="preserve"> </w:t>
      </w:r>
    </w:p>
    <w:p w14:paraId="24A4F12A" w14:textId="18B9E549" w:rsidR="00340287" w:rsidRPr="00C345C4" w:rsidRDefault="00340287" w:rsidP="00EF6E8E">
      <w:pPr>
        <w:spacing w:after="120"/>
        <w:rPr>
          <w:rFonts w:ascii="Avenir Next LT Pro" w:hAnsi="Avenir Next LT Pro"/>
          <w:color w:val="3E762A" w:themeColor="accent1" w:themeShade="BF"/>
          <w:lang w:eastAsia="fr-FR"/>
        </w:rPr>
      </w:pPr>
      <w:r w:rsidRPr="00E13D5D">
        <w:rPr>
          <w:rFonts w:ascii="Avenir Next LT Pro" w:hAnsi="Avenir Next LT Pro"/>
          <w:color w:val="3E762A" w:themeColor="accent1" w:themeShade="BF"/>
          <w:lang w:eastAsia="fr-FR"/>
        </w:rPr>
        <w:t xml:space="preserve">Insérer ici le tableau </w:t>
      </w:r>
      <w:r w:rsidR="005D1BC0" w:rsidRPr="00E13D5D">
        <w:rPr>
          <w:rFonts w:ascii="Avenir Next LT Pro" w:hAnsi="Avenir Next LT Pro"/>
          <w:color w:val="3E762A" w:themeColor="accent1" w:themeShade="BF"/>
          <w:lang w:eastAsia="fr-FR"/>
        </w:rPr>
        <w:t xml:space="preserve">présenté dans l’onglet </w:t>
      </w:r>
      <w:r w:rsidR="0086520B" w:rsidRPr="00E13D5D">
        <w:rPr>
          <w:rFonts w:ascii="Avenir Next LT Pro" w:hAnsi="Avenir Next LT Pro"/>
          <w:color w:val="3E762A" w:themeColor="accent1" w:themeShade="BF"/>
          <w:lang w:eastAsia="fr-FR"/>
        </w:rPr>
        <w:t>B</w:t>
      </w:r>
      <w:r w:rsidR="005D1BC0" w:rsidRPr="00E13D5D">
        <w:rPr>
          <w:rFonts w:ascii="Avenir Next LT Pro" w:hAnsi="Avenir Next LT Pro"/>
          <w:color w:val="3E762A" w:themeColor="accent1" w:themeShade="BF"/>
          <w:lang w:eastAsia="fr-FR"/>
        </w:rPr>
        <w:t xml:space="preserve"> du fichier </w:t>
      </w:r>
      <w:r w:rsidR="006168C8" w:rsidRPr="00E13D5D">
        <w:rPr>
          <w:rFonts w:ascii="Avenir Next LT Pro" w:hAnsi="Avenir Next LT Pro"/>
          <w:color w:val="3E762A" w:themeColor="accent1" w:themeShade="BF"/>
          <w:lang w:eastAsia="fr-FR"/>
        </w:rPr>
        <w:t>E</w:t>
      </w:r>
      <w:r w:rsidR="005D1BC0" w:rsidRPr="00E13D5D">
        <w:rPr>
          <w:rFonts w:ascii="Avenir Next LT Pro" w:hAnsi="Avenir Next LT Pro"/>
          <w:color w:val="3E762A" w:themeColor="accent1" w:themeShade="BF"/>
          <w:lang w:eastAsia="fr-FR"/>
        </w:rPr>
        <w:t>xcel</w:t>
      </w:r>
      <w:r w:rsidR="005D1BC0" w:rsidRPr="00C345C4">
        <w:rPr>
          <w:rFonts w:ascii="Avenir Next LT Pro" w:hAnsi="Avenir Next LT Pro"/>
          <w:color w:val="3E762A" w:themeColor="accent1" w:themeShade="BF"/>
          <w:lang w:eastAsia="fr-FR"/>
        </w:rPr>
        <w:t xml:space="preserve"> </w:t>
      </w:r>
      <w:r w:rsidR="000D4192" w:rsidRPr="00C345C4">
        <w:rPr>
          <w:rFonts w:ascii="Avenir Next LT Pro" w:hAnsi="Avenir Next LT Pro"/>
          <w:color w:val="3E762A" w:themeColor="accent1" w:themeShade="BF"/>
          <w:lang w:eastAsia="fr-FR"/>
        </w:rPr>
        <w:t xml:space="preserve">du budget. </w:t>
      </w:r>
      <w:r w:rsidR="005D1BC0" w:rsidRPr="00C345C4">
        <w:rPr>
          <w:rFonts w:ascii="Avenir Next LT Pro" w:hAnsi="Avenir Next LT Pro"/>
          <w:color w:val="3E762A" w:themeColor="accent1" w:themeShade="BF"/>
          <w:lang w:eastAsia="fr-FR"/>
        </w:rPr>
        <w:t xml:space="preserve"> </w:t>
      </w:r>
    </w:p>
    <w:p w14:paraId="47D92EB9" w14:textId="4B15314D" w:rsidR="00EF6E8E" w:rsidRDefault="00FA353A" w:rsidP="00FB0179">
      <w:pPr>
        <w:spacing w:after="120"/>
        <w:rPr>
          <w:rFonts w:ascii="Avenir Next LT Pro" w:hAnsi="Avenir Next LT Pro"/>
          <w:color w:val="3E762A" w:themeColor="accent1" w:themeShade="BF"/>
          <w:sz w:val="20"/>
          <w:szCs w:val="20"/>
          <w:lang w:eastAsia="fr-FR"/>
        </w:rPr>
      </w:pPr>
      <w:r w:rsidRPr="00FB0179">
        <w:rPr>
          <w:rFonts w:ascii="Avenir Next LT Pro" w:hAnsi="Avenir Next LT Pro"/>
          <w:color w:val="3E762A" w:themeColor="accent1" w:themeShade="BF"/>
          <w:lang w:eastAsia="fr-FR"/>
        </w:rPr>
        <w:lastRenderedPageBreak/>
        <w:t xml:space="preserve">Fournir par ailleurs en </w:t>
      </w:r>
      <w:r w:rsidR="00FB0179" w:rsidRPr="00FB0179">
        <w:rPr>
          <w:rFonts w:ascii="Avenir Next LT Pro" w:hAnsi="Avenir Next LT Pro"/>
          <w:color w:val="3E762A" w:themeColor="accent1" w:themeShade="BF"/>
          <w:lang w:eastAsia="fr-FR"/>
        </w:rPr>
        <w:t xml:space="preserve">Annexe </w:t>
      </w:r>
      <w:r w:rsidR="00CE5C4A">
        <w:rPr>
          <w:rFonts w:ascii="Avenir Next LT Pro" w:hAnsi="Avenir Next LT Pro"/>
          <w:color w:val="3E762A" w:themeColor="accent1" w:themeShade="BF"/>
          <w:lang w:eastAsia="fr-FR"/>
        </w:rPr>
        <w:t xml:space="preserve">10 </w:t>
      </w:r>
      <w:r w:rsidR="00FB0179" w:rsidRPr="00FB0179">
        <w:rPr>
          <w:rFonts w:ascii="Avenir Next LT Pro" w:hAnsi="Avenir Next LT Pro"/>
          <w:color w:val="3E762A" w:themeColor="accent1" w:themeShade="BF"/>
          <w:lang w:eastAsia="fr-FR"/>
        </w:rPr>
        <w:t>le Plan de travail et budget annuel détaillé pour l’année</w:t>
      </w:r>
      <w:r w:rsidR="006501F7" w:rsidRPr="00C345C4">
        <w:rPr>
          <w:rFonts w:ascii="Avenir Next LT Pro" w:hAnsi="Avenir Next LT Pro"/>
          <w:color w:val="3E762A" w:themeColor="accent1" w:themeShade="BF"/>
          <w:sz w:val="20"/>
          <w:szCs w:val="20"/>
          <w:lang w:eastAsia="fr-FR"/>
        </w:rPr>
        <w:t> </w:t>
      </w:r>
      <w:r w:rsidR="006501F7">
        <w:rPr>
          <w:rFonts w:ascii="Avenir Next LT Pro" w:hAnsi="Avenir Next LT Pro"/>
          <w:color w:val="3E762A" w:themeColor="accent1" w:themeShade="BF"/>
          <w:sz w:val="20"/>
          <w:szCs w:val="20"/>
          <w:lang w:eastAsia="fr-FR"/>
        </w:rPr>
        <w:t>1.</w:t>
      </w:r>
    </w:p>
    <w:p w14:paraId="28D5B077" w14:textId="77777777" w:rsidR="006D6D09" w:rsidRDefault="006D6D09" w:rsidP="00FB0179">
      <w:pPr>
        <w:spacing w:after="120"/>
        <w:rPr>
          <w:rFonts w:ascii="Avenir Next LT Pro" w:hAnsi="Avenir Next LT Pro"/>
          <w:color w:val="3E762A" w:themeColor="accent1" w:themeShade="BF"/>
          <w:sz w:val="20"/>
          <w:szCs w:val="20"/>
          <w:lang w:eastAsia="fr-FR"/>
        </w:rPr>
      </w:pPr>
    </w:p>
    <w:p w14:paraId="3ADB84F5" w14:textId="77777777" w:rsidR="006D6D09" w:rsidRDefault="006D6D09" w:rsidP="00FB0179">
      <w:pPr>
        <w:spacing w:after="120"/>
        <w:rPr>
          <w:rFonts w:ascii="Avenir Next LT Pro" w:hAnsi="Avenir Next LT Pro"/>
          <w:color w:val="3E762A" w:themeColor="accent1" w:themeShade="BF"/>
          <w:sz w:val="20"/>
          <w:szCs w:val="20"/>
          <w:lang w:eastAsia="fr-FR"/>
        </w:rPr>
      </w:pPr>
    </w:p>
    <w:p w14:paraId="18633AE8" w14:textId="77777777" w:rsidR="006D6D09" w:rsidRDefault="006D6D09" w:rsidP="00FB0179">
      <w:pPr>
        <w:spacing w:after="120"/>
        <w:rPr>
          <w:rFonts w:ascii="Avenir Next LT Pro" w:hAnsi="Avenir Next LT Pro"/>
          <w:color w:val="3E762A" w:themeColor="accent1" w:themeShade="BF"/>
          <w:sz w:val="20"/>
          <w:szCs w:val="20"/>
          <w:lang w:eastAsia="fr-FR"/>
        </w:rPr>
      </w:pPr>
    </w:p>
    <w:p w14:paraId="4D0F957D" w14:textId="77777777" w:rsidR="006D6D09" w:rsidRDefault="006D6D09" w:rsidP="00FB0179">
      <w:pPr>
        <w:spacing w:after="120"/>
        <w:rPr>
          <w:rFonts w:ascii="Avenir Next LT Pro" w:hAnsi="Avenir Next LT Pro"/>
          <w:color w:val="3E762A" w:themeColor="accent1" w:themeShade="BF"/>
          <w:sz w:val="20"/>
          <w:szCs w:val="20"/>
          <w:lang w:eastAsia="fr-FR"/>
        </w:rPr>
      </w:pPr>
    </w:p>
    <w:p w14:paraId="41D58F73" w14:textId="77777777" w:rsidR="006D6D09" w:rsidRDefault="006D6D09" w:rsidP="00FB0179">
      <w:pPr>
        <w:spacing w:after="120"/>
        <w:rPr>
          <w:rFonts w:ascii="Avenir Next LT Pro" w:hAnsi="Avenir Next LT Pro"/>
          <w:color w:val="3E762A" w:themeColor="accent1" w:themeShade="BF"/>
          <w:sz w:val="20"/>
          <w:szCs w:val="20"/>
          <w:lang w:eastAsia="fr-FR"/>
        </w:rPr>
      </w:pPr>
    </w:p>
    <w:p w14:paraId="1C8D4E77" w14:textId="4C1DC683" w:rsidR="004D423E" w:rsidRPr="00E13D5D" w:rsidRDefault="0016601A" w:rsidP="00E13D5D">
      <w:pPr>
        <w:pStyle w:val="Lgende"/>
        <w:rPr>
          <w:b/>
          <w:bCs/>
          <w:lang w:eastAsia="fr-FR"/>
        </w:rPr>
        <w:sectPr w:rsidR="004D423E" w:rsidRPr="00E13D5D" w:rsidSect="00861E2D">
          <w:headerReference w:type="default" r:id="rId35"/>
          <w:pgSz w:w="11906" w:h="16838"/>
          <w:pgMar w:top="1418" w:right="1418" w:bottom="1418" w:left="1418" w:header="709" w:footer="709" w:gutter="0"/>
          <w:cols w:space="708"/>
          <w:docGrid w:linePitch="360"/>
        </w:sectPr>
      </w:pPr>
      <w:bookmarkStart w:id="73" w:name="_Toc179238790"/>
      <w:r w:rsidRPr="00E13D5D">
        <w:rPr>
          <w:b/>
          <w:bCs/>
          <w:i w:val="0"/>
          <w:iCs w:val="0"/>
        </w:rPr>
        <w:t xml:space="preserve">Tableau </w:t>
      </w:r>
      <w:r w:rsidRPr="00E13D5D">
        <w:rPr>
          <w:b/>
          <w:bCs/>
          <w:i w:val="0"/>
          <w:iCs w:val="0"/>
        </w:rPr>
        <w:fldChar w:fldCharType="begin"/>
      </w:r>
      <w:r w:rsidRPr="00E13D5D">
        <w:rPr>
          <w:b/>
          <w:bCs/>
          <w:i w:val="0"/>
          <w:iCs w:val="0"/>
        </w:rPr>
        <w:instrText xml:space="preserve"> SEQ Tableau \* ARABIC </w:instrText>
      </w:r>
      <w:r w:rsidRPr="00E13D5D">
        <w:rPr>
          <w:b/>
          <w:bCs/>
          <w:i w:val="0"/>
          <w:iCs w:val="0"/>
        </w:rPr>
        <w:fldChar w:fldCharType="separate"/>
      </w:r>
      <w:r w:rsidR="0059639C">
        <w:rPr>
          <w:b/>
          <w:bCs/>
          <w:i w:val="0"/>
          <w:iCs w:val="0"/>
          <w:noProof/>
        </w:rPr>
        <w:t>6</w:t>
      </w:r>
      <w:r w:rsidRPr="00E13D5D">
        <w:rPr>
          <w:b/>
          <w:bCs/>
          <w:i w:val="0"/>
          <w:iCs w:val="0"/>
        </w:rPr>
        <w:fldChar w:fldCharType="end"/>
      </w:r>
      <w:r w:rsidRPr="00E13D5D">
        <w:rPr>
          <w:b/>
          <w:bCs/>
          <w:i w:val="0"/>
          <w:iCs w:val="0"/>
        </w:rPr>
        <w:t xml:space="preserve"> Plan de Travail et Budget par produit</w:t>
      </w:r>
      <w:bookmarkEnd w:id="73"/>
    </w:p>
    <w:tbl>
      <w:tblPr>
        <w:tblW w:w="14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9"/>
        <w:gridCol w:w="641"/>
        <w:gridCol w:w="2534"/>
        <w:gridCol w:w="3172"/>
        <w:gridCol w:w="1587"/>
        <w:gridCol w:w="577"/>
        <w:gridCol w:w="208"/>
        <w:gridCol w:w="38"/>
        <w:gridCol w:w="170"/>
        <w:gridCol w:w="38"/>
        <w:gridCol w:w="171"/>
        <w:gridCol w:w="37"/>
        <w:gridCol w:w="171"/>
        <w:gridCol w:w="37"/>
        <w:gridCol w:w="174"/>
        <w:gridCol w:w="34"/>
        <w:gridCol w:w="742"/>
        <w:gridCol w:w="34"/>
        <w:gridCol w:w="1175"/>
        <w:gridCol w:w="41"/>
        <w:gridCol w:w="836"/>
        <w:gridCol w:w="1395"/>
        <w:gridCol w:w="6"/>
        <w:gridCol w:w="54"/>
      </w:tblGrid>
      <w:tr w:rsidR="002C377A" w:rsidRPr="00B50C36" w14:paraId="532D924C" w14:textId="77777777" w:rsidTr="002C377A">
        <w:trPr>
          <w:gridAfter w:val="2"/>
          <w:wAfter w:w="60" w:type="dxa"/>
          <w:trHeight w:val="264"/>
        </w:trPr>
        <w:tc>
          <w:tcPr>
            <w:tcW w:w="709" w:type="dxa"/>
            <w:vMerge w:val="restart"/>
            <w:shd w:val="clear" w:color="000000" w:fill="3F752B"/>
            <w:textDirection w:val="tbLrV"/>
            <w:hideMark/>
          </w:tcPr>
          <w:p w14:paraId="28B007F9" w14:textId="77777777" w:rsidR="002C377A" w:rsidRPr="00B50C36" w:rsidRDefault="002C377A" w:rsidP="005B16B5">
            <w:pPr>
              <w:spacing w:after="0"/>
              <w:jc w:val="center"/>
              <w:rPr>
                <w:rFonts w:eastAsia="Times New Roman" w:cs="Calibri"/>
                <w:b/>
                <w:bCs/>
                <w:color w:val="FFFFFF"/>
                <w:sz w:val="16"/>
                <w:szCs w:val="16"/>
                <w:lang w:eastAsia="fr-FR"/>
              </w:rPr>
            </w:pPr>
            <w:r w:rsidRPr="00B50C36">
              <w:rPr>
                <w:rFonts w:eastAsia="Times New Roman" w:cs="Calibri"/>
                <w:b/>
                <w:bCs/>
                <w:color w:val="FFFFFF"/>
                <w:sz w:val="16"/>
                <w:szCs w:val="16"/>
                <w:lang w:eastAsia="fr-FR"/>
              </w:rPr>
              <w:lastRenderedPageBreak/>
              <w:t>Produit</w:t>
            </w:r>
          </w:p>
        </w:tc>
        <w:tc>
          <w:tcPr>
            <w:tcW w:w="641" w:type="dxa"/>
            <w:vMerge w:val="restart"/>
            <w:shd w:val="clear" w:color="000000" w:fill="3F752B"/>
            <w:textDirection w:val="tbLrV"/>
            <w:hideMark/>
          </w:tcPr>
          <w:p w14:paraId="042EA8A3" w14:textId="77777777" w:rsidR="002C377A" w:rsidRPr="00B50C36" w:rsidRDefault="002C377A" w:rsidP="005B16B5">
            <w:pPr>
              <w:spacing w:after="0"/>
              <w:jc w:val="center"/>
              <w:rPr>
                <w:rFonts w:eastAsia="Times New Roman" w:cs="Calibri"/>
                <w:b/>
                <w:bCs/>
                <w:color w:val="FFFFFF"/>
                <w:sz w:val="16"/>
                <w:szCs w:val="16"/>
                <w:lang w:eastAsia="fr-FR"/>
              </w:rPr>
            </w:pPr>
            <w:r w:rsidRPr="00B50C36">
              <w:rPr>
                <w:rFonts w:eastAsia="Times New Roman" w:cs="Calibri"/>
                <w:b/>
                <w:bCs/>
                <w:color w:val="FFFFFF"/>
                <w:sz w:val="16"/>
                <w:szCs w:val="16"/>
                <w:lang w:eastAsia="fr-FR"/>
              </w:rPr>
              <w:t>Activité</w:t>
            </w:r>
          </w:p>
        </w:tc>
        <w:tc>
          <w:tcPr>
            <w:tcW w:w="2534" w:type="dxa"/>
            <w:vMerge w:val="restart"/>
            <w:shd w:val="clear" w:color="000000" w:fill="3F752B"/>
            <w:vAlign w:val="center"/>
            <w:hideMark/>
          </w:tcPr>
          <w:p w14:paraId="0D082C24"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Activités</w:t>
            </w:r>
          </w:p>
        </w:tc>
        <w:tc>
          <w:tcPr>
            <w:tcW w:w="3172" w:type="dxa"/>
            <w:vMerge w:val="restart"/>
            <w:shd w:val="clear" w:color="000000" w:fill="3F752B"/>
            <w:vAlign w:val="center"/>
            <w:hideMark/>
          </w:tcPr>
          <w:p w14:paraId="0D921A07"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Organisation de mise en oeuvre</w:t>
            </w:r>
          </w:p>
        </w:tc>
        <w:tc>
          <w:tcPr>
            <w:tcW w:w="1587" w:type="dxa"/>
            <w:vMerge w:val="restart"/>
            <w:shd w:val="clear" w:color="000000" w:fill="3F752B"/>
            <w:vAlign w:val="center"/>
            <w:hideMark/>
          </w:tcPr>
          <w:p w14:paraId="38FD33D1"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Partenaire de mise en oeuvre</w:t>
            </w:r>
          </w:p>
        </w:tc>
        <w:tc>
          <w:tcPr>
            <w:tcW w:w="1621" w:type="dxa"/>
            <w:gridSpan w:val="10"/>
            <w:shd w:val="clear" w:color="000000" w:fill="3F752B"/>
            <w:vAlign w:val="bottom"/>
            <w:hideMark/>
          </w:tcPr>
          <w:p w14:paraId="64B9B862"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 xml:space="preserve">Chronogramme </w:t>
            </w:r>
          </w:p>
        </w:tc>
        <w:tc>
          <w:tcPr>
            <w:tcW w:w="776" w:type="dxa"/>
            <w:gridSpan w:val="2"/>
            <w:vMerge w:val="restart"/>
            <w:shd w:val="clear" w:color="000000" w:fill="3F752B"/>
            <w:vAlign w:val="center"/>
            <w:hideMark/>
          </w:tcPr>
          <w:p w14:paraId="43E3712D"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Budget planifié CAFI</w:t>
            </w:r>
          </w:p>
        </w:tc>
        <w:tc>
          <w:tcPr>
            <w:tcW w:w="1209" w:type="dxa"/>
            <w:gridSpan w:val="2"/>
            <w:vMerge w:val="restart"/>
            <w:shd w:val="clear" w:color="000000" w:fill="3F752B"/>
            <w:vAlign w:val="center"/>
            <w:hideMark/>
          </w:tcPr>
          <w:p w14:paraId="0779A291"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Budget planifié</w:t>
            </w:r>
            <w:r w:rsidRPr="00B50C36">
              <w:rPr>
                <w:rFonts w:eastAsia="Times New Roman" w:cs="Calibri"/>
                <w:b/>
                <w:bCs/>
                <w:color w:val="FFFFFF"/>
                <w:lang w:eastAsia="fr-FR"/>
              </w:rPr>
              <w:br/>
              <w:t>Co-financements</w:t>
            </w:r>
          </w:p>
        </w:tc>
        <w:tc>
          <w:tcPr>
            <w:tcW w:w="877" w:type="dxa"/>
            <w:gridSpan w:val="2"/>
            <w:vMerge w:val="restart"/>
            <w:shd w:val="clear" w:color="000000" w:fill="3F752B"/>
            <w:vAlign w:val="center"/>
            <w:hideMark/>
          </w:tcPr>
          <w:p w14:paraId="605E58A2"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Budget planifié TOTAL</w:t>
            </w:r>
          </w:p>
        </w:tc>
        <w:tc>
          <w:tcPr>
            <w:tcW w:w="1395" w:type="dxa"/>
            <w:vMerge w:val="restart"/>
            <w:shd w:val="clear" w:color="000000" w:fill="3F752B"/>
            <w:vAlign w:val="center"/>
            <w:hideMark/>
          </w:tcPr>
          <w:p w14:paraId="1E7B3564" w14:textId="77777777" w:rsidR="002C377A" w:rsidRPr="00B50C36" w:rsidRDefault="002C377A" w:rsidP="005B16B5">
            <w:pPr>
              <w:spacing w:after="0"/>
              <w:jc w:val="center"/>
              <w:rPr>
                <w:rFonts w:eastAsia="Times New Roman" w:cs="Calibri"/>
                <w:color w:val="FFFFFF"/>
                <w:lang w:eastAsia="fr-FR"/>
              </w:rPr>
            </w:pPr>
            <w:r w:rsidRPr="00B50C36">
              <w:rPr>
                <w:rFonts w:eastAsia="Times New Roman" w:cs="Calibri"/>
                <w:color w:val="FFFFFF"/>
                <w:lang w:eastAsia="fr-FR"/>
              </w:rPr>
              <w:t>% (CAFI)</w:t>
            </w:r>
          </w:p>
        </w:tc>
      </w:tr>
      <w:tr w:rsidR="002C377A" w:rsidRPr="00B50C36" w14:paraId="678CDC2F" w14:textId="77777777" w:rsidTr="002C377A">
        <w:trPr>
          <w:gridAfter w:val="2"/>
          <w:wAfter w:w="60" w:type="dxa"/>
          <w:trHeight w:val="276"/>
        </w:trPr>
        <w:tc>
          <w:tcPr>
            <w:tcW w:w="709" w:type="dxa"/>
            <w:vMerge/>
            <w:vAlign w:val="center"/>
            <w:hideMark/>
          </w:tcPr>
          <w:p w14:paraId="021D08F9" w14:textId="77777777" w:rsidR="002C377A" w:rsidRPr="00B50C36" w:rsidRDefault="002C377A" w:rsidP="005B16B5">
            <w:pPr>
              <w:spacing w:after="0"/>
              <w:rPr>
                <w:rFonts w:eastAsia="Times New Roman" w:cs="Calibri"/>
                <w:b/>
                <w:bCs/>
                <w:color w:val="FFFFFF"/>
                <w:sz w:val="16"/>
                <w:szCs w:val="16"/>
                <w:lang w:eastAsia="fr-FR"/>
              </w:rPr>
            </w:pPr>
          </w:p>
        </w:tc>
        <w:tc>
          <w:tcPr>
            <w:tcW w:w="641" w:type="dxa"/>
            <w:vMerge/>
            <w:vAlign w:val="center"/>
            <w:hideMark/>
          </w:tcPr>
          <w:p w14:paraId="2EEDFCB8" w14:textId="77777777" w:rsidR="002C377A" w:rsidRPr="00B50C36" w:rsidRDefault="002C377A" w:rsidP="005B16B5">
            <w:pPr>
              <w:spacing w:after="0"/>
              <w:rPr>
                <w:rFonts w:eastAsia="Times New Roman" w:cs="Calibri"/>
                <w:b/>
                <w:bCs/>
                <w:color w:val="FFFFFF"/>
                <w:sz w:val="16"/>
                <w:szCs w:val="16"/>
                <w:lang w:eastAsia="fr-FR"/>
              </w:rPr>
            </w:pPr>
          </w:p>
        </w:tc>
        <w:tc>
          <w:tcPr>
            <w:tcW w:w="2534" w:type="dxa"/>
            <w:vMerge/>
            <w:vAlign w:val="center"/>
            <w:hideMark/>
          </w:tcPr>
          <w:p w14:paraId="7B04E487" w14:textId="77777777" w:rsidR="002C377A" w:rsidRPr="00B50C36" w:rsidRDefault="002C377A" w:rsidP="005B16B5">
            <w:pPr>
              <w:spacing w:after="0"/>
              <w:rPr>
                <w:rFonts w:eastAsia="Times New Roman" w:cs="Calibri"/>
                <w:b/>
                <w:bCs/>
                <w:color w:val="FFFFFF"/>
                <w:lang w:eastAsia="fr-FR"/>
              </w:rPr>
            </w:pPr>
          </w:p>
        </w:tc>
        <w:tc>
          <w:tcPr>
            <w:tcW w:w="3172" w:type="dxa"/>
            <w:vMerge/>
            <w:vAlign w:val="center"/>
            <w:hideMark/>
          </w:tcPr>
          <w:p w14:paraId="05BFFD0B" w14:textId="77777777" w:rsidR="002C377A" w:rsidRPr="00B50C36" w:rsidRDefault="002C377A" w:rsidP="005B16B5">
            <w:pPr>
              <w:spacing w:after="0"/>
              <w:rPr>
                <w:rFonts w:eastAsia="Times New Roman" w:cs="Calibri"/>
                <w:b/>
                <w:bCs/>
                <w:color w:val="FFFFFF"/>
                <w:lang w:eastAsia="fr-FR"/>
              </w:rPr>
            </w:pPr>
          </w:p>
        </w:tc>
        <w:tc>
          <w:tcPr>
            <w:tcW w:w="1587" w:type="dxa"/>
            <w:vMerge/>
            <w:vAlign w:val="center"/>
            <w:hideMark/>
          </w:tcPr>
          <w:p w14:paraId="315B34FC" w14:textId="77777777" w:rsidR="002C377A" w:rsidRPr="00B50C36" w:rsidRDefault="002C377A" w:rsidP="005B16B5">
            <w:pPr>
              <w:spacing w:after="0"/>
              <w:rPr>
                <w:rFonts w:eastAsia="Times New Roman" w:cs="Calibri"/>
                <w:b/>
                <w:bCs/>
                <w:color w:val="FFFFFF"/>
                <w:lang w:eastAsia="fr-FR"/>
              </w:rPr>
            </w:pPr>
          </w:p>
        </w:tc>
        <w:tc>
          <w:tcPr>
            <w:tcW w:w="577" w:type="dxa"/>
            <w:shd w:val="clear" w:color="000000" w:fill="3F752B"/>
            <w:vAlign w:val="center"/>
            <w:hideMark/>
          </w:tcPr>
          <w:p w14:paraId="130C84E9"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A1</w:t>
            </w:r>
          </w:p>
        </w:tc>
        <w:tc>
          <w:tcPr>
            <w:tcW w:w="208" w:type="dxa"/>
            <w:shd w:val="clear" w:color="000000" w:fill="3F752B"/>
            <w:vAlign w:val="center"/>
          </w:tcPr>
          <w:p w14:paraId="62539E8E" w14:textId="77777777" w:rsidR="002C377A" w:rsidRPr="00B50C36" w:rsidRDefault="002C377A" w:rsidP="005B16B5">
            <w:pPr>
              <w:spacing w:after="0"/>
              <w:jc w:val="center"/>
              <w:rPr>
                <w:rFonts w:eastAsia="Times New Roman" w:cs="Calibri"/>
                <w:b/>
                <w:bCs/>
                <w:color w:val="FFFFFF"/>
                <w:lang w:eastAsia="fr-FR"/>
              </w:rPr>
            </w:pPr>
          </w:p>
        </w:tc>
        <w:tc>
          <w:tcPr>
            <w:tcW w:w="417" w:type="dxa"/>
            <w:gridSpan w:val="4"/>
            <w:shd w:val="clear" w:color="000000" w:fill="3F752B"/>
            <w:vAlign w:val="center"/>
            <w:hideMark/>
          </w:tcPr>
          <w:p w14:paraId="3CF6AB77"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A2</w:t>
            </w:r>
          </w:p>
        </w:tc>
        <w:tc>
          <w:tcPr>
            <w:tcW w:w="419" w:type="dxa"/>
            <w:gridSpan w:val="4"/>
            <w:shd w:val="clear" w:color="000000" w:fill="3F752B"/>
            <w:vAlign w:val="center"/>
            <w:hideMark/>
          </w:tcPr>
          <w:p w14:paraId="5E1CD410"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A3</w:t>
            </w:r>
          </w:p>
        </w:tc>
        <w:tc>
          <w:tcPr>
            <w:tcW w:w="776" w:type="dxa"/>
            <w:gridSpan w:val="2"/>
            <w:vMerge/>
            <w:vAlign w:val="center"/>
            <w:hideMark/>
          </w:tcPr>
          <w:p w14:paraId="13004FDE" w14:textId="77777777" w:rsidR="002C377A" w:rsidRPr="00B50C36" w:rsidRDefault="002C377A" w:rsidP="005B16B5">
            <w:pPr>
              <w:spacing w:after="0"/>
              <w:rPr>
                <w:rFonts w:eastAsia="Times New Roman" w:cs="Calibri"/>
                <w:b/>
                <w:bCs/>
                <w:color w:val="FFFFFF"/>
                <w:lang w:eastAsia="fr-FR"/>
              </w:rPr>
            </w:pPr>
          </w:p>
        </w:tc>
        <w:tc>
          <w:tcPr>
            <w:tcW w:w="1209" w:type="dxa"/>
            <w:gridSpan w:val="2"/>
            <w:vMerge/>
            <w:vAlign w:val="center"/>
            <w:hideMark/>
          </w:tcPr>
          <w:p w14:paraId="0E04BA43" w14:textId="77777777" w:rsidR="002C377A" w:rsidRPr="00B50C36" w:rsidRDefault="002C377A" w:rsidP="005B16B5">
            <w:pPr>
              <w:spacing w:after="0"/>
              <w:rPr>
                <w:rFonts w:eastAsia="Times New Roman" w:cs="Calibri"/>
                <w:b/>
                <w:bCs/>
                <w:color w:val="FFFFFF"/>
                <w:lang w:eastAsia="fr-FR"/>
              </w:rPr>
            </w:pPr>
          </w:p>
        </w:tc>
        <w:tc>
          <w:tcPr>
            <w:tcW w:w="877" w:type="dxa"/>
            <w:gridSpan w:val="2"/>
            <w:vMerge/>
            <w:vAlign w:val="center"/>
            <w:hideMark/>
          </w:tcPr>
          <w:p w14:paraId="666A622C" w14:textId="77777777" w:rsidR="002C377A" w:rsidRPr="00B50C36" w:rsidRDefault="002C377A" w:rsidP="005B16B5">
            <w:pPr>
              <w:spacing w:after="0"/>
              <w:rPr>
                <w:rFonts w:eastAsia="Times New Roman" w:cs="Calibri"/>
                <w:b/>
                <w:bCs/>
                <w:color w:val="FFFFFF"/>
                <w:lang w:eastAsia="fr-FR"/>
              </w:rPr>
            </w:pPr>
          </w:p>
        </w:tc>
        <w:tc>
          <w:tcPr>
            <w:tcW w:w="1395" w:type="dxa"/>
            <w:vMerge/>
            <w:vAlign w:val="center"/>
            <w:hideMark/>
          </w:tcPr>
          <w:p w14:paraId="1A4516EA" w14:textId="77777777" w:rsidR="002C377A" w:rsidRPr="00B50C36" w:rsidRDefault="002C377A" w:rsidP="005B16B5">
            <w:pPr>
              <w:spacing w:after="0"/>
              <w:rPr>
                <w:rFonts w:eastAsia="Times New Roman" w:cs="Calibri"/>
                <w:color w:val="FFFFFF"/>
                <w:lang w:eastAsia="fr-FR"/>
              </w:rPr>
            </w:pPr>
          </w:p>
        </w:tc>
      </w:tr>
      <w:tr w:rsidR="002C377A" w:rsidRPr="00B50C36" w14:paraId="146E71F6" w14:textId="77777777" w:rsidTr="002C377A">
        <w:trPr>
          <w:gridAfter w:val="2"/>
          <w:wAfter w:w="60" w:type="dxa"/>
          <w:trHeight w:val="288"/>
        </w:trPr>
        <w:tc>
          <w:tcPr>
            <w:tcW w:w="709" w:type="dxa"/>
            <w:vMerge/>
            <w:vAlign w:val="center"/>
            <w:hideMark/>
          </w:tcPr>
          <w:p w14:paraId="21E7D45D" w14:textId="77777777" w:rsidR="002C377A" w:rsidRPr="00B50C36" w:rsidRDefault="002C377A" w:rsidP="005B16B5">
            <w:pPr>
              <w:spacing w:after="0"/>
              <w:rPr>
                <w:rFonts w:eastAsia="Times New Roman" w:cs="Calibri"/>
                <w:b/>
                <w:bCs/>
                <w:color w:val="FFFFFF"/>
                <w:sz w:val="16"/>
                <w:szCs w:val="16"/>
                <w:lang w:eastAsia="fr-FR"/>
              </w:rPr>
            </w:pPr>
          </w:p>
        </w:tc>
        <w:tc>
          <w:tcPr>
            <w:tcW w:w="641" w:type="dxa"/>
            <w:vMerge/>
            <w:vAlign w:val="center"/>
            <w:hideMark/>
          </w:tcPr>
          <w:p w14:paraId="55CAACBB" w14:textId="77777777" w:rsidR="002C377A" w:rsidRPr="00B50C36" w:rsidRDefault="002C377A" w:rsidP="005B16B5">
            <w:pPr>
              <w:spacing w:after="0"/>
              <w:rPr>
                <w:rFonts w:eastAsia="Times New Roman" w:cs="Calibri"/>
                <w:b/>
                <w:bCs/>
                <w:color w:val="FFFFFF"/>
                <w:sz w:val="16"/>
                <w:szCs w:val="16"/>
                <w:lang w:eastAsia="fr-FR"/>
              </w:rPr>
            </w:pPr>
          </w:p>
        </w:tc>
        <w:tc>
          <w:tcPr>
            <w:tcW w:w="2534" w:type="dxa"/>
            <w:vMerge/>
            <w:vAlign w:val="center"/>
            <w:hideMark/>
          </w:tcPr>
          <w:p w14:paraId="5B515D92" w14:textId="77777777" w:rsidR="002C377A" w:rsidRPr="00B50C36" w:rsidRDefault="002C377A" w:rsidP="005B16B5">
            <w:pPr>
              <w:spacing w:after="0"/>
              <w:rPr>
                <w:rFonts w:eastAsia="Times New Roman" w:cs="Calibri"/>
                <w:b/>
                <w:bCs/>
                <w:color w:val="FFFFFF"/>
                <w:lang w:eastAsia="fr-FR"/>
              </w:rPr>
            </w:pPr>
          </w:p>
        </w:tc>
        <w:tc>
          <w:tcPr>
            <w:tcW w:w="3172" w:type="dxa"/>
            <w:vMerge/>
            <w:vAlign w:val="center"/>
            <w:hideMark/>
          </w:tcPr>
          <w:p w14:paraId="5B7F897F" w14:textId="77777777" w:rsidR="002C377A" w:rsidRPr="00B50C36" w:rsidRDefault="002C377A" w:rsidP="005B16B5">
            <w:pPr>
              <w:spacing w:after="0"/>
              <w:rPr>
                <w:rFonts w:eastAsia="Times New Roman" w:cs="Calibri"/>
                <w:b/>
                <w:bCs/>
                <w:color w:val="FFFFFF"/>
                <w:lang w:eastAsia="fr-FR"/>
              </w:rPr>
            </w:pPr>
          </w:p>
        </w:tc>
        <w:tc>
          <w:tcPr>
            <w:tcW w:w="1587" w:type="dxa"/>
            <w:vMerge/>
            <w:vAlign w:val="center"/>
            <w:hideMark/>
          </w:tcPr>
          <w:p w14:paraId="46CAB6B6" w14:textId="77777777" w:rsidR="002C377A" w:rsidRPr="00B50C36" w:rsidRDefault="002C377A" w:rsidP="005B16B5">
            <w:pPr>
              <w:spacing w:after="0"/>
              <w:rPr>
                <w:rFonts w:eastAsia="Times New Roman" w:cs="Calibri"/>
                <w:b/>
                <w:bCs/>
                <w:color w:val="FFFFFF"/>
                <w:lang w:eastAsia="fr-FR"/>
              </w:rPr>
            </w:pPr>
          </w:p>
        </w:tc>
        <w:tc>
          <w:tcPr>
            <w:tcW w:w="577" w:type="dxa"/>
            <w:shd w:val="clear" w:color="000000" w:fill="3F752B"/>
            <w:vAlign w:val="center"/>
            <w:hideMark/>
          </w:tcPr>
          <w:p w14:paraId="69D03B55"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S1</w:t>
            </w:r>
          </w:p>
        </w:tc>
        <w:tc>
          <w:tcPr>
            <w:tcW w:w="208" w:type="dxa"/>
            <w:shd w:val="clear" w:color="000000" w:fill="3F752B"/>
            <w:vAlign w:val="center"/>
            <w:hideMark/>
          </w:tcPr>
          <w:p w14:paraId="74811633"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S2</w:t>
            </w:r>
          </w:p>
        </w:tc>
        <w:tc>
          <w:tcPr>
            <w:tcW w:w="208" w:type="dxa"/>
            <w:gridSpan w:val="2"/>
            <w:shd w:val="clear" w:color="000000" w:fill="3F752B"/>
            <w:vAlign w:val="center"/>
            <w:hideMark/>
          </w:tcPr>
          <w:p w14:paraId="173D9911"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S1</w:t>
            </w:r>
          </w:p>
        </w:tc>
        <w:tc>
          <w:tcPr>
            <w:tcW w:w="209" w:type="dxa"/>
            <w:gridSpan w:val="2"/>
            <w:shd w:val="clear" w:color="000000" w:fill="3F752B"/>
            <w:vAlign w:val="center"/>
            <w:hideMark/>
          </w:tcPr>
          <w:p w14:paraId="3125E271"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S2</w:t>
            </w:r>
          </w:p>
        </w:tc>
        <w:tc>
          <w:tcPr>
            <w:tcW w:w="208" w:type="dxa"/>
            <w:gridSpan w:val="2"/>
            <w:shd w:val="clear" w:color="000000" w:fill="3F752B"/>
            <w:vAlign w:val="center"/>
            <w:hideMark/>
          </w:tcPr>
          <w:p w14:paraId="156CC48C"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S1</w:t>
            </w:r>
          </w:p>
        </w:tc>
        <w:tc>
          <w:tcPr>
            <w:tcW w:w="211" w:type="dxa"/>
            <w:gridSpan w:val="2"/>
            <w:shd w:val="clear" w:color="000000" w:fill="3F752B"/>
            <w:vAlign w:val="center"/>
            <w:hideMark/>
          </w:tcPr>
          <w:p w14:paraId="08BCEAE1"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S2</w:t>
            </w:r>
          </w:p>
        </w:tc>
        <w:tc>
          <w:tcPr>
            <w:tcW w:w="776" w:type="dxa"/>
            <w:gridSpan w:val="2"/>
            <w:vMerge/>
            <w:vAlign w:val="center"/>
            <w:hideMark/>
          </w:tcPr>
          <w:p w14:paraId="528B802C" w14:textId="77777777" w:rsidR="002C377A" w:rsidRPr="00B50C36" w:rsidRDefault="002C377A" w:rsidP="005B16B5">
            <w:pPr>
              <w:spacing w:after="0"/>
              <w:rPr>
                <w:rFonts w:eastAsia="Times New Roman" w:cs="Calibri"/>
                <w:b/>
                <w:bCs/>
                <w:color w:val="FFFFFF"/>
                <w:lang w:eastAsia="fr-FR"/>
              </w:rPr>
            </w:pPr>
          </w:p>
        </w:tc>
        <w:tc>
          <w:tcPr>
            <w:tcW w:w="1209" w:type="dxa"/>
            <w:gridSpan w:val="2"/>
            <w:vMerge/>
            <w:vAlign w:val="center"/>
            <w:hideMark/>
          </w:tcPr>
          <w:p w14:paraId="4CC0E7EF" w14:textId="77777777" w:rsidR="002C377A" w:rsidRPr="00B50C36" w:rsidRDefault="002C377A" w:rsidP="005B16B5">
            <w:pPr>
              <w:spacing w:after="0"/>
              <w:rPr>
                <w:rFonts w:eastAsia="Times New Roman" w:cs="Calibri"/>
                <w:b/>
                <w:bCs/>
                <w:color w:val="FFFFFF"/>
                <w:lang w:eastAsia="fr-FR"/>
              </w:rPr>
            </w:pPr>
          </w:p>
        </w:tc>
        <w:tc>
          <w:tcPr>
            <w:tcW w:w="877" w:type="dxa"/>
            <w:gridSpan w:val="2"/>
            <w:vMerge/>
            <w:vAlign w:val="center"/>
            <w:hideMark/>
          </w:tcPr>
          <w:p w14:paraId="1F8E8E66" w14:textId="77777777" w:rsidR="002C377A" w:rsidRPr="00B50C36" w:rsidRDefault="002C377A" w:rsidP="005B16B5">
            <w:pPr>
              <w:spacing w:after="0"/>
              <w:rPr>
                <w:rFonts w:eastAsia="Times New Roman" w:cs="Calibri"/>
                <w:b/>
                <w:bCs/>
                <w:color w:val="FFFFFF"/>
                <w:lang w:eastAsia="fr-FR"/>
              </w:rPr>
            </w:pPr>
          </w:p>
        </w:tc>
        <w:tc>
          <w:tcPr>
            <w:tcW w:w="1395" w:type="dxa"/>
            <w:vMerge/>
            <w:vAlign w:val="center"/>
            <w:hideMark/>
          </w:tcPr>
          <w:p w14:paraId="3AF998FA" w14:textId="77777777" w:rsidR="002C377A" w:rsidRPr="00B50C36" w:rsidRDefault="002C377A" w:rsidP="005B16B5">
            <w:pPr>
              <w:spacing w:after="0"/>
              <w:rPr>
                <w:rFonts w:eastAsia="Times New Roman" w:cs="Calibri"/>
                <w:color w:val="FFFFFF"/>
                <w:lang w:eastAsia="fr-FR"/>
              </w:rPr>
            </w:pPr>
          </w:p>
        </w:tc>
      </w:tr>
      <w:tr w:rsidR="002C377A" w:rsidRPr="00B50C36" w14:paraId="6B6E3897" w14:textId="77777777" w:rsidTr="005B16B5">
        <w:trPr>
          <w:trHeight w:val="1361"/>
        </w:trPr>
        <w:tc>
          <w:tcPr>
            <w:tcW w:w="14581" w:type="dxa"/>
            <w:gridSpan w:val="24"/>
            <w:shd w:val="clear" w:color="000000" w:fill="678A26"/>
            <w:noWrap/>
            <w:vAlign w:val="center"/>
            <w:hideMark/>
          </w:tcPr>
          <w:p w14:paraId="6C169440" w14:textId="77777777" w:rsidR="002C377A" w:rsidRPr="00B50C36" w:rsidRDefault="002C377A" w:rsidP="005B16B5">
            <w:pPr>
              <w:spacing w:after="0"/>
              <w:rPr>
                <w:rFonts w:eastAsia="Times New Roman" w:cs="Calibri"/>
                <w:b/>
                <w:bCs/>
                <w:color w:val="FFFFFF"/>
                <w:lang w:eastAsia="fr-FR"/>
              </w:rPr>
            </w:pPr>
            <w:r w:rsidRPr="00B50C36">
              <w:rPr>
                <w:rFonts w:eastAsia="Times New Roman" w:cs="Calibri"/>
                <w:b/>
                <w:bCs/>
                <w:color w:val="FFFFFF"/>
                <w:lang w:eastAsia="fr-FR"/>
              </w:rPr>
              <w:t>A. COUTS</w:t>
            </w:r>
            <w:r>
              <w:rPr>
                <w:rFonts w:eastAsia="Times New Roman" w:cs="Calibri"/>
                <w:b/>
                <w:bCs/>
                <w:color w:val="FFFFFF"/>
                <w:lang w:eastAsia="fr-FR"/>
              </w:rPr>
              <w:t xml:space="preserve"> D</w:t>
            </w:r>
            <w:r w:rsidRPr="00B50C36">
              <w:rPr>
                <w:rFonts w:eastAsia="Times New Roman" w:cs="Calibri"/>
                <w:b/>
                <w:bCs/>
                <w:color w:val="FFFFFF"/>
                <w:lang w:eastAsia="fr-FR"/>
              </w:rPr>
              <w:t>ES PRODUITS DU PROJET</w:t>
            </w:r>
          </w:p>
          <w:p w14:paraId="394249B2" w14:textId="77777777" w:rsidR="002C377A" w:rsidRPr="00B50C36" w:rsidRDefault="002C377A" w:rsidP="005B16B5">
            <w:pPr>
              <w:spacing w:after="0"/>
              <w:jc w:val="center"/>
              <w:rPr>
                <w:rFonts w:eastAsia="Times New Roman" w:cs="Calibri"/>
                <w:b/>
                <w:bCs/>
                <w:color w:val="FFFFFF"/>
                <w:lang w:eastAsia="fr-FR"/>
              </w:rPr>
            </w:pPr>
            <w:r w:rsidRPr="00B50C36">
              <w:rPr>
                <w:rFonts w:eastAsia="Times New Roman" w:cs="Calibri"/>
                <w:b/>
                <w:bCs/>
                <w:color w:val="FFFFFF"/>
                <w:lang w:eastAsia="fr-FR"/>
              </w:rPr>
              <w:t> </w:t>
            </w:r>
          </w:p>
          <w:p w14:paraId="3F12019D" w14:textId="77777777" w:rsidR="002C377A" w:rsidRDefault="002C377A" w:rsidP="005B16B5">
            <w:pPr>
              <w:spacing w:after="0"/>
              <w:jc w:val="center"/>
              <w:rPr>
                <w:rFonts w:eastAsia="Times New Roman" w:cs="Calibri"/>
                <w:color w:val="FFFFFF"/>
                <w:lang w:eastAsia="fr-FR"/>
              </w:rPr>
            </w:pPr>
            <w:r w:rsidRPr="00B50C36">
              <w:rPr>
                <w:rFonts w:eastAsia="Times New Roman" w:cs="Calibri"/>
                <w:color w:val="FFFFFF"/>
                <w:lang w:eastAsia="fr-FR"/>
              </w:rPr>
              <w:t> </w:t>
            </w:r>
          </w:p>
          <w:p w14:paraId="30D4B69B" w14:textId="77777777" w:rsidR="002C377A" w:rsidRPr="00B50C36" w:rsidRDefault="002C377A" w:rsidP="005B16B5">
            <w:pPr>
              <w:spacing w:after="0"/>
              <w:jc w:val="center"/>
              <w:rPr>
                <w:rFonts w:eastAsia="Times New Roman" w:cs="Calibri"/>
                <w:color w:val="FFFFFF"/>
                <w:lang w:eastAsia="fr-FR"/>
              </w:rPr>
            </w:pPr>
          </w:p>
        </w:tc>
      </w:tr>
      <w:tr w:rsidR="002C377A" w:rsidRPr="007531DC" w14:paraId="0FEC36C1" w14:textId="77777777" w:rsidTr="002C377A">
        <w:trPr>
          <w:gridAfter w:val="1"/>
          <w:wAfter w:w="54" w:type="dxa"/>
          <w:trHeight w:val="402"/>
        </w:trPr>
        <w:tc>
          <w:tcPr>
            <w:tcW w:w="9466" w:type="dxa"/>
            <w:gridSpan w:val="8"/>
            <w:shd w:val="clear" w:color="000000" w:fill="DBEFD3"/>
            <w:noWrap/>
            <w:vAlign w:val="center"/>
            <w:hideMark/>
          </w:tcPr>
          <w:p w14:paraId="7E7DE25A"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Produit 1:Le cadre de gouvernance pour la mise en œuvre de la CDN est établi</w:t>
            </w:r>
          </w:p>
          <w:p w14:paraId="3E618D4F" w14:textId="77777777" w:rsidR="002C377A" w:rsidRPr="007531DC"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3F76D7DB" w14:textId="77777777" w:rsidR="002C377A" w:rsidRPr="00B50C36" w:rsidRDefault="002C377A" w:rsidP="005B16B5">
            <w:pPr>
              <w:spacing w:after="0"/>
              <w:jc w:val="center"/>
              <w:rPr>
                <w:rFonts w:eastAsia="Times New Roman" w:cs="Calibri"/>
                <w:b/>
                <w:bCs/>
                <w:color w:val="000000"/>
                <w:sz w:val="18"/>
                <w:szCs w:val="18"/>
                <w:lang w:eastAsia="fr-FR"/>
              </w:rPr>
            </w:pPr>
          </w:p>
        </w:tc>
        <w:tc>
          <w:tcPr>
            <w:tcW w:w="208" w:type="dxa"/>
            <w:gridSpan w:val="2"/>
            <w:shd w:val="clear" w:color="000000" w:fill="DBEFD3"/>
            <w:noWrap/>
            <w:vAlign w:val="center"/>
            <w:hideMark/>
          </w:tcPr>
          <w:p w14:paraId="4D43C35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noWrap/>
            <w:vAlign w:val="center"/>
            <w:hideMark/>
          </w:tcPr>
          <w:p w14:paraId="3BA92E0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noWrap/>
            <w:vAlign w:val="center"/>
            <w:hideMark/>
          </w:tcPr>
          <w:p w14:paraId="6457AB71"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noWrap/>
            <w:vAlign w:val="center"/>
            <w:hideMark/>
          </w:tcPr>
          <w:p w14:paraId="1258F34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776" w:type="dxa"/>
            <w:gridSpan w:val="2"/>
            <w:shd w:val="clear" w:color="000000" w:fill="DBEFD3"/>
            <w:noWrap/>
            <w:vAlign w:val="center"/>
            <w:hideMark/>
          </w:tcPr>
          <w:p w14:paraId="7979D3D7"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514,000 </w:t>
            </w:r>
          </w:p>
        </w:tc>
        <w:tc>
          <w:tcPr>
            <w:tcW w:w="1216" w:type="dxa"/>
            <w:gridSpan w:val="2"/>
            <w:shd w:val="clear" w:color="000000" w:fill="DBEFD3"/>
            <w:noWrap/>
            <w:vAlign w:val="center"/>
            <w:hideMark/>
          </w:tcPr>
          <w:p w14:paraId="51C0D245"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100,000 </w:t>
            </w:r>
          </w:p>
        </w:tc>
        <w:tc>
          <w:tcPr>
            <w:tcW w:w="836" w:type="dxa"/>
            <w:shd w:val="clear" w:color="000000" w:fill="DBEFD3"/>
            <w:noWrap/>
            <w:vAlign w:val="center"/>
            <w:hideMark/>
          </w:tcPr>
          <w:p w14:paraId="6D4F81F2"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614,000 </w:t>
            </w:r>
          </w:p>
        </w:tc>
        <w:tc>
          <w:tcPr>
            <w:tcW w:w="1401" w:type="dxa"/>
            <w:gridSpan w:val="2"/>
            <w:shd w:val="clear" w:color="000000" w:fill="DBEFD3"/>
            <w:noWrap/>
            <w:vAlign w:val="center"/>
            <w:hideMark/>
          </w:tcPr>
          <w:p w14:paraId="1E391BCD"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17.1%</w:t>
            </w:r>
          </w:p>
        </w:tc>
      </w:tr>
      <w:tr w:rsidR="002C377A" w:rsidRPr="007531DC" w14:paraId="5B4B8407" w14:textId="77777777" w:rsidTr="002C377A">
        <w:trPr>
          <w:gridAfter w:val="2"/>
          <w:wAfter w:w="60" w:type="dxa"/>
          <w:trHeight w:val="949"/>
        </w:trPr>
        <w:tc>
          <w:tcPr>
            <w:tcW w:w="709" w:type="dxa"/>
            <w:shd w:val="clear" w:color="000000" w:fill="FEFDD7"/>
            <w:vAlign w:val="center"/>
            <w:hideMark/>
          </w:tcPr>
          <w:p w14:paraId="73FD5530"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w:t>
            </w:r>
          </w:p>
        </w:tc>
        <w:tc>
          <w:tcPr>
            <w:tcW w:w="641" w:type="dxa"/>
            <w:shd w:val="clear" w:color="000000" w:fill="FEFDD7"/>
            <w:vAlign w:val="center"/>
            <w:hideMark/>
          </w:tcPr>
          <w:p w14:paraId="58BA12CA"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1.1</w:t>
            </w:r>
          </w:p>
        </w:tc>
        <w:tc>
          <w:tcPr>
            <w:tcW w:w="2534" w:type="dxa"/>
            <w:shd w:val="clear" w:color="000000" w:fill="FEFDD7"/>
            <w:vAlign w:val="center"/>
            <w:hideMark/>
          </w:tcPr>
          <w:p w14:paraId="756FAF10"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Activité 1.1 : Appuyer la création et l’opérationnalisation du Conseil national de l’environnement et du développement durable (CNEDD)</w:t>
            </w:r>
          </w:p>
        </w:tc>
        <w:tc>
          <w:tcPr>
            <w:tcW w:w="3172" w:type="dxa"/>
            <w:shd w:val="clear" w:color="000000" w:fill="FEFDD7"/>
            <w:vAlign w:val="center"/>
            <w:hideMark/>
          </w:tcPr>
          <w:p w14:paraId="589BF74A"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Programme des Nations Unies pour le Développement (PNUD)</w:t>
            </w:r>
          </w:p>
        </w:tc>
        <w:tc>
          <w:tcPr>
            <w:tcW w:w="1587" w:type="dxa"/>
            <w:shd w:val="clear" w:color="auto" w:fill="auto"/>
            <w:vAlign w:val="center"/>
            <w:hideMark/>
          </w:tcPr>
          <w:p w14:paraId="726AC319"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577" w:type="dxa"/>
            <w:shd w:val="clear" w:color="000000" w:fill="BADB7D"/>
            <w:vAlign w:val="center"/>
            <w:hideMark/>
          </w:tcPr>
          <w:p w14:paraId="04CB8188"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shd w:val="clear" w:color="000000" w:fill="BADB7D"/>
            <w:vAlign w:val="center"/>
            <w:hideMark/>
          </w:tcPr>
          <w:p w14:paraId="0E35042B"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000000" w:fill="BADB7D"/>
            <w:vAlign w:val="center"/>
            <w:hideMark/>
          </w:tcPr>
          <w:p w14:paraId="22ED9D38"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9" w:type="dxa"/>
            <w:gridSpan w:val="2"/>
            <w:shd w:val="clear" w:color="000000" w:fill="BADB7D"/>
            <w:vAlign w:val="center"/>
            <w:hideMark/>
          </w:tcPr>
          <w:p w14:paraId="10B53EA5"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000000" w:fill="BADB7D"/>
            <w:vAlign w:val="center"/>
            <w:hideMark/>
          </w:tcPr>
          <w:p w14:paraId="1430F67E"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11" w:type="dxa"/>
            <w:gridSpan w:val="2"/>
            <w:shd w:val="clear" w:color="000000" w:fill="FFFF00"/>
            <w:vAlign w:val="center"/>
            <w:hideMark/>
          </w:tcPr>
          <w:p w14:paraId="356CFC3E"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776" w:type="dxa"/>
            <w:gridSpan w:val="2"/>
            <w:shd w:val="clear" w:color="000000" w:fill="FEFDD7"/>
            <w:vAlign w:val="center"/>
            <w:hideMark/>
          </w:tcPr>
          <w:p w14:paraId="3115A067"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145,000 </w:t>
            </w:r>
          </w:p>
        </w:tc>
        <w:tc>
          <w:tcPr>
            <w:tcW w:w="1209" w:type="dxa"/>
            <w:gridSpan w:val="2"/>
            <w:shd w:val="clear" w:color="auto" w:fill="auto"/>
            <w:vAlign w:val="center"/>
            <w:hideMark/>
          </w:tcPr>
          <w:p w14:paraId="25B76D01"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w:t>
            </w:r>
          </w:p>
        </w:tc>
        <w:tc>
          <w:tcPr>
            <w:tcW w:w="877" w:type="dxa"/>
            <w:gridSpan w:val="2"/>
            <w:shd w:val="clear" w:color="000000" w:fill="FEFDD7"/>
            <w:vAlign w:val="center"/>
            <w:hideMark/>
          </w:tcPr>
          <w:p w14:paraId="08DD9430"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145,000 </w:t>
            </w:r>
          </w:p>
        </w:tc>
        <w:tc>
          <w:tcPr>
            <w:tcW w:w="1395" w:type="dxa"/>
            <w:shd w:val="clear" w:color="000000" w:fill="FEFDD7"/>
            <w:vAlign w:val="center"/>
            <w:hideMark/>
          </w:tcPr>
          <w:p w14:paraId="378A9A3A"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4.8%</w:t>
            </w:r>
          </w:p>
        </w:tc>
      </w:tr>
      <w:tr w:rsidR="002C377A" w:rsidRPr="007531DC" w14:paraId="7B2D54F4" w14:textId="77777777" w:rsidTr="002C377A">
        <w:trPr>
          <w:gridAfter w:val="2"/>
          <w:wAfter w:w="60" w:type="dxa"/>
          <w:trHeight w:val="624"/>
        </w:trPr>
        <w:tc>
          <w:tcPr>
            <w:tcW w:w="709" w:type="dxa"/>
            <w:shd w:val="clear" w:color="000000" w:fill="FEFDD7"/>
            <w:vAlign w:val="center"/>
            <w:hideMark/>
          </w:tcPr>
          <w:p w14:paraId="7B14DC07"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w:t>
            </w:r>
          </w:p>
        </w:tc>
        <w:tc>
          <w:tcPr>
            <w:tcW w:w="641" w:type="dxa"/>
            <w:shd w:val="clear" w:color="000000" w:fill="FEFDD7"/>
            <w:vAlign w:val="center"/>
            <w:hideMark/>
          </w:tcPr>
          <w:p w14:paraId="6A49F06D"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1.2</w:t>
            </w:r>
          </w:p>
        </w:tc>
        <w:tc>
          <w:tcPr>
            <w:tcW w:w="2534" w:type="dxa"/>
            <w:shd w:val="clear" w:color="000000" w:fill="FEFDD7"/>
            <w:vAlign w:val="center"/>
            <w:hideMark/>
          </w:tcPr>
          <w:p w14:paraId="3199776A"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Activité 1.2 : Appuyer la mise en place et le fonctionnement de la Cellule Technique de la CDN</w:t>
            </w:r>
          </w:p>
        </w:tc>
        <w:tc>
          <w:tcPr>
            <w:tcW w:w="3172" w:type="dxa"/>
            <w:shd w:val="clear" w:color="000000" w:fill="FEFDD7"/>
            <w:vAlign w:val="center"/>
            <w:hideMark/>
          </w:tcPr>
          <w:p w14:paraId="6786F3F9"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Programme des Nations Unies pour le Développement (PNUD)</w:t>
            </w:r>
          </w:p>
        </w:tc>
        <w:tc>
          <w:tcPr>
            <w:tcW w:w="1587" w:type="dxa"/>
            <w:shd w:val="clear" w:color="auto" w:fill="auto"/>
            <w:vAlign w:val="center"/>
            <w:hideMark/>
          </w:tcPr>
          <w:p w14:paraId="3F4A88D3"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577" w:type="dxa"/>
            <w:shd w:val="clear" w:color="000000" w:fill="BADB7D"/>
            <w:vAlign w:val="center"/>
            <w:hideMark/>
          </w:tcPr>
          <w:p w14:paraId="296FD9AD"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shd w:val="clear" w:color="000000" w:fill="BADB7D"/>
            <w:vAlign w:val="center"/>
            <w:hideMark/>
          </w:tcPr>
          <w:p w14:paraId="42FE7F37"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000000" w:fill="BADB7D"/>
            <w:vAlign w:val="center"/>
            <w:hideMark/>
          </w:tcPr>
          <w:p w14:paraId="386331C1"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9" w:type="dxa"/>
            <w:gridSpan w:val="2"/>
            <w:shd w:val="clear" w:color="000000" w:fill="BADB7D"/>
            <w:vAlign w:val="center"/>
            <w:hideMark/>
          </w:tcPr>
          <w:p w14:paraId="50788B9C"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000000" w:fill="BADB7D"/>
            <w:vAlign w:val="center"/>
            <w:hideMark/>
          </w:tcPr>
          <w:p w14:paraId="3B90B8FD"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11" w:type="dxa"/>
            <w:gridSpan w:val="2"/>
            <w:shd w:val="clear" w:color="000000" w:fill="FFFF00"/>
            <w:vAlign w:val="center"/>
            <w:hideMark/>
          </w:tcPr>
          <w:p w14:paraId="3A15892B"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776" w:type="dxa"/>
            <w:gridSpan w:val="2"/>
            <w:shd w:val="clear" w:color="000000" w:fill="FEFDD7"/>
            <w:vAlign w:val="center"/>
            <w:hideMark/>
          </w:tcPr>
          <w:p w14:paraId="673C067E"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120,000 </w:t>
            </w:r>
          </w:p>
        </w:tc>
        <w:tc>
          <w:tcPr>
            <w:tcW w:w="1209" w:type="dxa"/>
            <w:gridSpan w:val="2"/>
            <w:shd w:val="clear" w:color="auto" w:fill="auto"/>
            <w:vAlign w:val="center"/>
            <w:hideMark/>
          </w:tcPr>
          <w:p w14:paraId="04D201BE"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w:t>
            </w:r>
          </w:p>
        </w:tc>
        <w:tc>
          <w:tcPr>
            <w:tcW w:w="877" w:type="dxa"/>
            <w:gridSpan w:val="2"/>
            <w:shd w:val="clear" w:color="000000" w:fill="FEFDD7"/>
            <w:vAlign w:val="center"/>
            <w:hideMark/>
          </w:tcPr>
          <w:p w14:paraId="07999411"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120,000 </w:t>
            </w:r>
          </w:p>
        </w:tc>
        <w:tc>
          <w:tcPr>
            <w:tcW w:w="1395" w:type="dxa"/>
            <w:shd w:val="clear" w:color="000000" w:fill="FEFDD7"/>
            <w:vAlign w:val="center"/>
            <w:hideMark/>
          </w:tcPr>
          <w:p w14:paraId="29D212F0"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4.0%</w:t>
            </w:r>
          </w:p>
        </w:tc>
      </w:tr>
      <w:tr w:rsidR="002C377A" w:rsidRPr="007531DC" w14:paraId="1F7A4E7A" w14:textId="77777777" w:rsidTr="002C377A">
        <w:trPr>
          <w:gridAfter w:val="2"/>
          <w:wAfter w:w="60" w:type="dxa"/>
          <w:trHeight w:val="940"/>
        </w:trPr>
        <w:tc>
          <w:tcPr>
            <w:tcW w:w="709" w:type="dxa"/>
            <w:shd w:val="clear" w:color="000000" w:fill="FEFDD7"/>
            <w:vAlign w:val="center"/>
            <w:hideMark/>
          </w:tcPr>
          <w:p w14:paraId="152117B1"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w:t>
            </w:r>
          </w:p>
        </w:tc>
        <w:tc>
          <w:tcPr>
            <w:tcW w:w="641" w:type="dxa"/>
            <w:shd w:val="clear" w:color="000000" w:fill="FEFDD7"/>
            <w:vAlign w:val="center"/>
            <w:hideMark/>
          </w:tcPr>
          <w:p w14:paraId="3196AF4D"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1.3</w:t>
            </w:r>
          </w:p>
        </w:tc>
        <w:tc>
          <w:tcPr>
            <w:tcW w:w="2534" w:type="dxa"/>
            <w:shd w:val="clear" w:color="000000" w:fill="FEFDD7"/>
            <w:vAlign w:val="center"/>
            <w:hideMark/>
          </w:tcPr>
          <w:p w14:paraId="7CCFFA2E"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Activité 1.3 :  Elaborer et appuyer la mise en œuvre de la Stratégie nationale de financement climatique de la CDN</w:t>
            </w:r>
          </w:p>
        </w:tc>
        <w:tc>
          <w:tcPr>
            <w:tcW w:w="3172" w:type="dxa"/>
            <w:shd w:val="clear" w:color="000000" w:fill="FEFDD7"/>
            <w:vAlign w:val="center"/>
            <w:hideMark/>
          </w:tcPr>
          <w:p w14:paraId="51BDB56A"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Programme des Nations Unies pour le Développement (PNUD)</w:t>
            </w:r>
          </w:p>
        </w:tc>
        <w:tc>
          <w:tcPr>
            <w:tcW w:w="1587" w:type="dxa"/>
            <w:shd w:val="clear" w:color="auto" w:fill="auto"/>
            <w:vAlign w:val="center"/>
            <w:hideMark/>
          </w:tcPr>
          <w:p w14:paraId="75E58357"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577" w:type="dxa"/>
            <w:shd w:val="clear" w:color="000000" w:fill="BADB7D"/>
            <w:vAlign w:val="center"/>
            <w:hideMark/>
          </w:tcPr>
          <w:p w14:paraId="00EC86A9"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shd w:val="clear" w:color="auto" w:fill="auto"/>
            <w:vAlign w:val="center"/>
            <w:hideMark/>
          </w:tcPr>
          <w:p w14:paraId="0CF6C429"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auto" w:fill="auto"/>
            <w:vAlign w:val="center"/>
            <w:hideMark/>
          </w:tcPr>
          <w:p w14:paraId="71D0064D"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9" w:type="dxa"/>
            <w:gridSpan w:val="2"/>
            <w:shd w:val="clear" w:color="auto" w:fill="auto"/>
            <w:vAlign w:val="center"/>
            <w:hideMark/>
          </w:tcPr>
          <w:p w14:paraId="548EA029"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auto" w:fill="auto"/>
            <w:vAlign w:val="center"/>
            <w:hideMark/>
          </w:tcPr>
          <w:p w14:paraId="7EA32194"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11" w:type="dxa"/>
            <w:gridSpan w:val="2"/>
            <w:shd w:val="clear" w:color="auto" w:fill="auto"/>
            <w:vAlign w:val="center"/>
            <w:hideMark/>
          </w:tcPr>
          <w:p w14:paraId="534C1F0E"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776" w:type="dxa"/>
            <w:gridSpan w:val="2"/>
            <w:shd w:val="clear" w:color="000000" w:fill="FEFDD7"/>
            <w:vAlign w:val="center"/>
            <w:hideMark/>
          </w:tcPr>
          <w:p w14:paraId="2A503254"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95,000 </w:t>
            </w:r>
          </w:p>
        </w:tc>
        <w:tc>
          <w:tcPr>
            <w:tcW w:w="1209" w:type="dxa"/>
            <w:gridSpan w:val="2"/>
            <w:shd w:val="clear" w:color="auto" w:fill="auto"/>
            <w:vAlign w:val="center"/>
            <w:hideMark/>
          </w:tcPr>
          <w:p w14:paraId="61A79CFA"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w:t>
            </w:r>
          </w:p>
        </w:tc>
        <w:tc>
          <w:tcPr>
            <w:tcW w:w="877" w:type="dxa"/>
            <w:gridSpan w:val="2"/>
            <w:shd w:val="clear" w:color="000000" w:fill="FEFDD7"/>
            <w:vAlign w:val="center"/>
            <w:hideMark/>
          </w:tcPr>
          <w:p w14:paraId="763E0233"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95,000 </w:t>
            </w:r>
          </w:p>
        </w:tc>
        <w:tc>
          <w:tcPr>
            <w:tcW w:w="1395" w:type="dxa"/>
            <w:shd w:val="clear" w:color="000000" w:fill="FEFDD7"/>
            <w:vAlign w:val="center"/>
            <w:hideMark/>
          </w:tcPr>
          <w:p w14:paraId="43E7677F"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3.2%</w:t>
            </w:r>
          </w:p>
        </w:tc>
      </w:tr>
      <w:tr w:rsidR="002C377A" w:rsidRPr="007531DC" w14:paraId="02FBA2F5" w14:textId="77777777" w:rsidTr="002C377A">
        <w:trPr>
          <w:gridAfter w:val="2"/>
          <w:wAfter w:w="60" w:type="dxa"/>
          <w:trHeight w:val="1081"/>
        </w:trPr>
        <w:tc>
          <w:tcPr>
            <w:tcW w:w="709" w:type="dxa"/>
            <w:shd w:val="clear" w:color="000000" w:fill="FEFDD7"/>
            <w:vAlign w:val="center"/>
            <w:hideMark/>
          </w:tcPr>
          <w:p w14:paraId="322161E8"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w:t>
            </w:r>
          </w:p>
        </w:tc>
        <w:tc>
          <w:tcPr>
            <w:tcW w:w="641" w:type="dxa"/>
            <w:shd w:val="clear" w:color="000000" w:fill="FEFDD7"/>
            <w:vAlign w:val="center"/>
            <w:hideMark/>
          </w:tcPr>
          <w:p w14:paraId="45B5D4FA"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1.4</w:t>
            </w:r>
          </w:p>
        </w:tc>
        <w:tc>
          <w:tcPr>
            <w:tcW w:w="2534" w:type="dxa"/>
            <w:shd w:val="clear" w:color="000000" w:fill="FEFDD7"/>
            <w:vAlign w:val="center"/>
            <w:hideMark/>
          </w:tcPr>
          <w:p w14:paraId="6BB85089" w14:textId="4F8854D1"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Activité 1.4 :</w:t>
            </w:r>
            <w:r w:rsidR="00C16D8D">
              <w:rPr>
                <w:rFonts w:eastAsia="Times New Roman" w:cs="Calibri"/>
                <w:color w:val="000000"/>
                <w:sz w:val="20"/>
                <w:szCs w:val="20"/>
                <w:lang w:eastAsia="fr-FR"/>
              </w:rPr>
              <w:t xml:space="preserve"> </w:t>
            </w:r>
            <w:r w:rsidRPr="00B50C36">
              <w:rPr>
                <w:rFonts w:eastAsia="Times New Roman" w:cs="Calibri"/>
                <w:color w:val="000000"/>
                <w:sz w:val="20"/>
                <w:szCs w:val="20"/>
                <w:lang w:eastAsia="fr-FR"/>
              </w:rPr>
              <w:t>Finaliser le développement et opérationnalisation du système MRV de la CDN</w:t>
            </w:r>
          </w:p>
        </w:tc>
        <w:tc>
          <w:tcPr>
            <w:tcW w:w="3172" w:type="dxa"/>
            <w:shd w:val="clear" w:color="000000" w:fill="FEFDD7"/>
            <w:vAlign w:val="center"/>
            <w:hideMark/>
          </w:tcPr>
          <w:p w14:paraId="18F6902F"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Programme des Nations Unies pour le Développement (PNUD)</w:t>
            </w:r>
          </w:p>
        </w:tc>
        <w:tc>
          <w:tcPr>
            <w:tcW w:w="1587" w:type="dxa"/>
            <w:shd w:val="clear" w:color="auto" w:fill="auto"/>
            <w:vAlign w:val="center"/>
            <w:hideMark/>
          </w:tcPr>
          <w:p w14:paraId="46060AA7"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577" w:type="dxa"/>
            <w:shd w:val="clear" w:color="auto" w:fill="auto"/>
            <w:vAlign w:val="center"/>
            <w:hideMark/>
          </w:tcPr>
          <w:p w14:paraId="70D38F9E"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shd w:val="clear" w:color="auto" w:fill="auto"/>
            <w:vAlign w:val="center"/>
            <w:hideMark/>
          </w:tcPr>
          <w:p w14:paraId="7F399043"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000000" w:fill="BADB7D"/>
            <w:vAlign w:val="center"/>
            <w:hideMark/>
          </w:tcPr>
          <w:p w14:paraId="5E6061E2"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9" w:type="dxa"/>
            <w:gridSpan w:val="2"/>
            <w:shd w:val="clear" w:color="000000" w:fill="BADB7D"/>
            <w:vAlign w:val="center"/>
            <w:hideMark/>
          </w:tcPr>
          <w:p w14:paraId="32980B92"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auto" w:fill="auto"/>
            <w:vAlign w:val="center"/>
            <w:hideMark/>
          </w:tcPr>
          <w:p w14:paraId="0E00AC2B"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11" w:type="dxa"/>
            <w:gridSpan w:val="2"/>
            <w:shd w:val="clear" w:color="000000" w:fill="BADB7D"/>
            <w:vAlign w:val="center"/>
            <w:hideMark/>
          </w:tcPr>
          <w:p w14:paraId="4AD9B614"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776" w:type="dxa"/>
            <w:gridSpan w:val="2"/>
            <w:shd w:val="clear" w:color="000000" w:fill="FEFDD7"/>
            <w:vAlign w:val="center"/>
            <w:hideMark/>
          </w:tcPr>
          <w:p w14:paraId="1D2AE98C"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75,000 </w:t>
            </w:r>
          </w:p>
        </w:tc>
        <w:tc>
          <w:tcPr>
            <w:tcW w:w="1209" w:type="dxa"/>
            <w:gridSpan w:val="2"/>
            <w:shd w:val="clear" w:color="auto" w:fill="auto"/>
            <w:vAlign w:val="center"/>
            <w:hideMark/>
          </w:tcPr>
          <w:p w14:paraId="124E4FE4"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w:t>
            </w:r>
          </w:p>
        </w:tc>
        <w:tc>
          <w:tcPr>
            <w:tcW w:w="877" w:type="dxa"/>
            <w:gridSpan w:val="2"/>
            <w:shd w:val="clear" w:color="000000" w:fill="FEFDD7"/>
            <w:vAlign w:val="center"/>
            <w:hideMark/>
          </w:tcPr>
          <w:p w14:paraId="615BA1DC"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75,000 </w:t>
            </w:r>
          </w:p>
        </w:tc>
        <w:tc>
          <w:tcPr>
            <w:tcW w:w="1395" w:type="dxa"/>
            <w:shd w:val="clear" w:color="000000" w:fill="FEFDD7"/>
            <w:vAlign w:val="center"/>
            <w:hideMark/>
          </w:tcPr>
          <w:p w14:paraId="135D726E"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2.5%</w:t>
            </w:r>
          </w:p>
        </w:tc>
      </w:tr>
      <w:tr w:rsidR="002C377A" w:rsidRPr="007531DC" w14:paraId="30CC43FB" w14:textId="77777777" w:rsidTr="002C377A">
        <w:trPr>
          <w:gridAfter w:val="2"/>
          <w:wAfter w:w="60" w:type="dxa"/>
          <w:trHeight w:val="853"/>
        </w:trPr>
        <w:tc>
          <w:tcPr>
            <w:tcW w:w="709" w:type="dxa"/>
            <w:shd w:val="clear" w:color="000000" w:fill="FEFDD7"/>
            <w:vAlign w:val="center"/>
            <w:hideMark/>
          </w:tcPr>
          <w:p w14:paraId="0AA73EF0"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lastRenderedPageBreak/>
              <w:t>1</w:t>
            </w:r>
          </w:p>
        </w:tc>
        <w:tc>
          <w:tcPr>
            <w:tcW w:w="641" w:type="dxa"/>
            <w:shd w:val="clear" w:color="000000" w:fill="FEFDD7"/>
            <w:vAlign w:val="center"/>
            <w:hideMark/>
          </w:tcPr>
          <w:p w14:paraId="4D263DED"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1.5</w:t>
            </w:r>
          </w:p>
        </w:tc>
        <w:tc>
          <w:tcPr>
            <w:tcW w:w="2534" w:type="dxa"/>
            <w:shd w:val="clear" w:color="000000" w:fill="FEFDD7"/>
            <w:vAlign w:val="center"/>
            <w:hideMark/>
          </w:tcPr>
          <w:p w14:paraId="4F229B88"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Activité 1.5 : Appuyer l’intégration de la CDN dans les politiques et stratégies nationales et provinciales et sectorielles</w:t>
            </w:r>
          </w:p>
        </w:tc>
        <w:tc>
          <w:tcPr>
            <w:tcW w:w="3172" w:type="dxa"/>
            <w:shd w:val="clear" w:color="000000" w:fill="FEFDD7"/>
            <w:vAlign w:val="center"/>
            <w:hideMark/>
          </w:tcPr>
          <w:p w14:paraId="7DB59748"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Programme des Nations Unies pour le Développement (PNUD)</w:t>
            </w:r>
          </w:p>
        </w:tc>
        <w:tc>
          <w:tcPr>
            <w:tcW w:w="1587" w:type="dxa"/>
            <w:shd w:val="clear" w:color="auto" w:fill="auto"/>
            <w:vAlign w:val="center"/>
            <w:hideMark/>
          </w:tcPr>
          <w:p w14:paraId="3A798E0E"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577" w:type="dxa"/>
            <w:shd w:val="clear" w:color="auto" w:fill="auto"/>
            <w:vAlign w:val="center"/>
            <w:hideMark/>
          </w:tcPr>
          <w:p w14:paraId="644B9450"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shd w:val="clear" w:color="000000" w:fill="BADB7D"/>
            <w:vAlign w:val="center"/>
            <w:hideMark/>
          </w:tcPr>
          <w:p w14:paraId="4285AA1D"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000000" w:fill="BADB7D"/>
            <w:vAlign w:val="center"/>
            <w:hideMark/>
          </w:tcPr>
          <w:p w14:paraId="1CDBE757"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9" w:type="dxa"/>
            <w:gridSpan w:val="2"/>
            <w:shd w:val="clear" w:color="auto" w:fill="auto"/>
            <w:vAlign w:val="center"/>
            <w:hideMark/>
          </w:tcPr>
          <w:p w14:paraId="3B46AF0D"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08" w:type="dxa"/>
            <w:gridSpan w:val="2"/>
            <w:shd w:val="clear" w:color="auto" w:fill="auto"/>
            <w:vAlign w:val="center"/>
            <w:hideMark/>
          </w:tcPr>
          <w:p w14:paraId="21B65347"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211" w:type="dxa"/>
            <w:gridSpan w:val="2"/>
            <w:shd w:val="clear" w:color="auto" w:fill="auto"/>
            <w:vAlign w:val="center"/>
            <w:hideMark/>
          </w:tcPr>
          <w:p w14:paraId="6AA57E31" w14:textId="77777777" w:rsidR="002C377A" w:rsidRPr="00B50C36" w:rsidRDefault="002C377A" w:rsidP="005B16B5">
            <w:pPr>
              <w:spacing w:after="0"/>
              <w:rPr>
                <w:rFonts w:eastAsia="Times New Roman" w:cs="Calibri"/>
                <w:color w:val="000000"/>
                <w:sz w:val="20"/>
                <w:szCs w:val="20"/>
                <w:lang w:eastAsia="fr-FR"/>
              </w:rPr>
            </w:pPr>
            <w:r w:rsidRPr="00B50C36">
              <w:rPr>
                <w:rFonts w:eastAsia="Times New Roman" w:cs="Calibri"/>
                <w:color w:val="000000"/>
                <w:sz w:val="20"/>
                <w:szCs w:val="20"/>
                <w:lang w:eastAsia="fr-FR"/>
              </w:rPr>
              <w:t> </w:t>
            </w:r>
          </w:p>
        </w:tc>
        <w:tc>
          <w:tcPr>
            <w:tcW w:w="776" w:type="dxa"/>
            <w:gridSpan w:val="2"/>
            <w:shd w:val="clear" w:color="000000" w:fill="FEFDD7"/>
            <w:vAlign w:val="center"/>
            <w:hideMark/>
          </w:tcPr>
          <w:p w14:paraId="69E70EDE"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79,000 </w:t>
            </w:r>
          </w:p>
        </w:tc>
        <w:tc>
          <w:tcPr>
            <w:tcW w:w="1209" w:type="dxa"/>
            <w:gridSpan w:val="2"/>
            <w:shd w:val="clear" w:color="auto" w:fill="auto"/>
            <w:vAlign w:val="center"/>
            <w:hideMark/>
          </w:tcPr>
          <w:p w14:paraId="60323828"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w:t>
            </w:r>
          </w:p>
        </w:tc>
        <w:tc>
          <w:tcPr>
            <w:tcW w:w="877" w:type="dxa"/>
            <w:gridSpan w:val="2"/>
            <w:shd w:val="clear" w:color="000000" w:fill="FEFDD7"/>
            <w:vAlign w:val="center"/>
            <w:hideMark/>
          </w:tcPr>
          <w:p w14:paraId="01A14AC0" w14:textId="77777777" w:rsidR="002C377A" w:rsidRPr="00B50C36" w:rsidRDefault="002C377A" w:rsidP="005B16B5">
            <w:pPr>
              <w:spacing w:after="0"/>
              <w:rPr>
                <w:rFonts w:eastAsia="Times New Roman" w:cs="Calibri"/>
                <w:b/>
                <w:bCs/>
                <w:color w:val="000000"/>
                <w:sz w:val="20"/>
                <w:szCs w:val="20"/>
                <w:lang w:eastAsia="fr-FR"/>
              </w:rPr>
            </w:pPr>
            <w:r w:rsidRPr="00B50C36">
              <w:rPr>
                <w:rFonts w:eastAsia="Times New Roman" w:cs="Calibri"/>
                <w:b/>
                <w:bCs/>
                <w:color w:val="000000"/>
                <w:sz w:val="20"/>
                <w:szCs w:val="20"/>
                <w:lang w:eastAsia="fr-FR"/>
              </w:rPr>
              <w:t xml:space="preserve"> $                  79,000 </w:t>
            </w:r>
          </w:p>
        </w:tc>
        <w:tc>
          <w:tcPr>
            <w:tcW w:w="1395" w:type="dxa"/>
            <w:shd w:val="clear" w:color="000000" w:fill="FEFDD7"/>
            <w:vAlign w:val="center"/>
            <w:hideMark/>
          </w:tcPr>
          <w:p w14:paraId="23BD50AA" w14:textId="77777777" w:rsidR="002C377A" w:rsidRPr="00B50C36" w:rsidRDefault="002C377A" w:rsidP="005B16B5">
            <w:pPr>
              <w:spacing w:after="0"/>
              <w:jc w:val="center"/>
              <w:rPr>
                <w:rFonts w:eastAsia="Times New Roman" w:cs="Calibri"/>
                <w:color w:val="000000"/>
                <w:sz w:val="20"/>
                <w:szCs w:val="20"/>
                <w:lang w:eastAsia="fr-FR"/>
              </w:rPr>
            </w:pPr>
            <w:r w:rsidRPr="00B50C36">
              <w:rPr>
                <w:rFonts w:eastAsia="Times New Roman" w:cs="Calibri"/>
                <w:color w:val="000000"/>
                <w:sz w:val="20"/>
                <w:szCs w:val="20"/>
                <w:lang w:eastAsia="fr-FR"/>
              </w:rPr>
              <w:t>2.6%</w:t>
            </w:r>
          </w:p>
        </w:tc>
      </w:tr>
      <w:tr w:rsidR="002C377A" w:rsidRPr="007531DC" w14:paraId="0CB7598F" w14:textId="77777777" w:rsidTr="002C377A">
        <w:trPr>
          <w:gridAfter w:val="2"/>
          <w:wAfter w:w="60" w:type="dxa"/>
          <w:trHeight w:val="600"/>
        </w:trPr>
        <w:tc>
          <w:tcPr>
            <w:tcW w:w="709" w:type="dxa"/>
            <w:shd w:val="clear" w:color="000000" w:fill="FEFDD7"/>
            <w:vAlign w:val="center"/>
            <w:hideMark/>
          </w:tcPr>
          <w:p w14:paraId="2758B85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w:t>
            </w:r>
          </w:p>
        </w:tc>
        <w:tc>
          <w:tcPr>
            <w:tcW w:w="641" w:type="dxa"/>
            <w:shd w:val="clear" w:color="000000" w:fill="FEFDD7"/>
            <w:vAlign w:val="center"/>
            <w:hideMark/>
          </w:tcPr>
          <w:p w14:paraId="11A4634B"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1.6</w:t>
            </w:r>
          </w:p>
        </w:tc>
        <w:tc>
          <w:tcPr>
            <w:tcW w:w="2534" w:type="dxa"/>
            <w:shd w:val="clear" w:color="000000" w:fill="FEFDD7"/>
            <w:vAlign w:val="center"/>
            <w:hideMark/>
          </w:tcPr>
          <w:p w14:paraId="6A81FE3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xml:space="preserve">Activité 1.6 :  Appuyer la réalisation d'une étude cadrage </w:t>
            </w:r>
          </w:p>
        </w:tc>
        <w:tc>
          <w:tcPr>
            <w:tcW w:w="3172" w:type="dxa"/>
            <w:shd w:val="clear" w:color="000000" w:fill="FEFDD7"/>
            <w:vAlign w:val="center"/>
            <w:hideMark/>
          </w:tcPr>
          <w:p w14:paraId="18033F0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4F955E4F"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304FDF1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auto" w:fill="auto"/>
            <w:vAlign w:val="center"/>
            <w:hideMark/>
          </w:tcPr>
          <w:p w14:paraId="032DEF1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143908C4"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6B11F369"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2AB3FA6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559B2E6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3D4FA9C4"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1209" w:type="dxa"/>
            <w:gridSpan w:val="2"/>
            <w:shd w:val="clear" w:color="auto" w:fill="auto"/>
            <w:vAlign w:val="center"/>
            <w:hideMark/>
          </w:tcPr>
          <w:p w14:paraId="34308C36"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100,000 </w:t>
            </w:r>
          </w:p>
        </w:tc>
        <w:tc>
          <w:tcPr>
            <w:tcW w:w="877" w:type="dxa"/>
            <w:gridSpan w:val="2"/>
            <w:shd w:val="clear" w:color="000000" w:fill="FEFDD7"/>
            <w:vAlign w:val="center"/>
            <w:hideMark/>
          </w:tcPr>
          <w:p w14:paraId="457FBC7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100,000 </w:t>
            </w:r>
          </w:p>
        </w:tc>
        <w:tc>
          <w:tcPr>
            <w:tcW w:w="1395" w:type="dxa"/>
            <w:shd w:val="clear" w:color="000000" w:fill="FEFDD7"/>
            <w:vAlign w:val="center"/>
            <w:hideMark/>
          </w:tcPr>
          <w:p w14:paraId="506D5088"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0.0%</w:t>
            </w:r>
          </w:p>
        </w:tc>
      </w:tr>
      <w:tr w:rsidR="002C377A" w:rsidRPr="007531DC" w14:paraId="50C56198" w14:textId="77777777" w:rsidTr="002C377A">
        <w:trPr>
          <w:gridAfter w:val="2"/>
          <w:wAfter w:w="60" w:type="dxa"/>
          <w:trHeight w:val="402"/>
        </w:trPr>
        <w:tc>
          <w:tcPr>
            <w:tcW w:w="8643" w:type="dxa"/>
            <w:gridSpan w:val="5"/>
            <w:shd w:val="clear" w:color="000000" w:fill="DBEFD3"/>
            <w:noWrap/>
            <w:vAlign w:val="center"/>
            <w:hideMark/>
          </w:tcPr>
          <w:p w14:paraId="70F388DB"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Produit 2: Le cadre de gouvernance pour le déploiement des marchés du carbone est renforcé </w:t>
            </w:r>
          </w:p>
          <w:p w14:paraId="49D62574"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3767C28F"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229FC59D" w14:textId="77777777" w:rsidR="002C377A" w:rsidRPr="007531DC"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666CCD75"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577" w:type="dxa"/>
            <w:shd w:val="clear" w:color="000000" w:fill="DBEFD3"/>
            <w:noWrap/>
            <w:vAlign w:val="center"/>
            <w:hideMark/>
          </w:tcPr>
          <w:p w14:paraId="7712EEE5"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shd w:val="clear" w:color="000000" w:fill="DBEFD3"/>
            <w:noWrap/>
            <w:vAlign w:val="center"/>
            <w:hideMark/>
          </w:tcPr>
          <w:p w14:paraId="2C63CEE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noWrap/>
            <w:vAlign w:val="center"/>
            <w:hideMark/>
          </w:tcPr>
          <w:p w14:paraId="0C04B282"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9" w:type="dxa"/>
            <w:gridSpan w:val="2"/>
            <w:shd w:val="clear" w:color="000000" w:fill="DBEFD3"/>
            <w:noWrap/>
            <w:vAlign w:val="center"/>
            <w:hideMark/>
          </w:tcPr>
          <w:p w14:paraId="2B40E91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noWrap/>
            <w:vAlign w:val="center"/>
            <w:hideMark/>
          </w:tcPr>
          <w:p w14:paraId="743BC6B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11" w:type="dxa"/>
            <w:gridSpan w:val="2"/>
            <w:shd w:val="clear" w:color="000000" w:fill="DBEFD3"/>
            <w:noWrap/>
            <w:vAlign w:val="center"/>
            <w:hideMark/>
          </w:tcPr>
          <w:p w14:paraId="34442C42"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776" w:type="dxa"/>
            <w:gridSpan w:val="2"/>
            <w:shd w:val="clear" w:color="000000" w:fill="DBEFD3"/>
            <w:noWrap/>
            <w:vAlign w:val="center"/>
            <w:hideMark/>
          </w:tcPr>
          <w:p w14:paraId="3662B386"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1,427,012 </w:t>
            </w:r>
          </w:p>
        </w:tc>
        <w:tc>
          <w:tcPr>
            <w:tcW w:w="1209" w:type="dxa"/>
            <w:gridSpan w:val="2"/>
            <w:shd w:val="clear" w:color="000000" w:fill="DBEFD3"/>
            <w:noWrap/>
            <w:vAlign w:val="center"/>
            <w:hideMark/>
          </w:tcPr>
          <w:p w14:paraId="038DE377"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   </w:t>
            </w:r>
          </w:p>
        </w:tc>
        <w:tc>
          <w:tcPr>
            <w:tcW w:w="877" w:type="dxa"/>
            <w:gridSpan w:val="2"/>
            <w:shd w:val="clear" w:color="000000" w:fill="DBEFD3"/>
            <w:noWrap/>
            <w:vAlign w:val="center"/>
            <w:hideMark/>
          </w:tcPr>
          <w:p w14:paraId="755C0027"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1,427,012 </w:t>
            </w:r>
          </w:p>
        </w:tc>
        <w:tc>
          <w:tcPr>
            <w:tcW w:w="1395" w:type="dxa"/>
            <w:shd w:val="clear" w:color="000000" w:fill="DBEFD3"/>
            <w:noWrap/>
            <w:vAlign w:val="center"/>
            <w:hideMark/>
          </w:tcPr>
          <w:p w14:paraId="657ED3A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47.6%</w:t>
            </w:r>
          </w:p>
        </w:tc>
      </w:tr>
      <w:tr w:rsidR="002C377A" w:rsidRPr="00B50C36" w14:paraId="65BD9C7E" w14:textId="77777777" w:rsidTr="002C377A">
        <w:trPr>
          <w:gridAfter w:val="2"/>
          <w:wAfter w:w="60" w:type="dxa"/>
          <w:trHeight w:val="624"/>
        </w:trPr>
        <w:tc>
          <w:tcPr>
            <w:tcW w:w="709" w:type="dxa"/>
            <w:shd w:val="clear" w:color="000000" w:fill="FEFDD7"/>
            <w:vAlign w:val="center"/>
            <w:hideMark/>
          </w:tcPr>
          <w:p w14:paraId="52B7835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w:t>
            </w:r>
          </w:p>
        </w:tc>
        <w:tc>
          <w:tcPr>
            <w:tcW w:w="641" w:type="dxa"/>
            <w:shd w:val="clear" w:color="000000" w:fill="FEFDD7"/>
            <w:vAlign w:val="center"/>
            <w:hideMark/>
          </w:tcPr>
          <w:p w14:paraId="6536F0AE"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2.1</w:t>
            </w:r>
          </w:p>
        </w:tc>
        <w:tc>
          <w:tcPr>
            <w:tcW w:w="2534" w:type="dxa"/>
            <w:shd w:val="clear" w:color="000000" w:fill="FEFDD7"/>
            <w:vAlign w:val="center"/>
            <w:hideMark/>
          </w:tcPr>
          <w:p w14:paraId="07BC2D0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2.1 : Développer et appuyer la mise en œuvre d’une stratégie nationale d’accès aux marchés du carbone</w:t>
            </w:r>
          </w:p>
        </w:tc>
        <w:tc>
          <w:tcPr>
            <w:tcW w:w="3172" w:type="dxa"/>
            <w:shd w:val="clear" w:color="000000" w:fill="FEFDD7"/>
            <w:vAlign w:val="center"/>
            <w:hideMark/>
          </w:tcPr>
          <w:p w14:paraId="591791D9"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78430FC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3FC1B00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auto" w:fill="auto"/>
            <w:vAlign w:val="center"/>
            <w:hideMark/>
          </w:tcPr>
          <w:p w14:paraId="048B72F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74C6F0F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0F17B94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1C2CC360"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7C4FEBC6"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21150A16"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97,000 </w:t>
            </w:r>
          </w:p>
        </w:tc>
        <w:tc>
          <w:tcPr>
            <w:tcW w:w="1209" w:type="dxa"/>
            <w:gridSpan w:val="2"/>
            <w:shd w:val="clear" w:color="auto" w:fill="auto"/>
            <w:vAlign w:val="center"/>
            <w:hideMark/>
          </w:tcPr>
          <w:p w14:paraId="3F30AAE9"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491979F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97,000 </w:t>
            </w:r>
          </w:p>
        </w:tc>
        <w:tc>
          <w:tcPr>
            <w:tcW w:w="1395" w:type="dxa"/>
            <w:shd w:val="clear" w:color="000000" w:fill="FEFDD7"/>
            <w:vAlign w:val="center"/>
            <w:hideMark/>
          </w:tcPr>
          <w:p w14:paraId="71690A50"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3.2%</w:t>
            </w:r>
          </w:p>
        </w:tc>
      </w:tr>
      <w:tr w:rsidR="002C377A" w:rsidRPr="007531DC" w14:paraId="228645DA" w14:textId="77777777" w:rsidTr="002C377A">
        <w:trPr>
          <w:gridAfter w:val="2"/>
          <w:wAfter w:w="60" w:type="dxa"/>
          <w:trHeight w:val="552"/>
        </w:trPr>
        <w:tc>
          <w:tcPr>
            <w:tcW w:w="709" w:type="dxa"/>
            <w:shd w:val="clear" w:color="000000" w:fill="FEFDD7"/>
            <w:vAlign w:val="center"/>
            <w:hideMark/>
          </w:tcPr>
          <w:p w14:paraId="36296A50"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w:t>
            </w:r>
          </w:p>
        </w:tc>
        <w:tc>
          <w:tcPr>
            <w:tcW w:w="641" w:type="dxa"/>
            <w:shd w:val="clear" w:color="000000" w:fill="FEFDD7"/>
            <w:vAlign w:val="center"/>
            <w:hideMark/>
          </w:tcPr>
          <w:p w14:paraId="6DE03F0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2.2</w:t>
            </w:r>
          </w:p>
        </w:tc>
        <w:tc>
          <w:tcPr>
            <w:tcW w:w="2534" w:type="dxa"/>
            <w:shd w:val="clear" w:color="000000" w:fill="FEFDD7"/>
            <w:vAlign w:val="center"/>
            <w:hideMark/>
          </w:tcPr>
          <w:p w14:paraId="4EDFB43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2.2:  Appuyer le fonctionnement de l’Autorité de Régulation du Marché de Carbone</w:t>
            </w:r>
          </w:p>
        </w:tc>
        <w:tc>
          <w:tcPr>
            <w:tcW w:w="3172" w:type="dxa"/>
            <w:shd w:val="clear" w:color="000000" w:fill="FEFDD7"/>
            <w:vAlign w:val="center"/>
            <w:hideMark/>
          </w:tcPr>
          <w:p w14:paraId="7711310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69933A07"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5025FFE0"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5CD60C5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1AA448E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000000" w:fill="BADB7D"/>
            <w:vAlign w:val="center"/>
            <w:hideMark/>
          </w:tcPr>
          <w:p w14:paraId="2B8CF9C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5A57A59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000000" w:fill="FFFF00"/>
            <w:vAlign w:val="center"/>
            <w:hideMark/>
          </w:tcPr>
          <w:p w14:paraId="6F79025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105CF944"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479,012 </w:t>
            </w:r>
          </w:p>
        </w:tc>
        <w:tc>
          <w:tcPr>
            <w:tcW w:w="1209" w:type="dxa"/>
            <w:gridSpan w:val="2"/>
            <w:shd w:val="clear" w:color="auto" w:fill="auto"/>
            <w:vAlign w:val="center"/>
            <w:hideMark/>
          </w:tcPr>
          <w:p w14:paraId="59D357D4"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1BDD4DB7"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479,012 </w:t>
            </w:r>
          </w:p>
        </w:tc>
        <w:tc>
          <w:tcPr>
            <w:tcW w:w="1395" w:type="dxa"/>
            <w:shd w:val="clear" w:color="000000" w:fill="FEFDD7"/>
            <w:vAlign w:val="center"/>
            <w:hideMark/>
          </w:tcPr>
          <w:p w14:paraId="13FB15F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16.0%</w:t>
            </w:r>
          </w:p>
        </w:tc>
      </w:tr>
      <w:tr w:rsidR="002C377A" w:rsidRPr="007531DC" w14:paraId="10BBF074" w14:textId="77777777" w:rsidTr="002C377A">
        <w:trPr>
          <w:gridAfter w:val="2"/>
          <w:wAfter w:w="60" w:type="dxa"/>
          <w:trHeight w:val="600"/>
        </w:trPr>
        <w:tc>
          <w:tcPr>
            <w:tcW w:w="709" w:type="dxa"/>
            <w:shd w:val="clear" w:color="000000" w:fill="FEFDD7"/>
            <w:vAlign w:val="center"/>
            <w:hideMark/>
          </w:tcPr>
          <w:p w14:paraId="14327A9D"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w:t>
            </w:r>
          </w:p>
        </w:tc>
        <w:tc>
          <w:tcPr>
            <w:tcW w:w="641" w:type="dxa"/>
            <w:shd w:val="clear" w:color="000000" w:fill="FEFDD7"/>
            <w:vAlign w:val="center"/>
            <w:hideMark/>
          </w:tcPr>
          <w:p w14:paraId="6F96984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2.3</w:t>
            </w:r>
          </w:p>
        </w:tc>
        <w:tc>
          <w:tcPr>
            <w:tcW w:w="2534" w:type="dxa"/>
            <w:shd w:val="clear" w:color="000000" w:fill="FEFDD7"/>
            <w:vAlign w:val="center"/>
            <w:hideMark/>
          </w:tcPr>
          <w:p w14:paraId="7F5C9AF4"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2.3:Etablir et opérationnaliser les infrastructures essentielles des marchés du carbone</w:t>
            </w:r>
          </w:p>
        </w:tc>
        <w:tc>
          <w:tcPr>
            <w:tcW w:w="3172" w:type="dxa"/>
            <w:shd w:val="clear" w:color="000000" w:fill="FEFDD7"/>
            <w:vAlign w:val="center"/>
            <w:hideMark/>
          </w:tcPr>
          <w:p w14:paraId="1EB187A4"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1BAD61F1"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auto" w:fill="auto"/>
            <w:vAlign w:val="center"/>
            <w:hideMark/>
          </w:tcPr>
          <w:p w14:paraId="6593195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574000A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4D6730D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0ACA485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0D469C2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68E08C5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09756E41"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375,000 </w:t>
            </w:r>
          </w:p>
        </w:tc>
        <w:tc>
          <w:tcPr>
            <w:tcW w:w="1209" w:type="dxa"/>
            <w:gridSpan w:val="2"/>
            <w:shd w:val="clear" w:color="auto" w:fill="auto"/>
            <w:vAlign w:val="center"/>
            <w:hideMark/>
          </w:tcPr>
          <w:p w14:paraId="79137C5E"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7B970A4C"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375,000 </w:t>
            </w:r>
          </w:p>
        </w:tc>
        <w:tc>
          <w:tcPr>
            <w:tcW w:w="1395" w:type="dxa"/>
            <w:shd w:val="clear" w:color="000000" w:fill="FEFDD7"/>
            <w:vAlign w:val="center"/>
            <w:hideMark/>
          </w:tcPr>
          <w:p w14:paraId="6C72F207"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12.5%</w:t>
            </w:r>
          </w:p>
        </w:tc>
      </w:tr>
      <w:tr w:rsidR="002C377A" w:rsidRPr="007531DC" w14:paraId="58D0AA24" w14:textId="77777777" w:rsidTr="002C377A">
        <w:trPr>
          <w:gridAfter w:val="2"/>
          <w:wAfter w:w="60" w:type="dxa"/>
          <w:trHeight w:val="564"/>
        </w:trPr>
        <w:tc>
          <w:tcPr>
            <w:tcW w:w="709" w:type="dxa"/>
            <w:shd w:val="clear" w:color="000000" w:fill="FEFDD7"/>
            <w:vAlign w:val="center"/>
            <w:hideMark/>
          </w:tcPr>
          <w:p w14:paraId="15045A00"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w:t>
            </w:r>
          </w:p>
        </w:tc>
        <w:tc>
          <w:tcPr>
            <w:tcW w:w="641" w:type="dxa"/>
            <w:shd w:val="clear" w:color="000000" w:fill="FEFDD7"/>
            <w:vAlign w:val="center"/>
            <w:hideMark/>
          </w:tcPr>
          <w:p w14:paraId="62FD6CE4"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2.4</w:t>
            </w:r>
          </w:p>
        </w:tc>
        <w:tc>
          <w:tcPr>
            <w:tcW w:w="2534" w:type="dxa"/>
            <w:shd w:val="clear" w:color="000000" w:fill="FEFDD7"/>
            <w:vAlign w:val="center"/>
            <w:hideMark/>
          </w:tcPr>
          <w:p w14:paraId="2F475E31" w14:textId="5D51D408"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xml:space="preserve">Activité 2.4: </w:t>
            </w:r>
            <w:r w:rsidR="003E08B4" w:rsidRPr="003E08B4">
              <w:rPr>
                <w:rFonts w:eastAsia="Times New Roman" w:cs="Calibri"/>
                <w:color w:val="000000"/>
                <w:sz w:val="18"/>
                <w:szCs w:val="18"/>
                <w:lang w:eastAsia="fr-FR"/>
              </w:rPr>
              <w:t>Elaborer une réglementation nationale pour l'opérationnalisation des marchés du carbone en RDC (marché volontaire, mécanismes de l'article 6) et soumission au conseil des Ministres pour adoption.</w:t>
            </w:r>
          </w:p>
        </w:tc>
        <w:tc>
          <w:tcPr>
            <w:tcW w:w="3172" w:type="dxa"/>
            <w:shd w:val="clear" w:color="000000" w:fill="FEFDD7"/>
            <w:vAlign w:val="center"/>
            <w:hideMark/>
          </w:tcPr>
          <w:p w14:paraId="5FF53ED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5E788B0E"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517B86D4"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auto" w:fill="auto"/>
            <w:vAlign w:val="center"/>
            <w:hideMark/>
          </w:tcPr>
          <w:p w14:paraId="0AF05EB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426D607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791A05C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765D642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77D7647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1D35E34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115,000 </w:t>
            </w:r>
          </w:p>
        </w:tc>
        <w:tc>
          <w:tcPr>
            <w:tcW w:w="1209" w:type="dxa"/>
            <w:gridSpan w:val="2"/>
            <w:shd w:val="clear" w:color="auto" w:fill="auto"/>
            <w:vAlign w:val="center"/>
            <w:hideMark/>
          </w:tcPr>
          <w:p w14:paraId="375DD21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2552BE3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115,000 </w:t>
            </w:r>
          </w:p>
        </w:tc>
        <w:tc>
          <w:tcPr>
            <w:tcW w:w="1395" w:type="dxa"/>
            <w:shd w:val="clear" w:color="000000" w:fill="FEFDD7"/>
            <w:vAlign w:val="center"/>
            <w:hideMark/>
          </w:tcPr>
          <w:p w14:paraId="7258EEDE"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3.8%</w:t>
            </w:r>
          </w:p>
        </w:tc>
      </w:tr>
      <w:tr w:rsidR="002C377A" w:rsidRPr="007531DC" w14:paraId="7F0B7B8B" w14:textId="77777777" w:rsidTr="002C377A">
        <w:trPr>
          <w:gridAfter w:val="2"/>
          <w:wAfter w:w="60" w:type="dxa"/>
          <w:trHeight w:val="925"/>
        </w:trPr>
        <w:tc>
          <w:tcPr>
            <w:tcW w:w="709" w:type="dxa"/>
            <w:shd w:val="clear" w:color="000000" w:fill="FEFDD7"/>
            <w:vAlign w:val="center"/>
            <w:hideMark/>
          </w:tcPr>
          <w:p w14:paraId="581C0BB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w:t>
            </w:r>
          </w:p>
        </w:tc>
        <w:tc>
          <w:tcPr>
            <w:tcW w:w="641" w:type="dxa"/>
            <w:shd w:val="clear" w:color="000000" w:fill="FEFDD7"/>
            <w:vAlign w:val="center"/>
            <w:hideMark/>
          </w:tcPr>
          <w:p w14:paraId="46F9F66B"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2.5</w:t>
            </w:r>
          </w:p>
        </w:tc>
        <w:tc>
          <w:tcPr>
            <w:tcW w:w="2534" w:type="dxa"/>
            <w:shd w:val="clear" w:color="000000" w:fill="FEFDD7"/>
            <w:vAlign w:val="center"/>
            <w:hideMark/>
          </w:tcPr>
          <w:p w14:paraId="7E6F54A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2.5: Appuyer la conception de programmes juridictionnels sur les marchés du carbone</w:t>
            </w:r>
          </w:p>
        </w:tc>
        <w:tc>
          <w:tcPr>
            <w:tcW w:w="3172" w:type="dxa"/>
            <w:shd w:val="clear" w:color="000000" w:fill="FEFDD7"/>
            <w:vAlign w:val="center"/>
            <w:hideMark/>
          </w:tcPr>
          <w:p w14:paraId="100EF564"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28E8C0B1"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auto" w:fill="auto"/>
            <w:vAlign w:val="center"/>
            <w:hideMark/>
          </w:tcPr>
          <w:p w14:paraId="04350518"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auto" w:fill="auto"/>
            <w:vAlign w:val="center"/>
            <w:hideMark/>
          </w:tcPr>
          <w:p w14:paraId="0111257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09D60A9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7361E31A"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0D525F6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2C22094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30CB622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105,000 </w:t>
            </w:r>
          </w:p>
        </w:tc>
        <w:tc>
          <w:tcPr>
            <w:tcW w:w="1209" w:type="dxa"/>
            <w:gridSpan w:val="2"/>
            <w:shd w:val="clear" w:color="auto" w:fill="auto"/>
            <w:vAlign w:val="center"/>
            <w:hideMark/>
          </w:tcPr>
          <w:p w14:paraId="05815F3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4F2D994A"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105,000 </w:t>
            </w:r>
          </w:p>
        </w:tc>
        <w:tc>
          <w:tcPr>
            <w:tcW w:w="1395" w:type="dxa"/>
            <w:shd w:val="clear" w:color="000000" w:fill="FEFDD7"/>
            <w:vAlign w:val="center"/>
            <w:hideMark/>
          </w:tcPr>
          <w:p w14:paraId="235E987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3.5%</w:t>
            </w:r>
          </w:p>
        </w:tc>
      </w:tr>
      <w:tr w:rsidR="002C377A" w:rsidRPr="007531DC" w14:paraId="19779D03" w14:textId="77777777" w:rsidTr="002C377A">
        <w:trPr>
          <w:gridAfter w:val="2"/>
          <w:wAfter w:w="60" w:type="dxa"/>
          <w:trHeight w:val="985"/>
        </w:trPr>
        <w:tc>
          <w:tcPr>
            <w:tcW w:w="709" w:type="dxa"/>
            <w:shd w:val="clear" w:color="000000" w:fill="FEFDD7"/>
            <w:vAlign w:val="center"/>
            <w:hideMark/>
          </w:tcPr>
          <w:p w14:paraId="768F88C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lastRenderedPageBreak/>
              <w:t>2</w:t>
            </w:r>
          </w:p>
        </w:tc>
        <w:tc>
          <w:tcPr>
            <w:tcW w:w="641" w:type="dxa"/>
            <w:shd w:val="clear" w:color="000000" w:fill="FEFDD7"/>
            <w:vAlign w:val="center"/>
            <w:hideMark/>
          </w:tcPr>
          <w:p w14:paraId="7B7FB2F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2.6</w:t>
            </w:r>
          </w:p>
        </w:tc>
        <w:tc>
          <w:tcPr>
            <w:tcW w:w="2534" w:type="dxa"/>
            <w:shd w:val="clear" w:color="000000" w:fill="FEFDD7"/>
            <w:vAlign w:val="center"/>
            <w:hideMark/>
          </w:tcPr>
          <w:p w14:paraId="6D021BE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2.6: Elaborer et mettre en œuvre un plan robuste de renforcement des capacités et partage d’expérience continue, inclusif et sensible au genre</w:t>
            </w:r>
          </w:p>
        </w:tc>
        <w:tc>
          <w:tcPr>
            <w:tcW w:w="3172" w:type="dxa"/>
            <w:shd w:val="clear" w:color="000000" w:fill="FEFDD7"/>
            <w:vAlign w:val="center"/>
            <w:hideMark/>
          </w:tcPr>
          <w:p w14:paraId="04F63DB9"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75AAA7F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2EFA8CB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5CF433B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1F72113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000000" w:fill="BADB7D"/>
            <w:vAlign w:val="center"/>
            <w:hideMark/>
          </w:tcPr>
          <w:p w14:paraId="760C056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46377198"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000000" w:fill="BADB7D"/>
            <w:vAlign w:val="center"/>
            <w:hideMark/>
          </w:tcPr>
          <w:p w14:paraId="580DAAC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1F5CCCD0"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95,000 </w:t>
            </w:r>
          </w:p>
        </w:tc>
        <w:tc>
          <w:tcPr>
            <w:tcW w:w="1209" w:type="dxa"/>
            <w:gridSpan w:val="2"/>
            <w:shd w:val="clear" w:color="auto" w:fill="auto"/>
            <w:vAlign w:val="center"/>
            <w:hideMark/>
          </w:tcPr>
          <w:p w14:paraId="462A1676"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57AC90F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95,000 </w:t>
            </w:r>
          </w:p>
        </w:tc>
        <w:tc>
          <w:tcPr>
            <w:tcW w:w="1395" w:type="dxa"/>
            <w:shd w:val="clear" w:color="000000" w:fill="FEFDD7"/>
            <w:vAlign w:val="center"/>
            <w:hideMark/>
          </w:tcPr>
          <w:p w14:paraId="12426DB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3.2%</w:t>
            </w:r>
          </w:p>
        </w:tc>
      </w:tr>
      <w:tr w:rsidR="002C377A" w:rsidRPr="007531DC" w14:paraId="652006C2" w14:textId="77777777" w:rsidTr="002C377A">
        <w:trPr>
          <w:gridAfter w:val="2"/>
          <w:wAfter w:w="60" w:type="dxa"/>
          <w:trHeight w:val="264"/>
        </w:trPr>
        <w:tc>
          <w:tcPr>
            <w:tcW w:w="709" w:type="dxa"/>
            <w:shd w:val="clear" w:color="000000" w:fill="FEFDD7"/>
            <w:vAlign w:val="center"/>
            <w:hideMark/>
          </w:tcPr>
          <w:p w14:paraId="1CCF30EB"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w:t>
            </w:r>
          </w:p>
        </w:tc>
        <w:tc>
          <w:tcPr>
            <w:tcW w:w="641" w:type="dxa"/>
            <w:shd w:val="clear" w:color="000000" w:fill="FEFDD7"/>
            <w:vAlign w:val="center"/>
            <w:hideMark/>
          </w:tcPr>
          <w:p w14:paraId="53945D0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2.7</w:t>
            </w:r>
          </w:p>
        </w:tc>
        <w:tc>
          <w:tcPr>
            <w:tcW w:w="2534" w:type="dxa"/>
            <w:shd w:val="clear" w:color="000000" w:fill="FEFDD7"/>
            <w:vAlign w:val="center"/>
            <w:hideMark/>
          </w:tcPr>
          <w:p w14:paraId="7DC164C0"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2.7:Appuyer la réalisation d’études sur le flux financier climatique et les mécanismes de financements climatiques innovants applicables au contexte de la RDC</w:t>
            </w:r>
          </w:p>
        </w:tc>
        <w:tc>
          <w:tcPr>
            <w:tcW w:w="3172" w:type="dxa"/>
            <w:shd w:val="clear" w:color="000000" w:fill="FEFDD7"/>
            <w:vAlign w:val="center"/>
            <w:hideMark/>
          </w:tcPr>
          <w:p w14:paraId="7F431514"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4B8C9FDE"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auto" w:fill="auto"/>
            <w:vAlign w:val="center"/>
            <w:hideMark/>
          </w:tcPr>
          <w:p w14:paraId="6CDDEE5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190EB3D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6416065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3BFEEDA9"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3DF037F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43A1160A"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15D766C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161,000 </w:t>
            </w:r>
          </w:p>
        </w:tc>
        <w:tc>
          <w:tcPr>
            <w:tcW w:w="1209" w:type="dxa"/>
            <w:gridSpan w:val="2"/>
            <w:shd w:val="clear" w:color="auto" w:fill="auto"/>
            <w:vAlign w:val="center"/>
            <w:hideMark/>
          </w:tcPr>
          <w:p w14:paraId="038DF440"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77DFF192"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161,000 </w:t>
            </w:r>
          </w:p>
        </w:tc>
        <w:tc>
          <w:tcPr>
            <w:tcW w:w="1395" w:type="dxa"/>
            <w:shd w:val="clear" w:color="000000" w:fill="FEFDD7"/>
            <w:vAlign w:val="center"/>
            <w:hideMark/>
          </w:tcPr>
          <w:p w14:paraId="65436253"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5.4%</w:t>
            </w:r>
          </w:p>
        </w:tc>
      </w:tr>
      <w:tr w:rsidR="002C377A" w:rsidRPr="00B50C36" w14:paraId="0DBC0AFB" w14:textId="77777777" w:rsidTr="002C377A">
        <w:trPr>
          <w:gridAfter w:val="2"/>
          <w:wAfter w:w="60" w:type="dxa"/>
          <w:trHeight w:val="324"/>
        </w:trPr>
        <w:tc>
          <w:tcPr>
            <w:tcW w:w="709" w:type="dxa"/>
            <w:shd w:val="clear" w:color="auto" w:fill="auto"/>
            <w:vAlign w:val="center"/>
            <w:hideMark/>
          </w:tcPr>
          <w:p w14:paraId="18B01CF1" w14:textId="77777777" w:rsidR="002C377A" w:rsidRPr="00B50C36" w:rsidRDefault="002C377A" w:rsidP="005B16B5">
            <w:pPr>
              <w:spacing w:after="0"/>
              <w:jc w:val="center"/>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641" w:type="dxa"/>
            <w:shd w:val="clear" w:color="auto" w:fill="auto"/>
            <w:vAlign w:val="center"/>
            <w:hideMark/>
          </w:tcPr>
          <w:p w14:paraId="37530292" w14:textId="77777777" w:rsidR="002C377A" w:rsidRPr="00B50C36" w:rsidRDefault="002C377A" w:rsidP="005B16B5">
            <w:pPr>
              <w:spacing w:after="0"/>
              <w:jc w:val="center"/>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2534" w:type="dxa"/>
            <w:shd w:val="clear" w:color="auto" w:fill="auto"/>
            <w:vAlign w:val="center"/>
            <w:hideMark/>
          </w:tcPr>
          <w:p w14:paraId="06967DA6"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3172" w:type="dxa"/>
            <w:shd w:val="clear" w:color="auto" w:fill="auto"/>
            <w:vAlign w:val="center"/>
            <w:hideMark/>
          </w:tcPr>
          <w:p w14:paraId="565EFE47" w14:textId="77777777" w:rsidR="002C377A" w:rsidRPr="00B50C36" w:rsidRDefault="002C377A" w:rsidP="005B16B5">
            <w:pPr>
              <w:spacing w:after="0"/>
              <w:jc w:val="center"/>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1587" w:type="dxa"/>
            <w:shd w:val="clear" w:color="auto" w:fill="auto"/>
            <w:vAlign w:val="center"/>
            <w:hideMark/>
          </w:tcPr>
          <w:p w14:paraId="154DD3BF" w14:textId="77777777" w:rsidR="002C377A" w:rsidRPr="00B50C36" w:rsidRDefault="002C377A" w:rsidP="005B16B5">
            <w:pPr>
              <w:spacing w:after="0"/>
              <w:jc w:val="center"/>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577" w:type="dxa"/>
            <w:shd w:val="clear" w:color="auto" w:fill="auto"/>
            <w:vAlign w:val="center"/>
            <w:hideMark/>
          </w:tcPr>
          <w:p w14:paraId="65C0F3B7"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208" w:type="dxa"/>
            <w:shd w:val="clear" w:color="auto" w:fill="auto"/>
            <w:vAlign w:val="center"/>
            <w:hideMark/>
          </w:tcPr>
          <w:p w14:paraId="3652AF90"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208" w:type="dxa"/>
            <w:gridSpan w:val="2"/>
            <w:shd w:val="clear" w:color="auto" w:fill="auto"/>
            <w:vAlign w:val="center"/>
            <w:hideMark/>
          </w:tcPr>
          <w:p w14:paraId="1D25F95D"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209" w:type="dxa"/>
            <w:gridSpan w:val="2"/>
            <w:shd w:val="clear" w:color="auto" w:fill="auto"/>
            <w:vAlign w:val="center"/>
            <w:hideMark/>
          </w:tcPr>
          <w:p w14:paraId="54DC144A"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208" w:type="dxa"/>
            <w:gridSpan w:val="2"/>
            <w:shd w:val="clear" w:color="auto" w:fill="auto"/>
            <w:vAlign w:val="center"/>
            <w:hideMark/>
          </w:tcPr>
          <w:p w14:paraId="1A033ADE"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211" w:type="dxa"/>
            <w:gridSpan w:val="2"/>
            <w:shd w:val="clear" w:color="auto" w:fill="auto"/>
            <w:vAlign w:val="center"/>
            <w:hideMark/>
          </w:tcPr>
          <w:p w14:paraId="08F62447"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776" w:type="dxa"/>
            <w:gridSpan w:val="2"/>
            <w:shd w:val="clear" w:color="auto" w:fill="auto"/>
            <w:vAlign w:val="center"/>
            <w:hideMark/>
          </w:tcPr>
          <w:p w14:paraId="65DA7229" w14:textId="77777777" w:rsidR="002C377A" w:rsidRPr="00B50C36" w:rsidRDefault="002C377A" w:rsidP="005B16B5">
            <w:pPr>
              <w:spacing w:after="0"/>
              <w:rPr>
                <w:rFonts w:eastAsia="Times New Roman" w:cs="Calibri"/>
                <w:b/>
                <w:bCs/>
                <w:color w:val="000000"/>
                <w:sz w:val="24"/>
                <w:szCs w:val="24"/>
                <w:lang w:eastAsia="fr-FR"/>
              </w:rPr>
            </w:pPr>
            <w:r w:rsidRPr="00B50C36">
              <w:rPr>
                <w:rFonts w:eastAsia="Times New Roman" w:cs="Calibri"/>
                <w:b/>
                <w:bCs/>
                <w:color w:val="000000"/>
                <w:sz w:val="24"/>
                <w:szCs w:val="24"/>
                <w:lang w:eastAsia="fr-FR"/>
              </w:rPr>
              <w:t> </w:t>
            </w:r>
          </w:p>
        </w:tc>
        <w:tc>
          <w:tcPr>
            <w:tcW w:w="1209" w:type="dxa"/>
            <w:gridSpan w:val="2"/>
            <w:shd w:val="clear" w:color="auto" w:fill="auto"/>
            <w:vAlign w:val="center"/>
            <w:hideMark/>
          </w:tcPr>
          <w:p w14:paraId="085A7BD8" w14:textId="77777777" w:rsidR="002C377A" w:rsidRPr="00B50C36" w:rsidRDefault="002C377A" w:rsidP="005B16B5">
            <w:pPr>
              <w:spacing w:after="0"/>
              <w:rPr>
                <w:rFonts w:eastAsia="Times New Roman" w:cs="Calibri"/>
                <w:color w:val="000000"/>
                <w:sz w:val="24"/>
                <w:szCs w:val="24"/>
                <w:lang w:eastAsia="fr-FR"/>
              </w:rPr>
            </w:pPr>
            <w:r w:rsidRPr="00B50C36">
              <w:rPr>
                <w:rFonts w:eastAsia="Times New Roman" w:cs="Calibri"/>
                <w:color w:val="000000"/>
                <w:sz w:val="24"/>
                <w:szCs w:val="24"/>
                <w:lang w:eastAsia="fr-FR"/>
              </w:rPr>
              <w:t> </w:t>
            </w:r>
          </w:p>
        </w:tc>
        <w:tc>
          <w:tcPr>
            <w:tcW w:w="877" w:type="dxa"/>
            <w:gridSpan w:val="2"/>
            <w:shd w:val="clear" w:color="auto" w:fill="auto"/>
            <w:vAlign w:val="center"/>
            <w:hideMark/>
          </w:tcPr>
          <w:p w14:paraId="124DC4FE" w14:textId="77777777" w:rsidR="002C377A" w:rsidRPr="00B50C36" w:rsidRDefault="002C377A" w:rsidP="005B16B5">
            <w:pPr>
              <w:spacing w:after="0"/>
              <w:rPr>
                <w:rFonts w:eastAsia="Times New Roman" w:cs="Calibri"/>
                <w:b/>
                <w:bCs/>
                <w:color w:val="000000"/>
                <w:sz w:val="24"/>
                <w:szCs w:val="24"/>
                <w:lang w:eastAsia="fr-FR"/>
              </w:rPr>
            </w:pPr>
            <w:r w:rsidRPr="00B50C36">
              <w:rPr>
                <w:rFonts w:eastAsia="Times New Roman" w:cs="Calibri"/>
                <w:b/>
                <w:bCs/>
                <w:color w:val="000000"/>
                <w:sz w:val="24"/>
                <w:szCs w:val="24"/>
                <w:lang w:eastAsia="fr-FR"/>
              </w:rPr>
              <w:t> </w:t>
            </w:r>
          </w:p>
        </w:tc>
        <w:tc>
          <w:tcPr>
            <w:tcW w:w="1395" w:type="dxa"/>
            <w:shd w:val="clear" w:color="auto" w:fill="auto"/>
            <w:vAlign w:val="center"/>
            <w:hideMark/>
          </w:tcPr>
          <w:p w14:paraId="4C8B0E9A" w14:textId="77777777" w:rsidR="002C377A" w:rsidRPr="00B50C36" w:rsidRDefault="002C377A" w:rsidP="005B16B5">
            <w:pPr>
              <w:spacing w:after="0"/>
              <w:jc w:val="center"/>
              <w:rPr>
                <w:rFonts w:eastAsia="Times New Roman" w:cs="Calibri"/>
                <w:color w:val="000000"/>
                <w:sz w:val="24"/>
                <w:szCs w:val="24"/>
                <w:lang w:eastAsia="fr-FR"/>
              </w:rPr>
            </w:pPr>
            <w:r w:rsidRPr="00B50C36">
              <w:rPr>
                <w:rFonts w:eastAsia="Times New Roman" w:cs="Calibri"/>
                <w:color w:val="000000"/>
                <w:sz w:val="24"/>
                <w:szCs w:val="24"/>
                <w:lang w:eastAsia="fr-FR"/>
              </w:rPr>
              <w:t> </w:t>
            </w:r>
          </w:p>
        </w:tc>
      </w:tr>
      <w:tr w:rsidR="002C377A" w:rsidRPr="007531DC" w14:paraId="19A010F7" w14:textId="77777777" w:rsidTr="002C377A">
        <w:trPr>
          <w:gridAfter w:val="2"/>
          <w:wAfter w:w="60" w:type="dxa"/>
          <w:trHeight w:val="402"/>
        </w:trPr>
        <w:tc>
          <w:tcPr>
            <w:tcW w:w="8643" w:type="dxa"/>
            <w:gridSpan w:val="5"/>
            <w:shd w:val="clear" w:color="000000" w:fill="DBEFD3"/>
            <w:noWrap/>
            <w:vAlign w:val="center"/>
            <w:hideMark/>
          </w:tcPr>
          <w:p w14:paraId="01FDFB48"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Produit 3: Des cadres de concertation inclusifs et sensible au genre, la diplomatie environnementales, la communication et sensibilisation sont renforcés </w:t>
            </w:r>
          </w:p>
          <w:p w14:paraId="079DA033"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451769FE"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2E4A1F37" w14:textId="77777777" w:rsidR="002C377A" w:rsidRPr="007531DC"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6C9C4563"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577" w:type="dxa"/>
            <w:shd w:val="clear" w:color="000000" w:fill="DBEFD3"/>
            <w:noWrap/>
            <w:vAlign w:val="center"/>
            <w:hideMark/>
          </w:tcPr>
          <w:p w14:paraId="421EE0F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shd w:val="clear" w:color="000000" w:fill="DBEFD3"/>
            <w:noWrap/>
            <w:vAlign w:val="center"/>
            <w:hideMark/>
          </w:tcPr>
          <w:p w14:paraId="35A89907"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noWrap/>
            <w:vAlign w:val="center"/>
            <w:hideMark/>
          </w:tcPr>
          <w:p w14:paraId="200377B6"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9" w:type="dxa"/>
            <w:gridSpan w:val="2"/>
            <w:shd w:val="clear" w:color="000000" w:fill="DBEFD3"/>
            <w:noWrap/>
            <w:vAlign w:val="center"/>
            <w:hideMark/>
          </w:tcPr>
          <w:p w14:paraId="4014569C"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noWrap/>
            <w:vAlign w:val="center"/>
            <w:hideMark/>
          </w:tcPr>
          <w:p w14:paraId="674B822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11" w:type="dxa"/>
            <w:gridSpan w:val="2"/>
            <w:shd w:val="clear" w:color="000000" w:fill="DBEFD3"/>
            <w:noWrap/>
            <w:vAlign w:val="center"/>
            <w:hideMark/>
          </w:tcPr>
          <w:p w14:paraId="56CDDA94"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776" w:type="dxa"/>
            <w:gridSpan w:val="2"/>
            <w:shd w:val="clear" w:color="000000" w:fill="DBEFD3"/>
            <w:noWrap/>
            <w:vAlign w:val="center"/>
            <w:hideMark/>
          </w:tcPr>
          <w:p w14:paraId="32473EA0"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342,500 </w:t>
            </w:r>
          </w:p>
        </w:tc>
        <w:tc>
          <w:tcPr>
            <w:tcW w:w="1209" w:type="dxa"/>
            <w:gridSpan w:val="2"/>
            <w:shd w:val="clear" w:color="000000" w:fill="DBEFD3"/>
            <w:noWrap/>
            <w:vAlign w:val="center"/>
            <w:hideMark/>
          </w:tcPr>
          <w:p w14:paraId="723A5850"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   </w:t>
            </w:r>
          </w:p>
        </w:tc>
        <w:tc>
          <w:tcPr>
            <w:tcW w:w="877" w:type="dxa"/>
            <w:gridSpan w:val="2"/>
            <w:shd w:val="clear" w:color="000000" w:fill="DBEFD3"/>
            <w:noWrap/>
            <w:vAlign w:val="center"/>
            <w:hideMark/>
          </w:tcPr>
          <w:p w14:paraId="435AED3F" w14:textId="77777777" w:rsidR="002C377A" w:rsidRPr="00B50C36"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342,500 </w:t>
            </w:r>
          </w:p>
        </w:tc>
        <w:tc>
          <w:tcPr>
            <w:tcW w:w="1395" w:type="dxa"/>
            <w:shd w:val="clear" w:color="000000" w:fill="DBEFD3"/>
            <w:noWrap/>
            <w:vAlign w:val="center"/>
            <w:hideMark/>
          </w:tcPr>
          <w:p w14:paraId="124C7137"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11.4%</w:t>
            </w:r>
          </w:p>
        </w:tc>
      </w:tr>
      <w:tr w:rsidR="002C377A" w:rsidRPr="00B50C36" w14:paraId="56C6FD97" w14:textId="77777777" w:rsidTr="002C377A">
        <w:trPr>
          <w:gridAfter w:val="2"/>
          <w:wAfter w:w="60" w:type="dxa"/>
          <w:trHeight w:val="1370"/>
        </w:trPr>
        <w:tc>
          <w:tcPr>
            <w:tcW w:w="709" w:type="dxa"/>
            <w:shd w:val="clear" w:color="000000" w:fill="FEFDD7"/>
            <w:vAlign w:val="center"/>
            <w:hideMark/>
          </w:tcPr>
          <w:p w14:paraId="2CB7A03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w:t>
            </w:r>
          </w:p>
        </w:tc>
        <w:tc>
          <w:tcPr>
            <w:tcW w:w="641" w:type="dxa"/>
            <w:shd w:val="clear" w:color="000000" w:fill="FEFDD7"/>
            <w:vAlign w:val="center"/>
            <w:hideMark/>
          </w:tcPr>
          <w:p w14:paraId="1B8AE2B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3.1</w:t>
            </w:r>
          </w:p>
        </w:tc>
        <w:tc>
          <w:tcPr>
            <w:tcW w:w="2534" w:type="dxa"/>
            <w:shd w:val="clear" w:color="000000" w:fill="FEFDD7"/>
            <w:vAlign w:val="center"/>
            <w:hideMark/>
          </w:tcPr>
          <w:p w14:paraId="3A28FDF8"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3.1 : Appuyer les cadres de concertation et de dialogue inclusif (ex. secteur public, gouvernement + parlement), secteur privé, société civile, PTF, universités et instituts de recherche) sur les marchés du carbone et la CDN</w:t>
            </w:r>
          </w:p>
        </w:tc>
        <w:tc>
          <w:tcPr>
            <w:tcW w:w="3172" w:type="dxa"/>
            <w:shd w:val="clear" w:color="000000" w:fill="FEFDD7"/>
            <w:vAlign w:val="center"/>
            <w:hideMark/>
          </w:tcPr>
          <w:p w14:paraId="51A3EB5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18890137"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5B0057D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3736000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2DAB3C1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000000" w:fill="BADB7D"/>
            <w:vAlign w:val="center"/>
            <w:hideMark/>
          </w:tcPr>
          <w:p w14:paraId="1D2C553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48CE985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000000" w:fill="BADB7D"/>
            <w:vAlign w:val="center"/>
            <w:hideMark/>
          </w:tcPr>
          <w:p w14:paraId="38B72EA0"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668494FA"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116,000 </w:t>
            </w:r>
          </w:p>
        </w:tc>
        <w:tc>
          <w:tcPr>
            <w:tcW w:w="1209" w:type="dxa"/>
            <w:gridSpan w:val="2"/>
            <w:shd w:val="clear" w:color="auto" w:fill="auto"/>
            <w:vAlign w:val="center"/>
            <w:hideMark/>
          </w:tcPr>
          <w:p w14:paraId="0754276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427808BC"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116,000 </w:t>
            </w:r>
          </w:p>
        </w:tc>
        <w:tc>
          <w:tcPr>
            <w:tcW w:w="1395" w:type="dxa"/>
            <w:shd w:val="clear" w:color="000000" w:fill="FEFDD7"/>
            <w:vAlign w:val="center"/>
            <w:hideMark/>
          </w:tcPr>
          <w:p w14:paraId="11F3F33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3.9%</w:t>
            </w:r>
          </w:p>
        </w:tc>
      </w:tr>
      <w:tr w:rsidR="002C377A" w:rsidRPr="007531DC" w14:paraId="5B53184A" w14:textId="77777777" w:rsidTr="002C377A">
        <w:trPr>
          <w:gridAfter w:val="2"/>
          <w:wAfter w:w="60" w:type="dxa"/>
          <w:trHeight w:val="889"/>
        </w:trPr>
        <w:tc>
          <w:tcPr>
            <w:tcW w:w="709" w:type="dxa"/>
            <w:shd w:val="clear" w:color="000000" w:fill="FEFDD7"/>
            <w:vAlign w:val="center"/>
            <w:hideMark/>
          </w:tcPr>
          <w:p w14:paraId="2AFB7DE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w:t>
            </w:r>
          </w:p>
        </w:tc>
        <w:tc>
          <w:tcPr>
            <w:tcW w:w="641" w:type="dxa"/>
            <w:shd w:val="clear" w:color="000000" w:fill="FEFDD7"/>
            <w:vAlign w:val="center"/>
            <w:hideMark/>
          </w:tcPr>
          <w:p w14:paraId="0D1A8813"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3.2</w:t>
            </w:r>
          </w:p>
        </w:tc>
        <w:tc>
          <w:tcPr>
            <w:tcW w:w="2534" w:type="dxa"/>
            <w:shd w:val="clear" w:color="000000" w:fill="FEFDD7"/>
            <w:vAlign w:val="center"/>
            <w:hideMark/>
          </w:tcPr>
          <w:p w14:paraId="4DE3035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3.2 : Appuyer la diplomatie environnementale, les négociations internationales et les dialogues avec les bailleurs de fonds</w:t>
            </w:r>
          </w:p>
        </w:tc>
        <w:tc>
          <w:tcPr>
            <w:tcW w:w="3172" w:type="dxa"/>
            <w:shd w:val="clear" w:color="000000" w:fill="FEFDD7"/>
            <w:vAlign w:val="center"/>
            <w:hideMark/>
          </w:tcPr>
          <w:p w14:paraId="1904E50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6BD3C42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auto" w:fill="auto"/>
            <w:vAlign w:val="center"/>
            <w:hideMark/>
          </w:tcPr>
          <w:p w14:paraId="3619720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09391AB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6EC1B41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000000" w:fill="BADB7D"/>
            <w:vAlign w:val="center"/>
            <w:hideMark/>
          </w:tcPr>
          <w:p w14:paraId="1826D49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24B7410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000000" w:fill="BADB7D"/>
            <w:vAlign w:val="center"/>
            <w:hideMark/>
          </w:tcPr>
          <w:p w14:paraId="2547B4DE"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4AF2690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120,000 </w:t>
            </w:r>
          </w:p>
        </w:tc>
        <w:tc>
          <w:tcPr>
            <w:tcW w:w="1209" w:type="dxa"/>
            <w:gridSpan w:val="2"/>
            <w:shd w:val="clear" w:color="auto" w:fill="auto"/>
            <w:vAlign w:val="center"/>
            <w:hideMark/>
          </w:tcPr>
          <w:p w14:paraId="50B3730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0F51A732"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120,000 </w:t>
            </w:r>
          </w:p>
        </w:tc>
        <w:tc>
          <w:tcPr>
            <w:tcW w:w="1395" w:type="dxa"/>
            <w:shd w:val="clear" w:color="000000" w:fill="FEFDD7"/>
            <w:vAlign w:val="center"/>
            <w:hideMark/>
          </w:tcPr>
          <w:p w14:paraId="4A87EB1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4.0%</w:t>
            </w:r>
          </w:p>
        </w:tc>
      </w:tr>
      <w:tr w:rsidR="002C377A" w:rsidRPr="007531DC" w14:paraId="320BD6F8" w14:textId="77777777" w:rsidTr="002C377A">
        <w:trPr>
          <w:gridAfter w:val="2"/>
          <w:wAfter w:w="60" w:type="dxa"/>
          <w:trHeight w:val="913"/>
        </w:trPr>
        <w:tc>
          <w:tcPr>
            <w:tcW w:w="709" w:type="dxa"/>
            <w:shd w:val="clear" w:color="000000" w:fill="FEFDD7"/>
            <w:vAlign w:val="center"/>
            <w:hideMark/>
          </w:tcPr>
          <w:p w14:paraId="1DD7B28A"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w:t>
            </w:r>
          </w:p>
        </w:tc>
        <w:tc>
          <w:tcPr>
            <w:tcW w:w="641" w:type="dxa"/>
            <w:shd w:val="clear" w:color="000000" w:fill="FEFDD7"/>
            <w:vAlign w:val="center"/>
            <w:hideMark/>
          </w:tcPr>
          <w:p w14:paraId="76E921EF"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3.3</w:t>
            </w:r>
          </w:p>
        </w:tc>
        <w:tc>
          <w:tcPr>
            <w:tcW w:w="2534" w:type="dxa"/>
            <w:shd w:val="clear" w:color="000000" w:fill="FEFDD7"/>
            <w:vAlign w:val="center"/>
            <w:hideMark/>
          </w:tcPr>
          <w:p w14:paraId="68C7CAC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3.3 :  Elaborer et mettre en œuvre un Plan d’information, communication et sensibilisation, sensible au genre, sur les marchés du carbone et la CDN</w:t>
            </w:r>
          </w:p>
        </w:tc>
        <w:tc>
          <w:tcPr>
            <w:tcW w:w="3172" w:type="dxa"/>
            <w:shd w:val="clear" w:color="000000" w:fill="FEFDD7"/>
            <w:vAlign w:val="center"/>
            <w:hideMark/>
          </w:tcPr>
          <w:p w14:paraId="53BC19C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7235B212"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10FD410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5EB4269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403A786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000000" w:fill="BADB7D"/>
            <w:vAlign w:val="center"/>
            <w:hideMark/>
          </w:tcPr>
          <w:p w14:paraId="1E28FA2E"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2512817E"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000000" w:fill="BADB7D"/>
            <w:vAlign w:val="center"/>
            <w:hideMark/>
          </w:tcPr>
          <w:p w14:paraId="51FE7CE3"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2B0A008F"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86,500 </w:t>
            </w:r>
          </w:p>
        </w:tc>
        <w:tc>
          <w:tcPr>
            <w:tcW w:w="1209" w:type="dxa"/>
            <w:gridSpan w:val="2"/>
            <w:shd w:val="clear" w:color="auto" w:fill="auto"/>
            <w:vAlign w:val="center"/>
            <w:hideMark/>
          </w:tcPr>
          <w:p w14:paraId="39C43D99"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387BF3A5"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86,500 </w:t>
            </w:r>
          </w:p>
        </w:tc>
        <w:tc>
          <w:tcPr>
            <w:tcW w:w="1395" w:type="dxa"/>
            <w:shd w:val="clear" w:color="000000" w:fill="FEFDD7"/>
            <w:vAlign w:val="center"/>
            <w:hideMark/>
          </w:tcPr>
          <w:p w14:paraId="063ECB59" w14:textId="77777777" w:rsidR="002C377A" w:rsidRPr="00B50C36" w:rsidRDefault="002C377A" w:rsidP="005B16B5">
            <w:pPr>
              <w:spacing w:after="0"/>
              <w:jc w:val="right"/>
              <w:rPr>
                <w:rFonts w:eastAsia="Times New Roman" w:cs="Calibri"/>
                <w:color w:val="000000"/>
                <w:sz w:val="18"/>
                <w:szCs w:val="18"/>
                <w:lang w:eastAsia="fr-FR"/>
              </w:rPr>
            </w:pPr>
            <w:r w:rsidRPr="00B50C36">
              <w:rPr>
                <w:rFonts w:eastAsia="Times New Roman" w:cs="Calibri"/>
                <w:color w:val="000000"/>
                <w:sz w:val="18"/>
                <w:szCs w:val="18"/>
                <w:lang w:eastAsia="fr-FR"/>
              </w:rPr>
              <w:t>3%</w:t>
            </w:r>
          </w:p>
        </w:tc>
      </w:tr>
      <w:tr w:rsidR="002C377A" w:rsidRPr="007531DC" w14:paraId="674610B9" w14:textId="77777777" w:rsidTr="002C377A">
        <w:trPr>
          <w:gridAfter w:val="2"/>
          <w:wAfter w:w="60" w:type="dxa"/>
          <w:trHeight w:val="829"/>
        </w:trPr>
        <w:tc>
          <w:tcPr>
            <w:tcW w:w="709" w:type="dxa"/>
            <w:shd w:val="clear" w:color="000000" w:fill="FEFDD7"/>
            <w:vAlign w:val="center"/>
            <w:hideMark/>
          </w:tcPr>
          <w:p w14:paraId="0B42C66F"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lastRenderedPageBreak/>
              <w:t>3</w:t>
            </w:r>
          </w:p>
        </w:tc>
        <w:tc>
          <w:tcPr>
            <w:tcW w:w="641" w:type="dxa"/>
            <w:shd w:val="clear" w:color="000000" w:fill="FEFDD7"/>
            <w:vAlign w:val="center"/>
            <w:hideMark/>
          </w:tcPr>
          <w:p w14:paraId="1BC337BD"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3.4</w:t>
            </w:r>
          </w:p>
        </w:tc>
        <w:tc>
          <w:tcPr>
            <w:tcW w:w="2534" w:type="dxa"/>
            <w:shd w:val="clear" w:color="000000" w:fill="FEFDD7"/>
            <w:vAlign w:val="center"/>
            <w:hideMark/>
          </w:tcPr>
          <w:p w14:paraId="2B3E15F8"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Activité 3.4 :Elaborer et mettre en œuvre un plan de gestion des connaissances et savoir</w:t>
            </w:r>
          </w:p>
        </w:tc>
        <w:tc>
          <w:tcPr>
            <w:tcW w:w="3172" w:type="dxa"/>
            <w:shd w:val="clear" w:color="000000" w:fill="FEFDD7"/>
            <w:vAlign w:val="center"/>
            <w:hideMark/>
          </w:tcPr>
          <w:p w14:paraId="07DD8970"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auto" w:fill="auto"/>
            <w:vAlign w:val="center"/>
            <w:hideMark/>
          </w:tcPr>
          <w:p w14:paraId="58EE45F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577" w:type="dxa"/>
            <w:shd w:val="clear" w:color="000000" w:fill="BADB7D"/>
            <w:vAlign w:val="center"/>
            <w:hideMark/>
          </w:tcPr>
          <w:p w14:paraId="47FEB1A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000000" w:fill="BADB7D"/>
            <w:vAlign w:val="center"/>
            <w:hideMark/>
          </w:tcPr>
          <w:p w14:paraId="10F231D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366F5E66"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000000" w:fill="BADB7D"/>
            <w:vAlign w:val="center"/>
            <w:hideMark/>
          </w:tcPr>
          <w:p w14:paraId="69853F9A"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000000" w:fill="BADB7D"/>
            <w:vAlign w:val="center"/>
            <w:hideMark/>
          </w:tcPr>
          <w:p w14:paraId="37E5DAE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000000" w:fill="BADB7D"/>
            <w:vAlign w:val="center"/>
            <w:hideMark/>
          </w:tcPr>
          <w:p w14:paraId="080B8F3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3E82B6EE"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20,000 </w:t>
            </w:r>
          </w:p>
        </w:tc>
        <w:tc>
          <w:tcPr>
            <w:tcW w:w="1209" w:type="dxa"/>
            <w:gridSpan w:val="2"/>
            <w:shd w:val="clear" w:color="auto" w:fill="auto"/>
            <w:vAlign w:val="center"/>
            <w:hideMark/>
          </w:tcPr>
          <w:p w14:paraId="37B0A2E6"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877" w:type="dxa"/>
            <w:gridSpan w:val="2"/>
            <w:shd w:val="clear" w:color="000000" w:fill="FEFDD7"/>
            <w:vAlign w:val="center"/>
            <w:hideMark/>
          </w:tcPr>
          <w:p w14:paraId="0E66349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20,000 </w:t>
            </w:r>
          </w:p>
        </w:tc>
        <w:tc>
          <w:tcPr>
            <w:tcW w:w="1395" w:type="dxa"/>
            <w:shd w:val="clear" w:color="000000" w:fill="FEFDD7"/>
            <w:vAlign w:val="center"/>
            <w:hideMark/>
          </w:tcPr>
          <w:p w14:paraId="01FD2376" w14:textId="77777777" w:rsidR="002C377A" w:rsidRPr="00B50C36" w:rsidRDefault="002C377A" w:rsidP="005B16B5">
            <w:pPr>
              <w:spacing w:after="0"/>
              <w:jc w:val="right"/>
              <w:rPr>
                <w:rFonts w:eastAsia="Times New Roman" w:cs="Calibri"/>
                <w:color w:val="000000"/>
                <w:sz w:val="18"/>
                <w:szCs w:val="18"/>
                <w:lang w:eastAsia="fr-FR"/>
              </w:rPr>
            </w:pPr>
            <w:r w:rsidRPr="00B50C36">
              <w:rPr>
                <w:rFonts w:eastAsia="Times New Roman" w:cs="Calibri"/>
                <w:color w:val="000000"/>
                <w:sz w:val="18"/>
                <w:szCs w:val="18"/>
                <w:lang w:eastAsia="fr-FR"/>
              </w:rPr>
              <w:t>1%</w:t>
            </w:r>
          </w:p>
        </w:tc>
      </w:tr>
      <w:tr w:rsidR="002C377A" w:rsidRPr="007531DC" w14:paraId="417CD270" w14:textId="77777777" w:rsidTr="002C377A">
        <w:trPr>
          <w:gridAfter w:val="2"/>
          <w:wAfter w:w="60" w:type="dxa"/>
          <w:trHeight w:val="465"/>
        </w:trPr>
        <w:tc>
          <w:tcPr>
            <w:tcW w:w="3884" w:type="dxa"/>
            <w:gridSpan w:val="3"/>
            <w:shd w:val="clear" w:color="000000" w:fill="678A26"/>
            <w:noWrap/>
            <w:vAlign w:val="center"/>
            <w:hideMark/>
          </w:tcPr>
          <w:p w14:paraId="05FC8585"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B. COUTS DE SUIVI-EVALUATION, SAUVEGARDES ET GENRE, COMMUNICATION</w:t>
            </w:r>
          </w:p>
        </w:tc>
        <w:tc>
          <w:tcPr>
            <w:tcW w:w="3172" w:type="dxa"/>
            <w:shd w:val="clear" w:color="000000" w:fill="678A26"/>
            <w:noWrap/>
            <w:vAlign w:val="center"/>
            <w:hideMark/>
          </w:tcPr>
          <w:p w14:paraId="439AF08B" w14:textId="77777777" w:rsidR="002C377A" w:rsidRPr="00B50C36" w:rsidRDefault="002C377A" w:rsidP="005B16B5">
            <w:pPr>
              <w:spacing w:after="0"/>
              <w:jc w:val="center"/>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1587" w:type="dxa"/>
            <w:shd w:val="clear" w:color="000000" w:fill="678A26"/>
            <w:noWrap/>
            <w:vAlign w:val="center"/>
            <w:hideMark/>
          </w:tcPr>
          <w:p w14:paraId="2A0AEB4D"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577" w:type="dxa"/>
            <w:shd w:val="clear" w:color="000000" w:fill="678A26"/>
            <w:noWrap/>
            <w:vAlign w:val="center"/>
            <w:hideMark/>
          </w:tcPr>
          <w:p w14:paraId="7FF1A489"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8" w:type="dxa"/>
            <w:shd w:val="clear" w:color="000000" w:fill="678A26"/>
            <w:noWrap/>
            <w:vAlign w:val="center"/>
            <w:hideMark/>
          </w:tcPr>
          <w:p w14:paraId="74422B7B"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8" w:type="dxa"/>
            <w:gridSpan w:val="2"/>
            <w:shd w:val="clear" w:color="000000" w:fill="678A26"/>
            <w:noWrap/>
            <w:vAlign w:val="center"/>
            <w:hideMark/>
          </w:tcPr>
          <w:p w14:paraId="298AF683"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9" w:type="dxa"/>
            <w:gridSpan w:val="2"/>
            <w:shd w:val="clear" w:color="000000" w:fill="678A26"/>
            <w:noWrap/>
            <w:vAlign w:val="center"/>
            <w:hideMark/>
          </w:tcPr>
          <w:p w14:paraId="531FB78F"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8" w:type="dxa"/>
            <w:gridSpan w:val="2"/>
            <w:shd w:val="clear" w:color="000000" w:fill="678A26"/>
            <w:noWrap/>
            <w:vAlign w:val="center"/>
            <w:hideMark/>
          </w:tcPr>
          <w:p w14:paraId="02D1DD18"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11" w:type="dxa"/>
            <w:gridSpan w:val="2"/>
            <w:shd w:val="clear" w:color="000000" w:fill="678A26"/>
            <w:noWrap/>
            <w:vAlign w:val="center"/>
            <w:hideMark/>
          </w:tcPr>
          <w:p w14:paraId="481B83A9"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776" w:type="dxa"/>
            <w:gridSpan w:val="2"/>
            <w:shd w:val="clear" w:color="000000" w:fill="678A26"/>
            <w:noWrap/>
            <w:vAlign w:val="center"/>
            <w:hideMark/>
          </w:tcPr>
          <w:p w14:paraId="6296CF19"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1209" w:type="dxa"/>
            <w:gridSpan w:val="2"/>
            <w:shd w:val="clear" w:color="000000" w:fill="678A26"/>
            <w:noWrap/>
            <w:vAlign w:val="center"/>
            <w:hideMark/>
          </w:tcPr>
          <w:p w14:paraId="4E93E7B8"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877" w:type="dxa"/>
            <w:gridSpan w:val="2"/>
            <w:shd w:val="clear" w:color="000000" w:fill="678A26"/>
            <w:noWrap/>
            <w:vAlign w:val="center"/>
            <w:hideMark/>
          </w:tcPr>
          <w:p w14:paraId="1B2D5E6E"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1395" w:type="dxa"/>
            <w:shd w:val="clear" w:color="000000" w:fill="678A26"/>
            <w:noWrap/>
            <w:vAlign w:val="center"/>
            <w:hideMark/>
          </w:tcPr>
          <w:p w14:paraId="368C5A9C"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r>
      <w:tr w:rsidR="002C377A" w:rsidRPr="007531DC" w14:paraId="346A2668" w14:textId="77777777" w:rsidTr="002C377A">
        <w:trPr>
          <w:gridAfter w:val="2"/>
          <w:wAfter w:w="60" w:type="dxa"/>
          <w:trHeight w:val="264"/>
        </w:trPr>
        <w:tc>
          <w:tcPr>
            <w:tcW w:w="709" w:type="dxa"/>
            <w:shd w:val="clear" w:color="000000" w:fill="FEFDD7"/>
            <w:vAlign w:val="center"/>
            <w:hideMark/>
          </w:tcPr>
          <w:p w14:paraId="6CA1DC44"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B</w:t>
            </w:r>
          </w:p>
        </w:tc>
        <w:tc>
          <w:tcPr>
            <w:tcW w:w="641" w:type="dxa"/>
            <w:shd w:val="clear" w:color="000000" w:fill="FEFDD7"/>
            <w:vAlign w:val="center"/>
            <w:hideMark/>
          </w:tcPr>
          <w:p w14:paraId="188C04C8"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B1</w:t>
            </w:r>
          </w:p>
        </w:tc>
        <w:tc>
          <w:tcPr>
            <w:tcW w:w="2534" w:type="dxa"/>
            <w:shd w:val="clear" w:color="000000" w:fill="FEFDD7"/>
            <w:noWrap/>
            <w:vAlign w:val="bottom"/>
            <w:hideMark/>
          </w:tcPr>
          <w:p w14:paraId="4EA02BAC" w14:textId="77777777" w:rsidR="002C377A" w:rsidRPr="00B50C36" w:rsidRDefault="002C377A" w:rsidP="005B16B5">
            <w:pPr>
              <w:spacing w:after="0"/>
              <w:rPr>
                <w:rFonts w:ascii="Arial" w:eastAsia="Times New Roman" w:hAnsi="Arial" w:cs="Arial"/>
                <w:color w:val="000000"/>
                <w:sz w:val="18"/>
                <w:szCs w:val="18"/>
                <w:lang w:eastAsia="fr-FR"/>
              </w:rPr>
            </w:pPr>
            <w:r w:rsidRPr="00B50C36">
              <w:rPr>
                <w:rFonts w:ascii="Arial" w:eastAsia="Times New Roman" w:hAnsi="Arial" w:cs="Arial"/>
                <w:color w:val="000000"/>
                <w:sz w:val="18"/>
                <w:szCs w:val="18"/>
                <w:lang w:eastAsia="fr-FR"/>
              </w:rPr>
              <w:t>Organisation de mise en œuvre</w:t>
            </w:r>
          </w:p>
        </w:tc>
        <w:tc>
          <w:tcPr>
            <w:tcW w:w="3172" w:type="dxa"/>
            <w:shd w:val="clear" w:color="000000" w:fill="FEFDD7"/>
            <w:vAlign w:val="center"/>
            <w:hideMark/>
          </w:tcPr>
          <w:p w14:paraId="71B8361B"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000000" w:fill="FEFDD7"/>
            <w:vAlign w:val="center"/>
            <w:hideMark/>
          </w:tcPr>
          <w:p w14:paraId="430094B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577" w:type="dxa"/>
            <w:shd w:val="clear" w:color="auto" w:fill="auto"/>
            <w:noWrap/>
            <w:vAlign w:val="bottom"/>
            <w:hideMark/>
          </w:tcPr>
          <w:p w14:paraId="0856AB92" w14:textId="77777777" w:rsidR="002C377A" w:rsidRPr="00B50C36" w:rsidRDefault="002C377A" w:rsidP="005B16B5">
            <w:pPr>
              <w:spacing w:after="0"/>
              <w:rPr>
                <w:rFonts w:ascii="Arial" w:eastAsia="Times New Roman" w:hAnsi="Arial" w:cs="Arial"/>
                <w:color w:val="000000"/>
                <w:sz w:val="18"/>
                <w:szCs w:val="18"/>
                <w:lang w:eastAsia="fr-FR"/>
              </w:rPr>
            </w:pPr>
            <w:r w:rsidRPr="00B50C36">
              <w:rPr>
                <w:rFonts w:ascii="Arial" w:eastAsia="Times New Roman" w:hAnsi="Arial" w:cs="Arial"/>
                <w:color w:val="000000"/>
                <w:sz w:val="18"/>
                <w:szCs w:val="18"/>
                <w:lang w:eastAsia="fr-FR"/>
              </w:rPr>
              <w:t> </w:t>
            </w:r>
          </w:p>
        </w:tc>
        <w:tc>
          <w:tcPr>
            <w:tcW w:w="208" w:type="dxa"/>
            <w:shd w:val="clear" w:color="auto" w:fill="auto"/>
            <w:noWrap/>
            <w:vAlign w:val="bottom"/>
            <w:hideMark/>
          </w:tcPr>
          <w:p w14:paraId="0000A728" w14:textId="77777777" w:rsidR="002C377A" w:rsidRPr="00B50C36" w:rsidRDefault="002C377A" w:rsidP="005B16B5">
            <w:pPr>
              <w:spacing w:after="0"/>
              <w:rPr>
                <w:rFonts w:ascii="Arial" w:eastAsia="Times New Roman" w:hAnsi="Arial" w:cs="Arial"/>
                <w:color w:val="000000"/>
                <w:sz w:val="18"/>
                <w:szCs w:val="18"/>
                <w:lang w:eastAsia="fr-FR"/>
              </w:rPr>
            </w:pPr>
            <w:r w:rsidRPr="00B50C36">
              <w:rPr>
                <w:rFonts w:ascii="Arial" w:eastAsia="Times New Roman" w:hAnsi="Arial" w:cs="Arial"/>
                <w:color w:val="000000"/>
                <w:sz w:val="18"/>
                <w:szCs w:val="18"/>
                <w:lang w:eastAsia="fr-FR"/>
              </w:rPr>
              <w:t> </w:t>
            </w:r>
          </w:p>
        </w:tc>
        <w:tc>
          <w:tcPr>
            <w:tcW w:w="208" w:type="dxa"/>
            <w:gridSpan w:val="2"/>
            <w:shd w:val="clear" w:color="auto" w:fill="auto"/>
            <w:noWrap/>
            <w:vAlign w:val="bottom"/>
            <w:hideMark/>
          </w:tcPr>
          <w:p w14:paraId="341955F7" w14:textId="77777777" w:rsidR="002C377A" w:rsidRPr="00B50C36" w:rsidRDefault="002C377A" w:rsidP="005B16B5">
            <w:pPr>
              <w:spacing w:after="0"/>
              <w:rPr>
                <w:rFonts w:ascii="Arial" w:eastAsia="Times New Roman" w:hAnsi="Arial" w:cs="Arial"/>
                <w:color w:val="000000"/>
                <w:sz w:val="18"/>
                <w:szCs w:val="18"/>
                <w:lang w:eastAsia="fr-FR"/>
              </w:rPr>
            </w:pPr>
            <w:r w:rsidRPr="00B50C36">
              <w:rPr>
                <w:rFonts w:ascii="Arial" w:eastAsia="Times New Roman" w:hAnsi="Arial" w:cs="Arial"/>
                <w:color w:val="000000"/>
                <w:sz w:val="18"/>
                <w:szCs w:val="18"/>
                <w:lang w:eastAsia="fr-FR"/>
              </w:rPr>
              <w:t> </w:t>
            </w:r>
          </w:p>
        </w:tc>
        <w:tc>
          <w:tcPr>
            <w:tcW w:w="209" w:type="dxa"/>
            <w:gridSpan w:val="2"/>
            <w:shd w:val="clear" w:color="auto" w:fill="auto"/>
            <w:noWrap/>
            <w:vAlign w:val="bottom"/>
            <w:hideMark/>
          </w:tcPr>
          <w:p w14:paraId="4B03B38E" w14:textId="77777777" w:rsidR="002C377A" w:rsidRPr="00B50C36" w:rsidRDefault="002C377A" w:rsidP="005B16B5">
            <w:pPr>
              <w:spacing w:after="0"/>
              <w:rPr>
                <w:rFonts w:ascii="Arial" w:eastAsia="Times New Roman" w:hAnsi="Arial" w:cs="Arial"/>
                <w:color w:val="000000"/>
                <w:sz w:val="18"/>
                <w:szCs w:val="18"/>
                <w:lang w:eastAsia="fr-FR"/>
              </w:rPr>
            </w:pPr>
            <w:r w:rsidRPr="00B50C36">
              <w:rPr>
                <w:rFonts w:ascii="Arial" w:eastAsia="Times New Roman" w:hAnsi="Arial" w:cs="Arial"/>
                <w:color w:val="000000"/>
                <w:sz w:val="18"/>
                <w:szCs w:val="18"/>
                <w:lang w:eastAsia="fr-FR"/>
              </w:rPr>
              <w:t> </w:t>
            </w:r>
          </w:p>
        </w:tc>
        <w:tc>
          <w:tcPr>
            <w:tcW w:w="208" w:type="dxa"/>
            <w:gridSpan w:val="2"/>
            <w:shd w:val="clear" w:color="auto" w:fill="auto"/>
            <w:noWrap/>
            <w:vAlign w:val="bottom"/>
            <w:hideMark/>
          </w:tcPr>
          <w:p w14:paraId="680C3982" w14:textId="77777777" w:rsidR="002C377A" w:rsidRPr="00B50C36" w:rsidRDefault="002C377A" w:rsidP="005B16B5">
            <w:pPr>
              <w:spacing w:after="0"/>
              <w:rPr>
                <w:rFonts w:ascii="Arial" w:eastAsia="Times New Roman" w:hAnsi="Arial" w:cs="Arial"/>
                <w:color w:val="000000"/>
                <w:sz w:val="18"/>
                <w:szCs w:val="18"/>
                <w:lang w:eastAsia="fr-FR"/>
              </w:rPr>
            </w:pPr>
            <w:r w:rsidRPr="00B50C36">
              <w:rPr>
                <w:rFonts w:ascii="Arial" w:eastAsia="Times New Roman" w:hAnsi="Arial" w:cs="Arial"/>
                <w:color w:val="000000"/>
                <w:sz w:val="18"/>
                <w:szCs w:val="18"/>
                <w:lang w:eastAsia="fr-FR"/>
              </w:rPr>
              <w:t> </w:t>
            </w:r>
          </w:p>
        </w:tc>
        <w:tc>
          <w:tcPr>
            <w:tcW w:w="211" w:type="dxa"/>
            <w:gridSpan w:val="2"/>
            <w:shd w:val="clear" w:color="auto" w:fill="auto"/>
            <w:noWrap/>
            <w:vAlign w:val="bottom"/>
            <w:hideMark/>
          </w:tcPr>
          <w:p w14:paraId="380711C9" w14:textId="77777777" w:rsidR="002C377A" w:rsidRPr="00B50C36" w:rsidRDefault="002C377A" w:rsidP="005B16B5">
            <w:pPr>
              <w:spacing w:after="0"/>
              <w:rPr>
                <w:rFonts w:ascii="Arial" w:eastAsia="Times New Roman" w:hAnsi="Arial" w:cs="Arial"/>
                <w:color w:val="000000"/>
                <w:sz w:val="18"/>
                <w:szCs w:val="18"/>
                <w:lang w:eastAsia="fr-FR"/>
              </w:rPr>
            </w:pPr>
            <w:r w:rsidRPr="00B50C36">
              <w:rPr>
                <w:rFonts w:ascii="Arial" w:eastAsia="Times New Roman" w:hAnsi="Arial" w:cs="Arial"/>
                <w:color w:val="000000"/>
                <w:sz w:val="18"/>
                <w:szCs w:val="18"/>
                <w:lang w:eastAsia="fr-FR"/>
              </w:rPr>
              <w:t> </w:t>
            </w:r>
          </w:p>
        </w:tc>
        <w:tc>
          <w:tcPr>
            <w:tcW w:w="776" w:type="dxa"/>
            <w:gridSpan w:val="2"/>
            <w:shd w:val="clear" w:color="000000" w:fill="FEFDD7"/>
            <w:vAlign w:val="center"/>
            <w:hideMark/>
          </w:tcPr>
          <w:p w14:paraId="0242128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70,000 </w:t>
            </w:r>
          </w:p>
        </w:tc>
        <w:tc>
          <w:tcPr>
            <w:tcW w:w="1209" w:type="dxa"/>
            <w:gridSpan w:val="2"/>
            <w:shd w:val="clear" w:color="auto" w:fill="auto"/>
            <w:vAlign w:val="center"/>
            <w:hideMark/>
          </w:tcPr>
          <w:p w14:paraId="3BCD9BF6"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877" w:type="dxa"/>
            <w:gridSpan w:val="2"/>
            <w:shd w:val="clear" w:color="000000" w:fill="FEFDD7"/>
            <w:vAlign w:val="center"/>
            <w:hideMark/>
          </w:tcPr>
          <w:p w14:paraId="59E4FAD1"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70,000 </w:t>
            </w:r>
          </w:p>
        </w:tc>
        <w:tc>
          <w:tcPr>
            <w:tcW w:w="1395" w:type="dxa"/>
            <w:shd w:val="clear" w:color="000000" w:fill="FEFDD7"/>
            <w:vAlign w:val="center"/>
            <w:hideMark/>
          </w:tcPr>
          <w:p w14:paraId="40771B96"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2.3%</w:t>
            </w:r>
          </w:p>
        </w:tc>
      </w:tr>
      <w:tr w:rsidR="002C377A" w:rsidRPr="007531DC" w14:paraId="6AD31876" w14:textId="77777777" w:rsidTr="002C377A">
        <w:trPr>
          <w:gridAfter w:val="2"/>
          <w:wAfter w:w="60" w:type="dxa"/>
          <w:trHeight w:val="402"/>
        </w:trPr>
        <w:tc>
          <w:tcPr>
            <w:tcW w:w="8643" w:type="dxa"/>
            <w:gridSpan w:val="5"/>
            <w:shd w:val="clear" w:color="000000" w:fill="DBEFD3"/>
            <w:vAlign w:val="center"/>
            <w:hideMark/>
          </w:tcPr>
          <w:p w14:paraId="6750203F" w14:textId="77777777" w:rsidR="002C377A" w:rsidRPr="007531DC"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TOTAL SUIVI-EVALUATION, SAUVEGARDES ET GENRE, COMMUNICATION</w:t>
            </w:r>
          </w:p>
          <w:p w14:paraId="07F20122"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6A222C92"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3C14D839" w14:textId="77777777" w:rsidR="002C377A" w:rsidRPr="007531DC"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06B7CDD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577" w:type="dxa"/>
            <w:shd w:val="clear" w:color="000000" w:fill="DBEFD3"/>
            <w:vAlign w:val="center"/>
            <w:hideMark/>
          </w:tcPr>
          <w:p w14:paraId="546151E1"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shd w:val="clear" w:color="000000" w:fill="DBEFD3"/>
            <w:vAlign w:val="center"/>
            <w:hideMark/>
          </w:tcPr>
          <w:p w14:paraId="348F003A"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vAlign w:val="center"/>
            <w:hideMark/>
          </w:tcPr>
          <w:p w14:paraId="6D088297"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9" w:type="dxa"/>
            <w:gridSpan w:val="2"/>
            <w:shd w:val="clear" w:color="000000" w:fill="DBEFD3"/>
            <w:vAlign w:val="center"/>
            <w:hideMark/>
          </w:tcPr>
          <w:p w14:paraId="7A86CCAB"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vAlign w:val="center"/>
            <w:hideMark/>
          </w:tcPr>
          <w:p w14:paraId="2066B907"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11" w:type="dxa"/>
            <w:gridSpan w:val="2"/>
            <w:shd w:val="clear" w:color="000000" w:fill="DBEFD3"/>
            <w:vAlign w:val="center"/>
            <w:hideMark/>
          </w:tcPr>
          <w:p w14:paraId="1FD51397"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776" w:type="dxa"/>
            <w:gridSpan w:val="2"/>
            <w:shd w:val="clear" w:color="000000" w:fill="DBEFD3"/>
            <w:vAlign w:val="center"/>
            <w:hideMark/>
          </w:tcPr>
          <w:p w14:paraId="4C5D5DB9"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70,000 </w:t>
            </w:r>
          </w:p>
        </w:tc>
        <w:tc>
          <w:tcPr>
            <w:tcW w:w="1209" w:type="dxa"/>
            <w:gridSpan w:val="2"/>
            <w:shd w:val="clear" w:color="000000" w:fill="DBEFD3"/>
            <w:vAlign w:val="center"/>
            <w:hideMark/>
          </w:tcPr>
          <w:p w14:paraId="34E16231"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   </w:t>
            </w:r>
          </w:p>
        </w:tc>
        <w:tc>
          <w:tcPr>
            <w:tcW w:w="877" w:type="dxa"/>
            <w:gridSpan w:val="2"/>
            <w:shd w:val="clear" w:color="000000" w:fill="DBEFD3"/>
            <w:vAlign w:val="center"/>
            <w:hideMark/>
          </w:tcPr>
          <w:p w14:paraId="4580BF6D"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70,000 </w:t>
            </w:r>
          </w:p>
        </w:tc>
        <w:tc>
          <w:tcPr>
            <w:tcW w:w="1395" w:type="dxa"/>
            <w:shd w:val="clear" w:color="000000" w:fill="DBEFD3"/>
            <w:noWrap/>
            <w:vAlign w:val="center"/>
            <w:hideMark/>
          </w:tcPr>
          <w:p w14:paraId="773C9954"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2.4%</w:t>
            </w:r>
          </w:p>
        </w:tc>
      </w:tr>
      <w:tr w:rsidR="002C377A" w:rsidRPr="00BB10EF" w14:paraId="7FD10CB3" w14:textId="77777777" w:rsidTr="002C377A">
        <w:trPr>
          <w:gridAfter w:val="2"/>
          <w:wAfter w:w="60" w:type="dxa"/>
          <w:trHeight w:val="465"/>
        </w:trPr>
        <w:tc>
          <w:tcPr>
            <w:tcW w:w="8643" w:type="dxa"/>
            <w:gridSpan w:val="5"/>
            <w:shd w:val="clear" w:color="000000" w:fill="678A26"/>
            <w:noWrap/>
            <w:vAlign w:val="center"/>
            <w:hideMark/>
          </w:tcPr>
          <w:p w14:paraId="3F5E44E7" w14:textId="77777777" w:rsidR="002C377A" w:rsidRPr="00BB10EF"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C. COUTS DE GESTION DE PROJET (Plafonds indicatifs donnés ci-dessous)</w:t>
            </w:r>
          </w:p>
          <w:p w14:paraId="1E862A43" w14:textId="77777777" w:rsidR="002C377A" w:rsidRPr="00BB10EF"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p w14:paraId="1C1005BD" w14:textId="77777777" w:rsidR="002C377A" w:rsidRPr="00BB10EF"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p w14:paraId="2DB8DC62" w14:textId="77777777" w:rsidR="002C377A" w:rsidRPr="00BB10EF" w:rsidRDefault="002C377A" w:rsidP="005B16B5">
            <w:pPr>
              <w:spacing w:after="0"/>
              <w:jc w:val="center"/>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p w14:paraId="27EB6256"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577" w:type="dxa"/>
            <w:shd w:val="clear" w:color="000000" w:fill="678A26"/>
            <w:vAlign w:val="center"/>
            <w:hideMark/>
          </w:tcPr>
          <w:p w14:paraId="0C2842B4"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8" w:type="dxa"/>
            <w:shd w:val="clear" w:color="000000" w:fill="678A26"/>
            <w:vAlign w:val="center"/>
            <w:hideMark/>
          </w:tcPr>
          <w:p w14:paraId="7F93B579"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8" w:type="dxa"/>
            <w:gridSpan w:val="2"/>
            <w:shd w:val="clear" w:color="000000" w:fill="678A26"/>
            <w:vAlign w:val="center"/>
            <w:hideMark/>
          </w:tcPr>
          <w:p w14:paraId="60A5EB1A"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9" w:type="dxa"/>
            <w:gridSpan w:val="2"/>
            <w:shd w:val="clear" w:color="000000" w:fill="678A26"/>
            <w:vAlign w:val="center"/>
            <w:hideMark/>
          </w:tcPr>
          <w:p w14:paraId="58391FEE"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08" w:type="dxa"/>
            <w:gridSpan w:val="2"/>
            <w:shd w:val="clear" w:color="000000" w:fill="678A26"/>
            <w:vAlign w:val="center"/>
            <w:hideMark/>
          </w:tcPr>
          <w:p w14:paraId="228AE559"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211" w:type="dxa"/>
            <w:gridSpan w:val="2"/>
            <w:shd w:val="clear" w:color="000000" w:fill="678A26"/>
            <w:vAlign w:val="center"/>
            <w:hideMark/>
          </w:tcPr>
          <w:p w14:paraId="458D52C9"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776" w:type="dxa"/>
            <w:gridSpan w:val="2"/>
            <w:shd w:val="clear" w:color="000000" w:fill="678A26"/>
            <w:vAlign w:val="center"/>
            <w:hideMark/>
          </w:tcPr>
          <w:p w14:paraId="59ADBF7C"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1209" w:type="dxa"/>
            <w:gridSpan w:val="2"/>
            <w:shd w:val="clear" w:color="000000" w:fill="678A26"/>
            <w:vAlign w:val="center"/>
            <w:hideMark/>
          </w:tcPr>
          <w:p w14:paraId="7997E969"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877" w:type="dxa"/>
            <w:gridSpan w:val="2"/>
            <w:shd w:val="clear" w:color="000000" w:fill="678A26"/>
            <w:vAlign w:val="center"/>
            <w:hideMark/>
          </w:tcPr>
          <w:p w14:paraId="53E25A87"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c>
          <w:tcPr>
            <w:tcW w:w="1395" w:type="dxa"/>
            <w:shd w:val="clear" w:color="000000" w:fill="678A26"/>
            <w:vAlign w:val="center"/>
            <w:hideMark/>
          </w:tcPr>
          <w:p w14:paraId="2DB7D0C6" w14:textId="77777777" w:rsidR="002C377A" w:rsidRPr="00B50C36" w:rsidRDefault="002C377A" w:rsidP="005B16B5">
            <w:pPr>
              <w:spacing w:after="0"/>
              <w:rPr>
                <w:rFonts w:eastAsia="Times New Roman" w:cs="Calibri"/>
                <w:b/>
                <w:bCs/>
                <w:color w:val="FFFFFF"/>
                <w:sz w:val="18"/>
                <w:szCs w:val="18"/>
                <w:lang w:eastAsia="fr-FR"/>
              </w:rPr>
            </w:pPr>
            <w:r w:rsidRPr="00B50C36">
              <w:rPr>
                <w:rFonts w:eastAsia="Times New Roman" w:cs="Calibri"/>
                <w:b/>
                <w:bCs/>
                <w:color w:val="FFFFFF"/>
                <w:sz w:val="18"/>
                <w:szCs w:val="18"/>
                <w:lang w:eastAsia="fr-FR"/>
              </w:rPr>
              <w:t> </w:t>
            </w:r>
          </w:p>
        </w:tc>
      </w:tr>
      <w:tr w:rsidR="002C377A" w:rsidRPr="00B50C36" w14:paraId="32034B24" w14:textId="77777777" w:rsidTr="002C377A">
        <w:trPr>
          <w:gridAfter w:val="2"/>
          <w:wAfter w:w="60" w:type="dxa"/>
          <w:trHeight w:val="264"/>
        </w:trPr>
        <w:tc>
          <w:tcPr>
            <w:tcW w:w="709" w:type="dxa"/>
            <w:shd w:val="clear" w:color="000000" w:fill="FEFDD7"/>
            <w:vAlign w:val="center"/>
            <w:hideMark/>
          </w:tcPr>
          <w:p w14:paraId="11E127E4"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AG</w:t>
            </w:r>
          </w:p>
        </w:tc>
        <w:tc>
          <w:tcPr>
            <w:tcW w:w="641" w:type="dxa"/>
            <w:shd w:val="clear" w:color="000000" w:fill="FEFDD7"/>
            <w:vAlign w:val="center"/>
            <w:hideMark/>
          </w:tcPr>
          <w:p w14:paraId="05C408D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AG1</w:t>
            </w:r>
          </w:p>
        </w:tc>
        <w:tc>
          <w:tcPr>
            <w:tcW w:w="2534" w:type="dxa"/>
            <w:shd w:val="clear" w:color="000000" w:fill="FEFDD7"/>
            <w:vAlign w:val="center"/>
            <w:hideMark/>
          </w:tcPr>
          <w:p w14:paraId="4C9487C9"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RH de l'</w:t>
            </w:r>
            <w:proofErr w:type="spellStart"/>
            <w:r w:rsidRPr="00B50C36">
              <w:rPr>
                <w:rFonts w:eastAsia="Times New Roman" w:cs="Calibri"/>
                <w:color w:val="000000"/>
                <w:sz w:val="18"/>
                <w:szCs w:val="18"/>
                <w:lang w:eastAsia="fr-FR"/>
              </w:rPr>
              <w:t>Org</w:t>
            </w:r>
            <w:proofErr w:type="spellEnd"/>
            <w:r w:rsidRPr="00B50C36">
              <w:rPr>
                <w:rFonts w:eastAsia="Times New Roman" w:cs="Calibri"/>
                <w:color w:val="000000"/>
                <w:sz w:val="18"/>
                <w:szCs w:val="18"/>
                <w:lang w:eastAsia="fr-FR"/>
              </w:rPr>
              <w:t xml:space="preserve"> de mise en oeuvre</w:t>
            </w:r>
          </w:p>
        </w:tc>
        <w:tc>
          <w:tcPr>
            <w:tcW w:w="3172" w:type="dxa"/>
            <w:shd w:val="clear" w:color="000000" w:fill="FEFDD7"/>
            <w:vAlign w:val="center"/>
            <w:hideMark/>
          </w:tcPr>
          <w:p w14:paraId="7929F5C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000000" w:fill="FEFDD7"/>
            <w:vAlign w:val="center"/>
            <w:hideMark/>
          </w:tcPr>
          <w:p w14:paraId="59C678E8"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577" w:type="dxa"/>
            <w:shd w:val="clear" w:color="auto" w:fill="auto"/>
            <w:vAlign w:val="center"/>
            <w:hideMark/>
          </w:tcPr>
          <w:p w14:paraId="2E193D51"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auto" w:fill="auto"/>
            <w:vAlign w:val="center"/>
            <w:hideMark/>
          </w:tcPr>
          <w:p w14:paraId="1952088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7B1DA3B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3B1E95AC"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1F60BA6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5CDCEAB9"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2225901A"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338,400 </w:t>
            </w:r>
          </w:p>
        </w:tc>
        <w:tc>
          <w:tcPr>
            <w:tcW w:w="1209" w:type="dxa"/>
            <w:gridSpan w:val="2"/>
            <w:shd w:val="clear" w:color="auto" w:fill="auto"/>
            <w:vAlign w:val="center"/>
            <w:hideMark/>
          </w:tcPr>
          <w:p w14:paraId="16160792"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877" w:type="dxa"/>
            <w:gridSpan w:val="2"/>
            <w:shd w:val="clear" w:color="000000" w:fill="FEFDD7"/>
            <w:vAlign w:val="center"/>
            <w:hideMark/>
          </w:tcPr>
          <w:p w14:paraId="662D228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338,400 </w:t>
            </w:r>
          </w:p>
        </w:tc>
        <w:tc>
          <w:tcPr>
            <w:tcW w:w="1395" w:type="dxa"/>
            <w:shd w:val="clear" w:color="000000" w:fill="FEFDD7"/>
            <w:vAlign w:val="center"/>
            <w:hideMark/>
          </w:tcPr>
          <w:p w14:paraId="6C91D773"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11.3%</w:t>
            </w:r>
          </w:p>
        </w:tc>
      </w:tr>
      <w:tr w:rsidR="002C377A" w:rsidRPr="00BB10EF" w14:paraId="11A55D65" w14:textId="77777777" w:rsidTr="002C377A">
        <w:trPr>
          <w:gridAfter w:val="2"/>
          <w:wAfter w:w="60" w:type="dxa"/>
          <w:trHeight w:val="264"/>
        </w:trPr>
        <w:tc>
          <w:tcPr>
            <w:tcW w:w="709" w:type="dxa"/>
            <w:shd w:val="clear" w:color="000000" w:fill="FEFDD7"/>
            <w:vAlign w:val="center"/>
            <w:hideMark/>
          </w:tcPr>
          <w:p w14:paraId="4366815D"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AG</w:t>
            </w:r>
          </w:p>
        </w:tc>
        <w:tc>
          <w:tcPr>
            <w:tcW w:w="641" w:type="dxa"/>
            <w:shd w:val="clear" w:color="000000" w:fill="FEFDD7"/>
            <w:vAlign w:val="center"/>
            <w:hideMark/>
          </w:tcPr>
          <w:p w14:paraId="4E7DAC18"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AG2</w:t>
            </w:r>
          </w:p>
        </w:tc>
        <w:tc>
          <w:tcPr>
            <w:tcW w:w="2534" w:type="dxa"/>
            <w:shd w:val="clear" w:color="000000" w:fill="FEFDD7"/>
            <w:vAlign w:val="center"/>
            <w:hideMark/>
          </w:tcPr>
          <w:p w14:paraId="463FF05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Equipement et fonctionnement de l'</w:t>
            </w:r>
            <w:proofErr w:type="spellStart"/>
            <w:r w:rsidRPr="00B50C36">
              <w:rPr>
                <w:rFonts w:eastAsia="Times New Roman" w:cs="Calibri"/>
                <w:color w:val="000000"/>
                <w:sz w:val="18"/>
                <w:szCs w:val="18"/>
                <w:lang w:eastAsia="fr-FR"/>
              </w:rPr>
              <w:t>Org</w:t>
            </w:r>
            <w:proofErr w:type="spellEnd"/>
            <w:r w:rsidRPr="00B50C36">
              <w:rPr>
                <w:rFonts w:eastAsia="Times New Roman" w:cs="Calibri"/>
                <w:color w:val="000000"/>
                <w:sz w:val="18"/>
                <w:szCs w:val="18"/>
                <w:lang w:eastAsia="fr-FR"/>
              </w:rPr>
              <w:t xml:space="preserve"> de mise en oeuvre</w:t>
            </w:r>
          </w:p>
        </w:tc>
        <w:tc>
          <w:tcPr>
            <w:tcW w:w="3172" w:type="dxa"/>
            <w:shd w:val="clear" w:color="000000" w:fill="FEFDD7"/>
            <w:vAlign w:val="center"/>
            <w:hideMark/>
          </w:tcPr>
          <w:p w14:paraId="1DF4B285"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000000" w:fill="FEFDD7"/>
            <w:vAlign w:val="center"/>
            <w:hideMark/>
          </w:tcPr>
          <w:p w14:paraId="4F715B87"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577" w:type="dxa"/>
            <w:shd w:val="clear" w:color="auto" w:fill="auto"/>
            <w:vAlign w:val="center"/>
            <w:hideMark/>
          </w:tcPr>
          <w:p w14:paraId="4AD1214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auto" w:fill="auto"/>
            <w:vAlign w:val="center"/>
            <w:hideMark/>
          </w:tcPr>
          <w:p w14:paraId="53F5CB4D"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17851926"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682287EA"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0FC5164B"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16F4FF8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4FFAE3E9"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9,826 </w:t>
            </w:r>
          </w:p>
        </w:tc>
        <w:tc>
          <w:tcPr>
            <w:tcW w:w="1209" w:type="dxa"/>
            <w:gridSpan w:val="2"/>
            <w:shd w:val="clear" w:color="auto" w:fill="auto"/>
            <w:vAlign w:val="center"/>
            <w:hideMark/>
          </w:tcPr>
          <w:p w14:paraId="670638A2"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877" w:type="dxa"/>
            <w:gridSpan w:val="2"/>
            <w:shd w:val="clear" w:color="000000" w:fill="FEFDD7"/>
            <w:vAlign w:val="center"/>
            <w:hideMark/>
          </w:tcPr>
          <w:p w14:paraId="74B79AA1"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9,826 </w:t>
            </w:r>
          </w:p>
        </w:tc>
        <w:tc>
          <w:tcPr>
            <w:tcW w:w="1395" w:type="dxa"/>
            <w:shd w:val="clear" w:color="000000" w:fill="FEFDD7"/>
            <w:vAlign w:val="center"/>
            <w:hideMark/>
          </w:tcPr>
          <w:p w14:paraId="42B41563"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0.3%</w:t>
            </w:r>
          </w:p>
        </w:tc>
      </w:tr>
      <w:tr w:rsidR="002C377A" w:rsidRPr="00BB10EF" w14:paraId="75F1BB10" w14:textId="77777777" w:rsidTr="002C377A">
        <w:trPr>
          <w:gridAfter w:val="2"/>
          <w:wAfter w:w="60" w:type="dxa"/>
          <w:trHeight w:val="264"/>
        </w:trPr>
        <w:tc>
          <w:tcPr>
            <w:tcW w:w="709" w:type="dxa"/>
            <w:shd w:val="clear" w:color="000000" w:fill="FEFDD7"/>
            <w:vAlign w:val="center"/>
            <w:hideMark/>
          </w:tcPr>
          <w:p w14:paraId="0FFCAAC9"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AG</w:t>
            </w:r>
          </w:p>
        </w:tc>
        <w:tc>
          <w:tcPr>
            <w:tcW w:w="641" w:type="dxa"/>
            <w:shd w:val="clear" w:color="000000" w:fill="FEFDD7"/>
            <w:vAlign w:val="center"/>
            <w:hideMark/>
          </w:tcPr>
          <w:p w14:paraId="6B30923F"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AG3</w:t>
            </w:r>
          </w:p>
        </w:tc>
        <w:tc>
          <w:tcPr>
            <w:tcW w:w="2534" w:type="dxa"/>
            <w:shd w:val="clear" w:color="000000" w:fill="FEFDD7"/>
            <w:vAlign w:val="center"/>
            <w:hideMark/>
          </w:tcPr>
          <w:p w14:paraId="416761B0"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Assurance qualité commanditée par l'</w:t>
            </w:r>
            <w:proofErr w:type="spellStart"/>
            <w:r w:rsidRPr="00B50C36">
              <w:rPr>
                <w:rFonts w:eastAsia="Times New Roman" w:cs="Calibri"/>
                <w:color w:val="000000"/>
                <w:sz w:val="18"/>
                <w:szCs w:val="18"/>
                <w:lang w:eastAsia="fr-FR"/>
              </w:rPr>
              <w:t>Org</w:t>
            </w:r>
            <w:proofErr w:type="spellEnd"/>
            <w:r w:rsidRPr="00B50C36">
              <w:rPr>
                <w:rFonts w:eastAsia="Times New Roman" w:cs="Calibri"/>
                <w:color w:val="000000"/>
                <w:sz w:val="18"/>
                <w:szCs w:val="18"/>
                <w:lang w:eastAsia="fr-FR"/>
              </w:rPr>
              <w:t xml:space="preserve"> de mise en oeuvre</w:t>
            </w:r>
          </w:p>
        </w:tc>
        <w:tc>
          <w:tcPr>
            <w:tcW w:w="3172" w:type="dxa"/>
            <w:shd w:val="clear" w:color="000000" w:fill="FEFDD7"/>
            <w:vAlign w:val="center"/>
            <w:hideMark/>
          </w:tcPr>
          <w:p w14:paraId="361B7EDF"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1587" w:type="dxa"/>
            <w:shd w:val="clear" w:color="000000" w:fill="FEFDD7"/>
            <w:vAlign w:val="center"/>
            <w:hideMark/>
          </w:tcPr>
          <w:p w14:paraId="57DEF3FF"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Programme des Nations Unies pour le Développement (PNUD)</w:t>
            </w:r>
          </w:p>
        </w:tc>
        <w:tc>
          <w:tcPr>
            <w:tcW w:w="577" w:type="dxa"/>
            <w:shd w:val="clear" w:color="auto" w:fill="auto"/>
            <w:vAlign w:val="center"/>
            <w:hideMark/>
          </w:tcPr>
          <w:p w14:paraId="1F436650"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shd w:val="clear" w:color="auto" w:fill="auto"/>
            <w:vAlign w:val="center"/>
            <w:hideMark/>
          </w:tcPr>
          <w:p w14:paraId="77B8DB62"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09C53405"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9" w:type="dxa"/>
            <w:gridSpan w:val="2"/>
            <w:shd w:val="clear" w:color="auto" w:fill="auto"/>
            <w:vAlign w:val="center"/>
            <w:hideMark/>
          </w:tcPr>
          <w:p w14:paraId="6D694934"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08" w:type="dxa"/>
            <w:gridSpan w:val="2"/>
            <w:shd w:val="clear" w:color="auto" w:fill="auto"/>
            <w:vAlign w:val="center"/>
            <w:hideMark/>
          </w:tcPr>
          <w:p w14:paraId="7B2A423A"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211" w:type="dxa"/>
            <w:gridSpan w:val="2"/>
            <w:shd w:val="clear" w:color="auto" w:fill="auto"/>
            <w:vAlign w:val="center"/>
            <w:hideMark/>
          </w:tcPr>
          <w:p w14:paraId="1F3BB278" w14:textId="77777777" w:rsidR="002C377A" w:rsidRPr="00B50C36" w:rsidRDefault="002C377A" w:rsidP="005B16B5">
            <w:pPr>
              <w:spacing w:after="0"/>
              <w:rPr>
                <w:rFonts w:eastAsia="Times New Roman" w:cs="Calibri"/>
                <w:color w:val="000000"/>
                <w:sz w:val="18"/>
                <w:szCs w:val="18"/>
                <w:lang w:eastAsia="fr-FR"/>
              </w:rPr>
            </w:pPr>
            <w:r w:rsidRPr="00B50C36">
              <w:rPr>
                <w:rFonts w:eastAsia="Times New Roman" w:cs="Calibri"/>
                <w:color w:val="000000"/>
                <w:sz w:val="18"/>
                <w:szCs w:val="18"/>
                <w:lang w:eastAsia="fr-FR"/>
              </w:rPr>
              <w:t> </w:t>
            </w:r>
          </w:p>
        </w:tc>
        <w:tc>
          <w:tcPr>
            <w:tcW w:w="776" w:type="dxa"/>
            <w:gridSpan w:val="2"/>
            <w:shd w:val="clear" w:color="000000" w:fill="FEFDD7"/>
            <w:vAlign w:val="center"/>
            <w:hideMark/>
          </w:tcPr>
          <w:p w14:paraId="503A61C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102,000 </w:t>
            </w:r>
          </w:p>
        </w:tc>
        <w:tc>
          <w:tcPr>
            <w:tcW w:w="1209" w:type="dxa"/>
            <w:gridSpan w:val="2"/>
            <w:shd w:val="clear" w:color="auto" w:fill="auto"/>
            <w:vAlign w:val="center"/>
            <w:hideMark/>
          </w:tcPr>
          <w:p w14:paraId="6AC54A35"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877" w:type="dxa"/>
            <w:gridSpan w:val="2"/>
            <w:shd w:val="clear" w:color="000000" w:fill="FEFDD7"/>
            <w:vAlign w:val="center"/>
            <w:hideMark/>
          </w:tcPr>
          <w:p w14:paraId="2DBCC153"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102,000 </w:t>
            </w:r>
          </w:p>
        </w:tc>
        <w:tc>
          <w:tcPr>
            <w:tcW w:w="1395" w:type="dxa"/>
            <w:shd w:val="clear" w:color="000000" w:fill="FEFDD7"/>
            <w:vAlign w:val="center"/>
            <w:hideMark/>
          </w:tcPr>
          <w:p w14:paraId="3D51608C"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3.4%</w:t>
            </w:r>
          </w:p>
        </w:tc>
      </w:tr>
      <w:tr w:rsidR="002C377A" w:rsidRPr="00BB10EF" w14:paraId="328CEA39" w14:textId="77777777" w:rsidTr="002C377A">
        <w:trPr>
          <w:gridAfter w:val="2"/>
          <w:wAfter w:w="60" w:type="dxa"/>
          <w:trHeight w:val="330"/>
        </w:trPr>
        <w:tc>
          <w:tcPr>
            <w:tcW w:w="8643" w:type="dxa"/>
            <w:gridSpan w:val="5"/>
            <w:shd w:val="clear" w:color="000000" w:fill="DBEFD3"/>
            <w:vAlign w:val="center"/>
            <w:hideMark/>
          </w:tcPr>
          <w:p w14:paraId="55A25DB5" w14:textId="77777777" w:rsidR="002C377A" w:rsidRPr="00BB10EF" w:rsidRDefault="002C377A" w:rsidP="005B16B5">
            <w:pPr>
              <w:spacing w:after="0"/>
              <w:jc w:val="center"/>
              <w:rPr>
                <w:rFonts w:eastAsia="Times New Roman" w:cs="Calibri"/>
                <w:b/>
                <w:bCs/>
                <w:color w:val="000000"/>
                <w:sz w:val="18"/>
                <w:szCs w:val="18"/>
                <w:lang w:eastAsia="fr-FR"/>
              </w:rPr>
            </w:pPr>
            <w:r w:rsidRPr="00B50C36">
              <w:rPr>
                <w:rFonts w:eastAsia="Times New Roman" w:cs="Calibri"/>
                <w:b/>
                <w:bCs/>
                <w:color w:val="000000"/>
                <w:sz w:val="18"/>
                <w:szCs w:val="18"/>
                <w:lang w:eastAsia="fr-FR"/>
              </w:rPr>
              <w:t>TOTAL COUTS GESTION DE PROJET</w:t>
            </w:r>
          </w:p>
          <w:p w14:paraId="50F1BD33" w14:textId="77777777" w:rsidR="002C377A" w:rsidRPr="00BB10EF"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64F41C33" w14:textId="77777777" w:rsidR="002C377A" w:rsidRPr="00BB10EF"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03EAC618" w14:textId="77777777" w:rsidR="002C377A" w:rsidRPr="00BB10EF"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p w14:paraId="60BE39F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577" w:type="dxa"/>
            <w:shd w:val="clear" w:color="000000" w:fill="DBEFD3"/>
            <w:vAlign w:val="center"/>
            <w:hideMark/>
          </w:tcPr>
          <w:p w14:paraId="7CC2C23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shd w:val="clear" w:color="000000" w:fill="DBEFD3"/>
            <w:vAlign w:val="center"/>
            <w:hideMark/>
          </w:tcPr>
          <w:p w14:paraId="56A1EA75"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vAlign w:val="center"/>
            <w:hideMark/>
          </w:tcPr>
          <w:p w14:paraId="1CAC7E1F"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9" w:type="dxa"/>
            <w:gridSpan w:val="2"/>
            <w:shd w:val="clear" w:color="000000" w:fill="DBEFD3"/>
            <w:vAlign w:val="center"/>
            <w:hideMark/>
          </w:tcPr>
          <w:p w14:paraId="206F2928"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08" w:type="dxa"/>
            <w:gridSpan w:val="2"/>
            <w:shd w:val="clear" w:color="000000" w:fill="DBEFD3"/>
            <w:vAlign w:val="center"/>
            <w:hideMark/>
          </w:tcPr>
          <w:p w14:paraId="638A985B"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211" w:type="dxa"/>
            <w:gridSpan w:val="2"/>
            <w:shd w:val="clear" w:color="000000" w:fill="DBEFD3"/>
            <w:vAlign w:val="center"/>
            <w:hideMark/>
          </w:tcPr>
          <w:p w14:paraId="5703B712"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w:t>
            </w:r>
          </w:p>
        </w:tc>
        <w:tc>
          <w:tcPr>
            <w:tcW w:w="776" w:type="dxa"/>
            <w:gridSpan w:val="2"/>
            <w:shd w:val="clear" w:color="000000" w:fill="DBEFD3"/>
            <w:vAlign w:val="center"/>
            <w:hideMark/>
          </w:tcPr>
          <w:p w14:paraId="4493097A"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450,226 </w:t>
            </w:r>
          </w:p>
        </w:tc>
        <w:tc>
          <w:tcPr>
            <w:tcW w:w="1209" w:type="dxa"/>
            <w:gridSpan w:val="2"/>
            <w:shd w:val="clear" w:color="000000" w:fill="DBEFD3"/>
            <w:vAlign w:val="center"/>
            <w:hideMark/>
          </w:tcPr>
          <w:p w14:paraId="57DF624A"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   </w:t>
            </w:r>
          </w:p>
        </w:tc>
        <w:tc>
          <w:tcPr>
            <w:tcW w:w="877" w:type="dxa"/>
            <w:gridSpan w:val="2"/>
            <w:shd w:val="clear" w:color="000000" w:fill="DBEFD3"/>
            <w:vAlign w:val="center"/>
            <w:hideMark/>
          </w:tcPr>
          <w:p w14:paraId="2FCA89F9"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450,226 </w:t>
            </w:r>
          </w:p>
        </w:tc>
        <w:tc>
          <w:tcPr>
            <w:tcW w:w="1395" w:type="dxa"/>
            <w:shd w:val="clear" w:color="000000" w:fill="DBEFD3"/>
            <w:noWrap/>
            <w:vAlign w:val="center"/>
            <w:hideMark/>
          </w:tcPr>
          <w:p w14:paraId="081BEE2D"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15.0%</w:t>
            </w:r>
          </w:p>
        </w:tc>
      </w:tr>
      <w:tr w:rsidR="002C377A" w:rsidRPr="00BB10EF" w14:paraId="7CC1953A" w14:textId="77777777" w:rsidTr="002C377A">
        <w:trPr>
          <w:gridAfter w:val="2"/>
          <w:wAfter w:w="60" w:type="dxa"/>
          <w:trHeight w:val="282"/>
        </w:trPr>
        <w:tc>
          <w:tcPr>
            <w:tcW w:w="709" w:type="dxa"/>
            <w:shd w:val="clear" w:color="000000" w:fill="FEFDD7"/>
            <w:vAlign w:val="center"/>
            <w:hideMark/>
          </w:tcPr>
          <w:p w14:paraId="6302572F"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641" w:type="dxa"/>
            <w:shd w:val="clear" w:color="000000" w:fill="FEFDD7"/>
            <w:vAlign w:val="center"/>
            <w:hideMark/>
          </w:tcPr>
          <w:p w14:paraId="6BD7950A"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534" w:type="dxa"/>
            <w:shd w:val="clear" w:color="000000" w:fill="FEFDD7"/>
            <w:vAlign w:val="center"/>
            <w:hideMark/>
          </w:tcPr>
          <w:p w14:paraId="487DA136" w14:textId="77777777" w:rsidR="002C377A" w:rsidRPr="00B50C36" w:rsidRDefault="002C377A" w:rsidP="005B16B5">
            <w:pPr>
              <w:spacing w:after="0"/>
              <w:jc w:val="center"/>
              <w:rPr>
                <w:rFonts w:eastAsia="Times New Roman" w:cs="Calibri"/>
                <w:b/>
                <w:bCs/>
                <w:color w:val="231F20"/>
                <w:sz w:val="16"/>
                <w:szCs w:val="16"/>
                <w:lang w:eastAsia="fr-FR"/>
              </w:rPr>
            </w:pPr>
            <w:r w:rsidRPr="00B50C36">
              <w:rPr>
                <w:rFonts w:eastAsia="Times New Roman" w:cs="Calibri"/>
                <w:b/>
                <w:bCs/>
                <w:color w:val="231F20"/>
                <w:sz w:val="16"/>
                <w:szCs w:val="16"/>
                <w:lang w:eastAsia="fr-FR"/>
              </w:rPr>
              <w:t>Total coûts Gestion de projet pour l'</w:t>
            </w:r>
            <w:proofErr w:type="spellStart"/>
            <w:r w:rsidRPr="00B50C36">
              <w:rPr>
                <w:rFonts w:eastAsia="Times New Roman" w:cs="Calibri"/>
                <w:b/>
                <w:bCs/>
                <w:color w:val="231F20"/>
                <w:sz w:val="16"/>
                <w:szCs w:val="16"/>
                <w:lang w:eastAsia="fr-FR"/>
              </w:rPr>
              <w:t>Org</w:t>
            </w:r>
            <w:proofErr w:type="spellEnd"/>
            <w:r w:rsidRPr="00B50C36">
              <w:rPr>
                <w:rFonts w:eastAsia="Times New Roman" w:cs="Calibri"/>
                <w:b/>
                <w:bCs/>
                <w:color w:val="231F20"/>
                <w:sz w:val="16"/>
                <w:szCs w:val="16"/>
                <w:lang w:eastAsia="fr-FR"/>
              </w:rPr>
              <w:t xml:space="preserve"> de mise en oeuvre</w:t>
            </w:r>
          </w:p>
        </w:tc>
        <w:tc>
          <w:tcPr>
            <w:tcW w:w="3172" w:type="dxa"/>
            <w:shd w:val="clear" w:color="000000" w:fill="FEFDD7"/>
            <w:vAlign w:val="center"/>
            <w:hideMark/>
          </w:tcPr>
          <w:p w14:paraId="169E62C5"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1587" w:type="dxa"/>
            <w:shd w:val="clear" w:color="000000" w:fill="FEFDD7"/>
            <w:vAlign w:val="center"/>
            <w:hideMark/>
          </w:tcPr>
          <w:p w14:paraId="553FE45A"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577" w:type="dxa"/>
            <w:shd w:val="clear" w:color="000000" w:fill="FEFDD7"/>
            <w:vAlign w:val="center"/>
            <w:hideMark/>
          </w:tcPr>
          <w:p w14:paraId="0F2820CC"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shd w:val="clear" w:color="000000" w:fill="FEFDD7"/>
            <w:vAlign w:val="center"/>
            <w:hideMark/>
          </w:tcPr>
          <w:p w14:paraId="117EEC42"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gridSpan w:val="2"/>
            <w:shd w:val="clear" w:color="000000" w:fill="FEFDD7"/>
            <w:vAlign w:val="center"/>
            <w:hideMark/>
          </w:tcPr>
          <w:p w14:paraId="4D3A51A7"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9" w:type="dxa"/>
            <w:gridSpan w:val="2"/>
            <w:shd w:val="clear" w:color="000000" w:fill="FEFDD7"/>
            <w:vAlign w:val="center"/>
            <w:hideMark/>
          </w:tcPr>
          <w:p w14:paraId="515B5DEA"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gridSpan w:val="2"/>
            <w:shd w:val="clear" w:color="000000" w:fill="FEFDD7"/>
            <w:vAlign w:val="center"/>
            <w:hideMark/>
          </w:tcPr>
          <w:p w14:paraId="392EC994"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11" w:type="dxa"/>
            <w:gridSpan w:val="2"/>
            <w:shd w:val="clear" w:color="000000" w:fill="FEFDD7"/>
            <w:vAlign w:val="center"/>
            <w:hideMark/>
          </w:tcPr>
          <w:p w14:paraId="52F7F800"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776" w:type="dxa"/>
            <w:gridSpan w:val="2"/>
            <w:shd w:val="clear" w:color="000000" w:fill="FEFDD7"/>
            <w:vAlign w:val="center"/>
            <w:hideMark/>
          </w:tcPr>
          <w:p w14:paraId="0DF1EB8C" w14:textId="77777777" w:rsidR="002C377A" w:rsidRPr="00B50C36" w:rsidRDefault="002C377A" w:rsidP="005B16B5">
            <w:pPr>
              <w:spacing w:after="0"/>
              <w:rPr>
                <w:rFonts w:eastAsia="Times New Roman" w:cs="Calibri"/>
                <w:b/>
                <w:bCs/>
                <w:color w:val="000000"/>
                <w:sz w:val="16"/>
                <w:szCs w:val="16"/>
                <w:lang w:eastAsia="fr-FR"/>
              </w:rPr>
            </w:pPr>
            <w:r w:rsidRPr="00B50C36">
              <w:rPr>
                <w:rFonts w:eastAsia="Times New Roman" w:cs="Calibri"/>
                <w:b/>
                <w:bCs/>
                <w:color w:val="000000"/>
                <w:sz w:val="16"/>
                <w:szCs w:val="16"/>
                <w:lang w:eastAsia="fr-FR"/>
              </w:rPr>
              <w:t xml:space="preserve"> $                450,226 </w:t>
            </w:r>
          </w:p>
        </w:tc>
        <w:tc>
          <w:tcPr>
            <w:tcW w:w="1209" w:type="dxa"/>
            <w:gridSpan w:val="2"/>
            <w:shd w:val="clear" w:color="auto" w:fill="auto"/>
            <w:vAlign w:val="center"/>
            <w:hideMark/>
          </w:tcPr>
          <w:p w14:paraId="14E621A5" w14:textId="77777777" w:rsidR="002C377A" w:rsidRPr="00B50C36" w:rsidRDefault="002C377A" w:rsidP="005B16B5">
            <w:pPr>
              <w:spacing w:after="0"/>
              <w:rPr>
                <w:rFonts w:eastAsia="Times New Roman" w:cs="Calibri"/>
                <w:b/>
                <w:bCs/>
                <w:color w:val="000000"/>
                <w:sz w:val="16"/>
                <w:szCs w:val="16"/>
                <w:lang w:eastAsia="fr-FR"/>
              </w:rPr>
            </w:pPr>
            <w:r w:rsidRPr="00B50C36">
              <w:rPr>
                <w:rFonts w:eastAsia="Times New Roman" w:cs="Calibri"/>
                <w:b/>
                <w:bCs/>
                <w:color w:val="000000"/>
                <w:sz w:val="16"/>
                <w:szCs w:val="16"/>
                <w:lang w:eastAsia="fr-FR"/>
              </w:rPr>
              <w:t> </w:t>
            </w:r>
          </w:p>
        </w:tc>
        <w:tc>
          <w:tcPr>
            <w:tcW w:w="877" w:type="dxa"/>
            <w:gridSpan w:val="2"/>
            <w:shd w:val="clear" w:color="000000" w:fill="FEFDD7"/>
            <w:vAlign w:val="center"/>
            <w:hideMark/>
          </w:tcPr>
          <w:p w14:paraId="5BA56ADE" w14:textId="77777777" w:rsidR="002C377A" w:rsidRPr="00B50C36" w:rsidRDefault="002C377A" w:rsidP="005B16B5">
            <w:pPr>
              <w:spacing w:after="0"/>
              <w:rPr>
                <w:rFonts w:eastAsia="Times New Roman" w:cs="Calibri"/>
                <w:b/>
                <w:bCs/>
                <w:color w:val="000000"/>
                <w:sz w:val="16"/>
                <w:szCs w:val="16"/>
                <w:lang w:eastAsia="fr-FR"/>
              </w:rPr>
            </w:pPr>
            <w:r w:rsidRPr="00B50C36">
              <w:rPr>
                <w:rFonts w:eastAsia="Times New Roman" w:cs="Calibri"/>
                <w:b/>
                <w:bCs/>
                <w:color w:val="000000"/>
                <w:sz w:val="16"/>
                <w:szCs w:val="16"/>
                <w:lang w:eastAsia="fr-FR"/>
              </w:rPr>
              <w:t xml:space="preserve"> $                450,226 </w:t>
            </w:r>
          </w:p>
        </w:tc>
        <w:tc>
          <w:tcPr>
            <w:tcW w:w="1395" w:type="dxa"/>
            <w:shd w:val="clear" w:color="000000" w:fill="FEFDD7"/>
            <w:vAlign w:val="center"/>
            <w:hideMark/>
          </w:tcPr>
          <w:p w14:paraId="74019BC4" w14:textId="77777777" w:rsidR="002C377A" w:rsidRPr="00B50C36" w:rsidRDefault="002C377A" w:rsidP="005B16B5">
            <w:pPr>
              <w:spacing w:after="0"/>
              <w:jc w:val="center"/>
              <w:rPr>
                <w:rFonts w:eastAsia="Times New Roman" w:cs="Calibri"/>
                <w:color w:val="000000"/>
                <w:sz w:val="16"/>
                <w:szCs w:val="16"/>
                <w:lang w:eastAsia="fr-FR"/>
              </w:rPr>
            </w:pPr>
            <w:r w:rsidRPr="00B50C36">
              <w:rPr>
                <w:rFonts w:eastAsia="Times New Roman" w:cs="Calibri"/>
                <w:color w:val="000000"/>
                <w:sz w:val="16"/>
                <w:szCs w:val="16"/>
                <w:lang w:eastAsia="fr-FR"/>
              </w:rPr>
              <w:t>15.0%</w:t>
            </w:r>
          </w:p>
        </w:tc>
      </w:tr>
      <w:tr w:rsidR="002C377A" w:rsidRPr="00BB10EF" w14:paraId="2CC64B37" w14:textId="77777777" w:rsidTr="002C377A">
        <w:trPr>
          <w:gridAfter w:val="2"/>
          <w:wAfter w:w="60" w:type="dxa"/>
          <w:trHeight w:val="330"/>
        </w:trPr>
        <w:tc>
          <w:tcPr>
            <w:tcW w:w="8643" w:type="dxa"/>
            <w:gridSpan w:val="5"/>
            <w:shd w:val="clear" w:color="000000" w:fill="DBEFD3"/>
            <w:vAlign w:val="center"/>
            <w:hideMark/>
          </w:tcPr>
          <w:p w14:paraId="2986C8FC" w14:textId="77777777" w:rsidR="002C377A" w:rsidRPr="00BB10EF" w:rsidRDefault="002C377A" w:rsidP="005B16B5">
            <w:pPr>
              <w:spacing w:after="0"/>
              <w:jc w:val="center"/>
              <w:rPr>
                <w:rFonts w:eastAsia="Times New Roman" w:cs="Calibri"/>
                <w:b/>
                <w:bCs/>
                <w:color w:val="231F20"/>
                <w:sz w:val="18"/>
                <w:szCs w:val="18"/>
                <w:lang w:eastAsia="fr-FR"/>
              </w:rPr>
            </w:pPr>
            <w:r w:rsidRPr="00B50C36">
              <w:rPr>
                <w:rFonts w:eastAsia="Times New Roman" w:cs="Calibri"/>
                <w:b/>
                <w:bCs/>
                <w:color w:val="231F20"/>
                <w:sz w:val="18"/>
                <w:szCs w:val="18"/>
                <w:lang w:eastAsia="fr-FR"/>
              </w:rPr>
              <w:lastRenderedPageBreak/>
              <w:t>TOTAL COUTS DIRECTS DU PROJET</w:t>
            </w:r>
          </w:p>
          <w:p w14:paraId="32D92937" w14:textId="77777777" w:rsidR="002C377A" w:rsidRPr="00BB10EF"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p w14:paraId="500EE943" w14:textId="77777777" w:rsidR="002C377A" w:rsidRPr="00BB10EF"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p w14:paraId="671797B7" w14:textId="77777777" w:rsidR="002C377A" w:rsidRPr="00BB10EF"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p w14:paraId="0F24224C"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577" w:type="dxa"/>
            <w:shd w:val="clear" w:color="000000" w:fill="DBEFD3"/>
            <w:vAlign w:val="center"/>
            <w:hideMark/>
          </w:tcPr>
          <w:p w14:paraId="784476C7"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208" w:type="dxa"/>
            <w:shd w:val="clear" w:color="000000" w:fill="DBEFD3"/>
            <w:vAlign w:val="center"/>
            <w:hideMark/>
          </w:tcPr>
          <w:p w14:paraId="758DA0D5"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208" w:type="dxa"/>
            <w:gridSpan w:val="2"/>
            <w:shd w:val="clear" w:color="000000" w:fill="DBEFD3"/>
            <w:vAlign w:val="center"/>
            <w:hideMark/>
          </w:tcPr>
          <w:p w14:paraId="556004FD"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209" w:type="dxa"/>
            <w:gridSpan w:val="2"/>
            <w:shd w:val="clear" w:color="000000" w:fill="DBEFD3"/>
            <w:vAlign w:val="center"/>
            <w:hideMark/>
          </w:tcPr>
          <w:p w14:paraId="5FAC3041"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208" w:type="dxa"/>
            <w:gridSpan w:val="2"/>
            <w:shd w:val="clear" w:color="000000" w:fill="DBEFD3"/>
            <w:vAlign w:val="center"/>
            <w:hideMark/>
          </w:tcPr>
          <w:p w14:paraId="6BC41F5A"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211" w:type="dxa"/>
            <w:gridSpan w:val="2"/>
            <w:shd w:val="clear" w:color="000000" w:fill="DBEFD3"/>
            <w:vAlign w:val="center"/>
            <w:hideMark/>
          </w:tcPr>
          <w:p w14:paraId="5DF3B58E"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776" w:type="dxa"/>
            <w:gridSpan w:val="2"/>
            <w:shd w:val="clear" w:color="000000" w:fill="DBEFD3"/>
            <w:vAlign w:val="center"/>
            <w:hideMark/>
          </w:tcPr>
          <w:p w14:paraId="6988FE25"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2,803,738 </w:t>
            </w:r>
          </w:p>
        </w:tc>
        <w:tc>
          <w:tcPr>
            <w:tcW w:w="1209" w:type="dxa"/>
            <w:gridSpan w:val="2"/>
            <w:shd w:val="clear" w:color="000000" w:fill="DBEFD3"/>
            <w:vAlign w:val="center"/>
            <w:hideMark/>
          </w:tcPr>
          <w:p w14:paraId="478AD16B"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100,000 </w:t>
            </w:r>
          </w:p>
        </w:tc>
        <w:tc>
          <w:tcPr>
            <w:tcW w:w="877" w:type="dxa"/>
            <w:gridSpan w:val="2"/>
            <w:shd w:val="clear" w:color="000000" w:fill="DBEFD3"/>
            <w:vAlign w:val="center"/>
            <w:hideMark/>
          </w:tcPr>
          <w:p w14:paraId="3390D901" w14:textId="77777777" w:rsidR="002C377A" w:rsidRPr="00B50C36" w:rsidRDefault="002C377A" w:rsidP="005B16B5">
            <w:pPr>
              <w:spacing w:after="0"/>
              <w:rPr>
                <w:rFonts w:eastAsia="Times New Roman" w:cs="Calibri"/>
                <w:b/>
                <w:bCs/>
                <w:color w:val="000000"/>
                <w:sz w:val="18"/>
                <w:szCs w:val="18"/>
                <w:lang w:eastAsia="fr-FR"/>
              </w:rPr>
            </w:pPr>
            <w:r w:rsidRPr="00B50C36">
              <w:rPr>
                <w:rFonts w:eastAsia="Times New Roman" w:cs="Calibri"/>
                <w:b/>
                <w:bCs/>
                <w:color w:val="000000"/>
                <w:sz w:val="18"/>
                <w:szCs w:val="18"/>
                <w:lang w:eastAsia="fr-FR"/>
              </w:rPr>
              <w:t xml:space="preserve"> $           2,903,738 </w:t>
            </w:r>
          </w:p>
        </w:tc>
        <w:tc>
          <w:tcPr>
            <w:tcW w:w="1395" w:type="dxa"/>
            <w:shd w:val="clear" w:color="000000" w:fill="DBEFD3"/>
            <w:noWrap/>
            <w:vAlign w:val="center"/>
            <w:hideMark/>
          </w:tcPr>
          <w:p w14:paraId="56E1BAC0" w14:textId="77777777" w:rsidR="002C377A" w:rsidRPr="00B50C36" w:rsidRDefault="002C377A" w:rsidP="005B16B5">
            <w:pPr>
              <w:spacing w:after="0"/>
              <w:jc w:val="center"/>
              <w:rPr>
                <w:rFonts w:eastAsia="Times New Roman" w:cs="Calibri"/>
                <w:color w:val="000000"/>
                <w:sz w:val="18"/>
                <w:szCs w:val="18"/>
                <w:lang w:eastAsia="fr-FR"/>
              </w:rPr>
            </w:pPr>
            <w:r w:rsidRPr="00B50C36">
              <w:rPr>
                <w:rFonts w:eastAsia="Times New Roman" w:cs="Calibri"/>
                <w:color w:val="000000"/>
                <w:sz w:val="18"/>
                <w:szCs w:val="18"/>
                <w:lang w:eastAsia="fr-FR"/>
              </w:rPr>
              <w:t>93.5%</w:t>
            </w:r>
          </w:p>
        </w:tc>
      </w:tr>
      <w:tr w:rsidR="002C377A" w:rsidRPr="00BB10EF" w14:paraId="42C17D5A" w14:textId="77777777" w:rsidTr="002C377A">
        <w:trPr>
          <w:gridAfter w:val="2"/>
          <w:wAfter w:w="60" w:type="dxa"/>
          <w:trHeight w:val="282"/>
        </w:trPr>
        <w:tc>
          <w:tcPr>
            <w:tcW w:w="709" w:type="dxa"/>
            <w:shd w:val="clear" w:color="000000" w:fill="FEFDD7"/>
            <w:vAlign w:val="center"/>
            <w:hideMark/>
          </w:tcPr>
          <w:p w14:paraId="4E40534C"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641" w:type="dxa"/>
            <w:shd w:val="clear" w:color="000000" w:fill="FEFDD7"/>
            <w:hideMark/>
          </w:tcPr>
          <w:p w14:paraId="14C86E0B" w14:textId="77777777" w:rsidR="002C377A" w:rsidRPr="00B50C36" w:rsidRDefault="002C377A" w:rsidP="005B16B5">
            <w:pPr>
              <w:spacing w:after="0"/>
              <w:jc w:val="center"/>
              <w:rPr>
                <w:rFonts w:eastAsia="Times New Roman" w:cs="Calibri"/>
                <w:b/>
                <w:bCs/>
                <w:color w:val="231F20"/>
                <w:sz w:val="14"/>
                <w:szCs w:val="14"/>
                <w:lang w:eastAsia="fr-FR"/>
              </w:rPr>
            </w:pPr>
            <w:r w:rsidRPr="00B50C36">
              <w:rPr>
                <w:rFonts w:eastAsia="Times New Roman" w:cs="Calibri"/>
                <w:b/>
                <w:bCs/>
                <w:color w:val="231F20"/>
                <w:sz w:val="14"/>
                <w:szCs w:val="14"/>
                <w:lang w:eastAsia="fr-FR"/>
              </w:rPr>
              <w:t>Programme des Nations Unies pour le Développement (PNUD)</w:t>
            </w:r>
          </w:p>
        </w:tc>
        <w:tc>
          <w:tcPr>
            <w:tcW w:w="7293" w:type="dxa"/>
            <w:gridSpan w:val="3"/>
            <w:shd w:val="clear" w:color="000000" w:fill="FEFDD7"/>
            <w:vAlign w:val="center"/>
            <w:hideMark/>
          </w:tcPr>
          <w:p w14:paraId="683250E5" w14:textId="77777777" w:rsidR="002C377A" w:rsidRPr="00BB10EF" w:rsidRDefault="002C377A" w:rsidP="005B16B5">
            <w:pPr>
              <w:spacing w:after="0"/>
              <w:jc w:val="center"/>
              <w:rPr>
                <w:rFonts w:eastAsia="Times New Roman" w:cs="Calibri"/>
                <w:b/>
                <w:bCs/>
                <w:color w:val="231F20"/>
                <w:sz w:val="14"/>
                <w:szCs w:val="14"/>
                <w:lang w:eastAsia="fr-FR"/>
              </w:rPr>
            </w:pPr>
            <w:r w:rsidRPr="00B50C36">
              <w:rPr>
                <w:rFonts w:eastAsia="Times New Roman" w:cs="Calibri"/>
                <w:b/>
                <w:bCs/>
                <w:color w:val="231F20"/>
                <w:sz w:val="14"/>
                <w:szCs w:val="14"/>
                <w:lang w:eastAsia="fr-FR"/>
              </w:rPr>
              <w:t>Total coûts directs Programme des Nations Unies pour le Développement (PNUD)</w:t>
            </w:r>
          </w:p>
          <w:p w14:paraId="6D56442B" w14:textId="77777777" w:rsidR="002C377A" w:rsidRPr="00BB10EF"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p w14:paraId="218223CD"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577" w:type="dxa"/>
            <w:shd w:val="clear" w:color="000000" w:fill="FEFDD7"/>
            <w:vAlign w:val="center"/>
            <w:hideMark/>
          </w:tcPr>
          <w:p w14:paraId="18A444D2"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shd w:val="clear" w:color="000000" w:fill="FEFDD7"/>
            <w:vAlign w:val="center"/>
            <w:hideMark/>
          </w:tcPr>
          <w:p w14:paraId="70F0DB7E"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gridSpan w:val="2"/>
            <w:shd w:val="clear" w:color="000000" w:fill="FEFDD7"/>
            <w:vAlign w:val="center"/>
            <w:hideMark/>
          </w:tcPr>
          <w:p w14:paraId="63215B3F"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9" w:type="dxa"/>
            <w:gridSpan w:val="2"/>
            <w:shd w:val="clear" w:color="000000" w:fill="FEFDD7"/>
            <w:vAlign w:val="center"/>
            <w:hideMark/>
          </w:tcPr>
          <w:p w14:paraId="11B65E13"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gridSpan w:val="2"/>
            <w:shd w:val="clear" w:color="000000" w:fill="FEFDD7"/>
            <w:vAlign w:val="center"/>
            <w:hideMark/>
          </w:tcPr>
          <w:p w14:paraId="1C43BEBE"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11" w:type="dxa"/>
            <w:gridSpan w:val="2"/>
            <w:shd w:val="clear" w:color="000000" w:fill="FEFDD7"/>
            <w:vAlign w:val="center"/>
            <w:hideMark/>
          </w:tcPr>
          <w:p w14:paraId="6DF94F92"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776" w:type="dxa"/>
            <w:gridSpan w:val="2"/>
            <w:shd w:val="clear" w:color="000000" w:fill="FEFDD7"/>
            <w:vAlign w:val="center"/>
            <w:hideMark/>
          </w:tcPr>
          <w:p w14:paraId="106E77FF" w14:textId="77777777" w:rsidR="002C377A" w:rsidRPr="00B50C36" w:rsidRDefault="002C377A" w:rsidP="005B16B5">
            <w:pPr>
              <w:spacing w:after="0"/>
              <w:rPr>
                <w:rFonts w:eastAsia="Times New Roman" w:cs="Calibri"/>
                <w:b/>
                <w:bCs/>
                <w:color w:val="000000"/>
                <w:sz w:val="14"/>
                <w:szCs w:val="14"/>
                <w:lang w:eastAsia="fr-FR"/>
              </w:rPr>
            </w:pPr>
            <w:r w:rsidRPr="00B50C36">
              <w:rPr>
                <w:rFonts w:eastAsia="Times New Roman" w:cs="Calibri"/>
                <w:b/>
                <w:bCs/>
                <w:color w:val="000000"/>
                <w:sz w:val="14"/>
                <w:szCs w:val="14"/>
                <w:lang w:eastAsia="fr-FR"/>
              </w:rPr>
              <w:t xml:space="preserve"> $                450,226 </w:t>
            </w:r>
          </w:p>
        </w:tc>
        <w:tc>
          <w:tcPr>
            <w:tcW w:w="1209" w:type="dxa"/>
            <w:gridSpan w:val="2"/>
            <w:shd w:val="clear" w:color="auto" w:fill="auto"/>
            <w:noWrap/>
            <w:vAlign w:val="bottom"/>
            <w:hideMark/>
          </w:tcPr>
          <w:p w14:paraId="78FE3119" w14:textId="77777777" w:rsidR="002C377A" w:rsidRPr="00B50C36" w:rsidRDefault="002C377A" w:rsidP="005B16B5">
            <w:pPr>
              <w:spacing w:after="0"/>
              <w:rPr>
                <w:rFonts w:ascii="Arial" w:eastAsia="Times New Roman" w:hAnsi="Arial" w:cs="Arial"/>
                <w:color w:val="000000"/>
                <w:sz w:val="14"/>
                <w:szCs w:val="14"/>
                <w:lang w:eastAsia="fr-FR"/>
              </w:rPr>
            </w:pPr>
            <w:r w:rsidRPr="00B50C36">
              <w:rPr>
                <w:rFonts w:ascii="Arial" w:eastAsia="Times New Roman" w:hAnsi="Arial" w:cs="Arial"/>
                <w:color w:val="000000"/>
                <w:sz w:val="14"/>
                <w:szCs w:val="14"/>
                <w:lang w:eastAsia="fr-FR"/>
              </w:rPr>
              <w:t> </w:t>
            </w:r>
          </w:p>
        </w:tc>
        <w:tc>
          <w:tcPr>
            <w:tcW w:w="877" w:type="dxa"/>
            <w:gridSpan w:val="2"/>
            <w:shd w:val="clear" w:color="000000" w:fill="FEFDD7"/>
            <w:vAlign w:val="center"/>
            <w:hideMark/>
          </w:tcPr>
          <w:p w14:paraId="4AAE8684" w14:textId="77777777" w:rsidR="002C377A" w:rsidRPr="00B50C36" w:rsidRDefault="002C377A" w:rsidP="005B16B5">
            <w:pPr>
              <w:spacing w:after="0"/>
              <w:rPr>
                <w:rFonts w:eastAsia="Times New Roman" w:cs="Calibri"/>
                <w:b/>
                <w:bCs/>
                <w:color w:val="000000"/>
                <w:sz w:val="14"/>
                <w:szCs w:val="14"/>
                <w:lang w:eastAsia="fr-FR"/>
              </w:rPr>
            </w:pPr>
            <w:r w:rsidRPr="00B50C36">
              <w:rPr>
                <w:rFonts w:eastAsia="Times New Roman" w:cs="Calibri"/>
                <w:b/>
                <w:bCs/>
                <w:color w:val="000000"/>
                <w:sz w:val="14"/>
                <w:szCs w:val="14"/>
                <w:lang w:eastAsia="fr-FR"/>
              </w:rPr>
              <w:t xml:space="preserve"> $                450,226 </w:t>
            </w:r>
          </w:p>
        </w:tc>
        <w:tc>
          <w:tcPr>
            <w:tcW w:w="1395" w:type="dxa"/>
            <w:shd w:val="clear" w:color="000000" w:fill="FEFDD7"/>
            <w:vAlign w:val="center"/>
            <w:hideMark/>
          </w:tcPr>
          <w:p w14:paraId="246B484D" w14:textId="77777777" w:rsidR="002C377A" w:rsidRPr="00B50C36" w:rsidRDefault="002C377A" w:rsidP="005B16B5">
            <w:pPr>
              <w:spacing w:after="0"/>
              <w:jc w:val="center"/>
              <w:rPr>
                <w:rFonts w:eastAsia="Times New Roman" w:cs="Calibri"/>
                <w:color w:val="000000"/>
                <w:sz w:val="14"/>
                <w:szCs w:val="14"/>
                <w:lang w:eastAsia="fr-FR"/>
              </w:rPr>
            </w:pPr>
            <w:r w:rsidRPr="00B50C36">
              <w:rPr>
                <w:rFonts w:eastAsia="Times New Roman" w:cs="Calibri"/>
                <w:color w:val="000000"/>
                <w:sz w:val="14"/>
                <w:szCs w:val="14"/>
                <w:lang w:eastAsia="fr-FR"/>
              </w:rPr>
              <w:t>15.0%</w:t>
            </w:r>
          </w:p>
        </w:tc>
      </w:tr>
      <w:tr w:rsidR="002C377A" w:rsidRPr="00BB10EF" w14:paraId="2E35D5B0" w14:textId="77777777" w:rsidTr="002C377A">
        <w:trPr>
          <w:gridAfter w:val="2"/>
          <w:wAfter w:w="60" w:type="dxa"/>
          <w:trHeight w:val="282"/>
        </w:trPr>
        <w:tc>
          <w:tcPr>
            <w:tcW w:w="709" w:type="dxa"/>
            <w:shd w:val="clear" w:color="000000" w:fill="FEFDD7"/>
            <w:vAlign w:val="center"/>
            <w:hideMark/>
          </w:tcPr>
          <w:p w14:paraId="13F2B532"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641" w:type="dxa"/>
            <w:shd w:val="clear" w:color="000000" w:fill="FEFDD7"/>
            <w:hideMark/>
          </w:tcPr>
          <w:p w14:paraId="611E0E49" w14:textId="77777777" w:rsidR="002C377A" w:rsidRPr="00B50C36" w:rsidRDefault="002C377A" w:rsidP="005B16B5">
            <w:pPr>
              <w:spacing w:after="0"/>
              <w:jc w:val="center"/>
              <w:rPr>
                <w:rFonts w:eastAsia="Times New Roman" w:cs="Calibri"/>
                <w:color w:val="231F20"/>
                <w:sz w:val="14"/>
                <w:szCs w:val="14"/>
                <w:lang w:eastAsia="fr-FR"/>
              </w:rPr>
            </w:pPr>
            <w:r w:rsidRPr="00B50C36">
              <w:rPr>
                <w:rFonts w:eastAsia="Times New Roman" w:cs="Calibri"/>
                <w:color w:val="231F20"/>
                <w:sz w:val="14"/>
                <w:szCs w:val="14"/>
                <w:lang w:eastAsia="fr-FR"/>
              </w:rPr>
              <w:t>MEDD/CDD</w:t>
            </w:r>
          </w:p>
        </w:tc>
        <w:tc>
          <w:tcPr>
            <w:tcW w:w="2534" w:type="dxa"/>
            <w:shd w:val="clear" w:color="000000" w:fill="FEFDD7"/>
            <w:vAlign w:val="center"/>
            <w:hideMark/>
          </w:tcPr>
          <w:p w14:paraId="5916FF87" w14:textId="77777777" w:rsidR="002C377A" w:rsidRPr="00B50C36" w:rsidRDefault="002C377A" w:rsidP="005B16B5">
            <w:pPr>
              <w:spacing w:after="0"/>
              <w:jc w:val="center"/>
              <w:rPr>
                <w:rFonts w:eastAsia="Times New Roman" w:cs="Calibri"/>
                <w:b/>
                <w:bCs/>
                <w:color w:val="231F20"/>
                <w:sz w:val="14"/>
                <w:szCs w:val="14"/>
                <w:lang w:eastAsia="fr-FR"/>
              </w:rPr>
            </w:pPr>
            <w:r w:rsidRPr="00B50C36">
              <w:rPr>
                <w:rFonts w:eastAsia="Times New Roman" w:cs="Calibri"/>
                <w:b/>
                <w:bCs/>
                <w:color w:val="231F20"/>
                <w:sz w:val="14"/>
                <w:szCs w:val="14"/>
                <w:lang w:eastAsia="fr-FR"/>
              </w:rPr>
              <w:t>Total coûts directs MEDD/CDD</w:t>
            </w:r>
          </w:p>
        </w:tc>
        <w:tc>
          <w:tcPr>
            <w:tcW w:w="3172" w:type="dxa"/>
            <w:shd w:val="clear" w:color="000000" w:fill="FEFDD7"/>
            <w:vAlign w:val="center"/>
            <w:hideMark/>
          </w:tcPr>
          <w:p w14:paraId="6255C54B"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1587" w:type="dxa"/>
            <w:shd w:val="clear" w:color="000000" w:fill="FEFDD7"/>
            <w:vAlign w:val="center"/>
            <w:hideMark/>
          </w:tcPr>
          <w:p w14:paraId="0F7EB3A1"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577" w:type="dxa"/>
            <w:shd w:val="clear" w:color="000000" w:fill="FEFDD7"/>
            <w:vAlign w:val="center"/>
            <w:hideMark/>
          </w:tcPr>
          <w:p w14:paraId="0ABDD1C0"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shd w:val="clear" w:color="000000" w:fill="FEFDD7"/>
            <w:vAlign w:val="center"/>
            <w:hideMark/>
          </w:tcPr>
          <w:p w14:paraId="2F247750"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gridSpan w:val="2"/>
            <w:shd w:val="clear" w:color="000000" w:fill="FEFDD7"/>
            <w:vAlign w:val="center"/>
            <w:hideMark/>
          </w:tcPr>
          <w:p w14:paraId="2501F342"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9" w:type="dxa"/>
            <w:gridSpan w:val="2"/>
            <w:shd w:val="clear" w:color="000000" w:fill="FEFDD7"/>
            <w:vAlign w:val="center"/>
            <w:hideMark/>
          </w:tcPr>
          <w:p w14:paraId="56DDF17C"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gridSpan w:val="2"/>
            <w:shd w:val="clear" w:color="000000" w:fill="FEFDD7"/>
            <w:vAlign w:val="center"/>
            <w:hideMark/>
          </w:tcPr>
          <w:p w14:paraId="1B85F8F7"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11" w:type="dxa"/>
            <w:gridSpan w:val="2"/>
            <w:shd w:val="clear" w:color="000000" w:fill="FEFDD7"/>
            <w:vAlign w:val="center"/>
            <w:hideMark/>
          </w:tcPr>
          <w:p w14:paraId="7DACEA2D"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776" w:type="dxa"/>
            <w:gridSpan w:val="2"/>
            <w:shd w:val="clear" w:color="000000" w:fill="FEFDD7"/>
            <w:vAlign w:val="center"/>
            <w:hideMark/>
          </w:tcPr>
          <w:p w14:paraId="6DA0C75E" w14:textId="77777777" w:rsidR="002C377A" w:rsidRPr="00B50C36" w:rsidRDefault="002C377A" w:rsidP="005B16B5">
            <w:pPr>
              <w:spacing w:after="0"/>
              <w:rPr>
                <w:rFonts w:eastAsia="Times New Roman" w:cs="Calibri"/>
                <w:b/>
                <w:bCs/>
                <w:color w:val="000000"/>
                <w:sz w:val="14"/>
                <w:szCs w:val="14"/>
                <w:lang w:eastAsia="fr-FR"/>
              </w:rPr>
            </w:pPr>
            <w:r w:rsidRPr="00B50C36">
              <w:rPr>
                <w:rFonts w:eastAsia="Times New Roman" w:cs="Calibri"/>
                <w:b/>
                <w:bCs/>
                <w:color w:val="000000"/>
                <w:sz w:val="14"/>
                <w:szCs w:val="14"/>
                <w:lang w:eastAsia="fr-FR"/>
              </w:rPr>
              <w:t xml:space="preserve"> $                518,000 </w:t>
            </w:r>
          </w:p>
        </w:tc>
        <w:tc>
          <w:tcPr>
            <w:tcW w:w="1209" w:type="dxa"/>
            <w:gridSpan w:val="2"/>
            <w:shd w:val="clear" w:color="auto" w:fill="auto"/>
            <w:noWrap/>
            <w:vAlign w:val="bottom"/>
            <w:hideMark/>
          </w:tcPr>
          <w:p w14:paraId="4C0D4746" w14:textId="77777777" w:rsidR="002C377A" w:rsidRPr="00B50C36" w:rsidRDefault="002C377A" w:rsidP="005B16B5">
            <w:pPr>
              <w:spacing w:after="0"/>
              <w:rPr>
                <w:rFonts w:ascii="Arial" w:eastAsia="Times New Roman" w:hAnsi="Arial" w:cs="Arial"/>
                <w:color w:val="000000"/>
                <w:sz w:val="14"/>
                <w:szCs w:val="14"/>
                <w:lang w:eastAsia="fr-FR"/>
              </w:rPr>
            </w:pPr>
            <w:r w:rsidRPr="00B50C36">
              <w:rPr>
                <w:rFonts w:ascii="Arial" w:eastAsia="Times New Roman" w:hAnsi="Arial" w:cs="Arial"/>
                <w:color w:val="000000"/>
                <w:sz w:val="14"/>
                <w:szCs w:val="14"/>
                <w:lang w:eastAsia="fr-FR"/>
              </w:rPr>
              <w:t> </w:t>
            </w:r>
          </w:p>
        </w:tc>
        <w:tc>
          <w:tcPr>
            <w:tcW w:w="877" w:type="dxa"/>
            <w:gridSpan w:val="2"/>
            <w:shd w:val="clear" w:color="000000" w:fill="FEFDD7"/>
            <w:vAlign w:val="center"/>
            <w:hideMark/>
          </w:tcPr>
          <w:p w14:paraId="34743873" w14:textId="77777777" w:rsidR="002C377A" w:rsidRPr="00B50C36" w:rsidRDefault="002C377A" w:rsidP="005B16B5">
            <w:pPr>
              <w:spacing w:after="0"/>
              <w:rPr>
                <w:rFonts w:eastAsia="Times New Roman" w:cs="Calibri"/>
                <w:b/>
                <w:bCs/>
                <w:color w:val="000000"/>
                <w:sz w:val="14"/>
                <w:szCs w:val="14"/>
                <w:lang w:eastAsia="fr-FR"/>
              </w:rPr>
            </w:pPr>
            <w:r w:rsidRPr="00B50C36">
              <w:rPr>
                <w:rFonts w:eastAsia="Times New Roman" w:cs="Calibri"/>
                <w:b/>
                <w:bCs/>
                <w:color w:val="000000"/>
                <w:sz w:val="14"/>
                <w:szCs w:val="14"/>
                <w:lang w:eastAsia="fr-FR"/>
              </w:rPr>
              <w:t xml:space="preserve"> $                518,000 </w:t>
            </w:r>
          </w:p>
        </w:tc>
        <w:tc>
          <w:tcPr>
            <w:tcW w:w="1395" w:type="dxa"/>
            <w:shd w:val="clear" w:color="000000" w:fill="FEFDD7"/>
            <w:vAlign w:val="center"/>
            <w:hideMark/>
          </w:tcPr>
          <w:p w14:paraId="69A65C75" w14:textId="77777777" w:rsidR="002C377A" w:rsidRPr="00B50C36" w:rsidRDefault="002C377A" w:rsidP="005B16B5">
            <w:pPr>
              <w:spacing w:after="0"/>
              <w:jc w:val="center"/>
              <w:rPr>
                <w:rFonts w:eastAsia="Times New Roman" w:cs="Calibri"/>
                <w:color w:val="000000"/>
                <w:sz w:val="14"/>
                <w:szCs w:val="14"/>
                <w:lang w:eastAsia="fr-FR"/>
              </w:rPr>
            </w:pPr>
            <w:r w:rsidRPr="00B50C36">
              <w:rPr>
                <w:rFonts w:eastAsia="Times New Roman" w:cs="Calibri"/>
                <w:color w:val="000000"/>
                <w:sz w:val="14"/>
                <w:szCs w:val="14"/>
                <w:lang w:eastAsia="fr-FR"/>
              </w:rPr>
              <w:t>17.3%</w:t>
            </w:r>
          </w:p>
        </w:tc>
      </w:tr>
      <w:tr w:rsidR="002C377A" w:rsidRPr="00B50C36" w14:paraId="1E1E87D2" w14:textId="77777777" w:rsidTr="002C377A">
        <w:trPr>
          <w:gridAfter w:val="2"/>
          <w:wAfter w:w="60" w:type="dxa"/>
          <w:trHeight w:val="282"/>
        </w:trPr>
        <w:tc>
          <w:tcPr>
            <w:tcW w:w="709" w:type="dxa"/>
            <w:shd w:val="clear" w:color="000000" w:fill="FEFDD7"/>
            <w:vAlign w:val="center"/>
            <w:hideMark/>
          </w:tcPr>
          <w:p w14:paraId="62538AF7"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641" w:type="dxa"/>
            <w:shd w:val="clear" w:color="000000" w:fill="FEFDD7"/>
            <w:hideMark/>
          </w:tcPr>
          <w:p w14:paraId="3A071141" w14:textId="77777777" w:rsidR="002C377A" w:rsidRPr="00B50C36" w:rsidRDefault="002C377A" w:rsidP="005B16B5">
            <w:pPr>
              <w:spacing w:after="0"/>
              <w:jc w:val="center"/>
              <w:rPr>
                <w:rFonts w:eastAsia="Times New Roman" w:cs="Calibri"/>
                <w:color w:val="231F20"/>
                <w:sz w:val="14"/>
                <w:szCs w:val="14"/>
                <w:lang w:eastAsia="fr-FR"/>
              </w:rPr>
            </w:pPr>
            <w:r w:rsidRPr="00B50C36">
              <w:rPr>
                <w:rFonts w:eastAsia="Times New Roman" w:cs="Calibri"/>
                <w:color w:val="231F20"/>
                <w:sz w:val="14"/>
                <w:szCs w:val="14"/>
                <w:lang w:eastAsia="fr-FR"/>
              </w:rPr>
              <w:t>ARMCA</w:t>
            </w:r>
          </w:p>
        </w:tc>
        <w:tc>
          <w:tcPr>
            <w:tcW w:w="2534" w:type="dxa"/>
            <w:shd w:val="clear" w:color="000000" w:fill="FEFDD7"/>
            <w:vAlign w:val="center"/>
            <w:hideMark/>
          </w:tcPr>
          <w:p w14:paraId="3C2DB731" w14:textId="77777777" w:rsidR="002C377A" w:rsidRPr="00B50C36" w:rsidRDefault="002C377A" w:rsidP="005B16B5">
            <w:pPr>
              <w:spacing w:after="0"/>
              <w:jc w:val="center"/>
              <w:rPr>
                <w:rFonts w:eastAsia="Times New Roman" w:cs="Calibri"/>
                <w:b/>
                <w:bCs/>
                <w:color w:val="231F20"/>
                <w:sz w:val="14"/>
                <w:szCs w:val="14"/>
                <w:lang w:eastAsia="fr-FR"/>
              </w:rPr>
            </w:pPr>
            <w:r w:rsidRPr="00B50C36">
              <w:rPr>
                <w:rFonts w:eastAsia="Times New Roman" w:cs="Calibri"/>
                <w:b/>
                <w:bCs/>
                <w:color w:val="231F20"/>
                <w:sz w:val="14"/>
                <w:szCs w:val="14"/>
                <w:lang w:eastAsia="fr-FR"/>
              </w:rPr>
              <w:t>Total coûts directs ARMCA</w:t>
            </w:r>
          </w:p>
        </w:tc>
        <w:tc>
          <w:tcPr>
            <w:tcW w:w="3172" w:type="dxa"/>
            <w:shd w:val="clear" w:color="000000" w:fill="FEFDD7"/>
            <w:vAlign w:val="center"/>
            <w:hideMark/>
          </w:tcPr>
          <w:p w14:paraId="40D99EB4"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1587" w:type="dxa"/>
            <w:shd w:val="clear" w:color="000000" w:fill="FEFDD7"/>
            <w:vAlign w:val="center"/>
            <w:hideMark/>
          </w:tcPr>
          <w:p w14:paraId="77AA394D"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577" w:type="dxa"/>
            <w:shd w:val="clear" w:color="000000" w:fill="FEFDD7"/>
            <w:vAlign w:val="center"/>
            <w:hideMark/>
          </w:tcPr>
          <w:p w14:paraId="58653DFA"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shd w:val="clear" w:color="000000" w:fill="FEFDD7"/>
            <w:vAlign w:val="center"/>
            <w:hideMark/>
          </w:tcPr>
          <w:p w14:paraId="3F07752A"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gridSpan w:val="2"/>
            <w:shd w:val="clear" w:color="000000" w:fill="FEFDD7"/>
            <w:vAlign w:val="center"/>
            <w:hideMark/>
          </w:tcPr>
          <w:p w14:paraId="1C26A1D4"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9" w:type="dxa"/>
            <w:gridSpan w:val="2"/>
            <w:shd w:val="clear" w:color="000000" w:fill="FEFDD7"/>
            <w:vAlign w:val="center"/>
            <w:hideMark/>
          </w:tcPr>
          <w:p w14:paraId="111B0621"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08" w:type="dxa"/>
            <w:gridSpan w:val="2"/>
            <w:shd w:val="clear" w:color="000000" w:fill="FEFDD7"/>
            <w:vAlign w:val="center"/>
            <w:hideMark/>
          </w:tcPr>
          <w:p w14:paraId="54C6D7BC"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211" w:type="dxa"/>
            <w:gridSpan w:val="2"/>
            <w:shd w:val="clear" w:color="000000" w:fill="FEFDD7"/>
            <w:vAlign w:val="center"/>
            <w:hideMark/>
          </w:tcPr>
          <w:p w14:paraId="6B4F2687" w14:textId="77777777" w:rsidR="002C377A" w:rsidRPr="00B50C36" w:rsidRDefault="002C377A" w:rsidP="005B16B5">
            <w:pPr>
              <w:spacing w:after="0"/>
              <w:rPr>
                <w:rFonts w:eastAsia="Times New Roman" w:cs="Calibri"/>
                <w:b/>
                <w:bCs/>
                <w:color w:val="231F20"/>
                <w:sz w:val="14"/>
                <w:szCs w:val="14"/>
                <w:lang w:eastAsia="fr-FR"/>
              </w:rPr>
            </w:pPr>
            <w:r w:rsidRPr="00B50C36">
              <w:rPr>
                <w:rFonts w:eastAsia="Times New Roman" w:cs="Calibri"/>
                <w:b/>
                <w:bCs/>
                <w:color w:val="231F20"/>
                <w:sz w:val="14"/>
                <w:szCs w:val="14"/>
                <w:lang w:eastAsia="fr-FR"/>
              </w:rPr>
              <w:t> </w:t>
            </w:r>
          </w:p>
        </w:tc>
        <w:tc>
          <w:tcPr>
            <w:tcW w:w="776" w:type="dxa"/>
            <w:gridSpan w:val="2"/>
            <w:shd w:val="clear" w:color="000000" w:fill="FEFDD7"/>
            <w:vAlign w:val="center"/>
            <w:hideMark/>
          </w:tcPr>
          <w:p w14:paraId="56860413" w14:textId="77777777" w:rsidR="002C377A" w:rsidRPr="00B50C36" w:rsidRDefault="002C377A" w:rsidP="005B16B5">
            <w:pPr>
              <w:spacing w:after="0"/>
              <w:rPr>
                <w:rFonts w:eastAsia="Times New Roman" w:cs="Calibri"/>
                <w:b/>
                <w:bCs/>
                <w:color w:val="000000"/>
                <w:sz w:val="14"/>
                <w:szCs w:val="14"/>
                <w:lang w:eastAsia="fr-FR"/>
              </w:rPr>
            </w:pPr>
            <w:r w:rsidRPr="00B50C36">
              <w:rPr>
                <w:rFonts w:eastAsia="Times New Roman" w:cs="Calibri"/>
                <w:b/>
                <w:bCs/>
                <w:color w:val="000000"/>
                <w:sz w:val="14"/>
                <w:szCs w:val="14"/>
                <w:lang w:eastAsia="fr-FR"/>
              </w:rPr>
              <w:t xml:space="preserve"> $             1,029,012 </w:t>
            </w:r>
          </w:p>
        </w:tc>
        <w:tc>
          <w:tcPr>
            <w:tcW w:w="1209" w:type="dxa"/>
            <w:gridSpan w:val="2"/>
            <w:shd w:val="clear" w:color="auto" w:fill="auto"/>
            <w:noWrap/>
            <w:vAlign w:val="bottom"/>
            <w:hideMark/>
          </w:tcPr>
          <w:p w14:paraId="6E5730A1" w14:textId="77777777" w:rsidR="002C377A" w:rsidRPr="00B50C36" w:rsidRDefault="002C377A" w:rsidP="005B16B5">
            <w:pPr>
              <w:spacing w:after="0"/>
              <w:rPr>
                <w:rFonts w:ascii="Arial" w:eastAsia="Times New Roman" w:hAnsi="Arial" w:cs="Arial"/>
                <w:color w:val="000000"/>
                <w:sz w:val="14"/>
                <w:szCs w:val="14"/>
                <w:lang w:eastAsia="fr-FR"/>
              </w:rPr>
            </w:pPr>
            <w:r w:rsidRPr="00B50C36">
              <w:rPr>
                <w:rFonts w:ascii="Arial" w:eastAsia="Times New Roman" w:hAnsi="Arial" w:cs="Arial"/>
                <w:color w:val="000000"/>
                <w:sz w:val="14"/>
                <w:szCs w:val="14"/>
                <w:lang w:eastAsia="fr-FR"/>
              </w:rPr>
              <w:t> </w:t>
            </w:r>
          </w:p>
        </w:tc>
        <w:tc>
          <w:tcPr>
            <w:tcW w:w="877" w:type="dxa"/>
            <w:gridSpan w:val="2"/>
            <w:shd w:val="clear" w:color="000000" w:fill="FEFDD7"/>
            <w:vAlign w:val="center"/>
            <w:hideMark/>
          </w:tcPr>
          <w:p w14:paraId="21F187A0" w14:textId="77777777" w:rsidR="002C377A" w:rsidRPr="00B50C36" w:rsidRDefault="002C377A" w:rsidP="005B16B5">
            <w:pPr>
              <w:spacing w:after="0"/>
              <w:rPr>
                <w:rFonts w:eastAsia="Times New Roman" w:cs="Calibri"/>
                <w:b/>
                <w:bCs/>
                <w:color w:val="000000"/>
                <w:sz w:val="14"/>
                <w:szCs w:val="14"/>
                <w:lang w:eastAsia="fr-FR"/>
              </w:rPr>
            </w:pPr>
            <w:r w:rsidRPr="00B50C36">
              <w:rPr>
                <w:rFonts w:eastAsia="Times New Roman" w:cs="Calibri"/>
                <w:b/>
                <w:bCs/>
                <w:color w:val="000000"/>
                <w:sz w:val="14"/>
                <w:szCs w:val="14"/>
                <w:lang w:eastAsia="fr-FR"/>
              </w:rPr>
              <w:t xml:space="preserve"> $             1,029,012 </w:t>
            </w:r>
          </w:p>
        </w:tc>
        <w:tc>
          <w:tcPr>
            <w:tcW w:w="1395" w:type="dxa"/>
            <w:shd w:val="clear" w:color="000000" w:fill="FEFDD7"/>
            <w:vAlign w:val="center"/>
            <w:hideMark/>
          </w:tcPr>
          <w:p w14:paraId="49ECD7C5" w14:textId="77777777" w:rsidR="002C377A" w:rsidRPr="00B50C36" w:rsidRDefault="002C377A" w:rsidP="005B16B5">
            <w:pPr>
              <w:spacing w:after="0"/>
              <w:jc w:val="center"/>
              <w:rPr>
                <w:rFonts w:eastAsia="Times New Roman" w:cs="Calibri"/>
                <w:color w:val="000000"/>
                <w:sz w:val="14"/>
                <w:szCs w:val="14"/>
                <w:lang w:eastAsia="fr-FR"/>
              </w:rPr>
            </w:pPr>
            <w:r w:rsidRPr="00B50C36">
              <w:rPr>
                <w:rFonts w:eastAsia="Times New Roman" w:cs="Calibri"/>
                <w:color w:val="000000"/>
                <w:sz w:val="14"/>
                <w:szCs w:val="14"/>
                <w:lang w:eastAsia="fr-FR"/>
              </w:rPr>
              <w:t>33.2%</w:t>
            </w:r>
          </w:p>
        </w:tc>
      </w:tr>
      <w:tr w:rsidR="002C377A" w:rsidRPr="00B50C36" w14:paraId="0BC279DE" w14:textId="77777777" w:rsidTr="002C377A">
        <w:trPr>
          <w:gridAfter w:val="2"/>
          <w:wAfter w:w="60" w:type="dxa"/>
          <w:trHeight w:val="282"/>
        </w:trPr>
        <w:tc>
          <w:tcPr>
            <w:tcW w:w="709" w:type="dxa"/>
            <w:shd w:val="clear" w:color="000000" w:fill="FEFDD7"/>
            <w:vAlign w:val="center"/>
            <w:hideMark/>
          </w:tcPr>
          <w:p w14:paraId="144D424F" w14:textId="77777777" w:rsidR="002C377A" w:rsidRPr="00B50C36" w:rsidRDefault="002C377A" w:rsidP="005B16B5">
            <w:pPr>
              <w:spacing w:after="0"/>
              <w:rPr>
                <w:rFonts w:eastAsia="Times New Roman" w:cs="Calibri"/>
                <w:b/>
                <w:bCs/>
                <w:color w:val="231F20"/>
                <w:sz w:val="18"/>
                <w:szCs w:val="18"/>
                <w:lang w:eastAsia="fr-FR"/>
              </w:rPr>
            </w:pPr>
            <w:r w:rsidRPr="00B50C36">
              <w:rPr>
                <w:rFonts w:eastAsia="Times New Roman" w:cs="Calibri"/>
                <w:b/>
                <w:bCs/>
                <w:color w:val="231F20"/>
                <w:sz w:val="18"/>
                <w:szCs w:val="18"/>
                <w:lang w:eastAsia="fr-FR"/>
              </w:rPr>
              <w:t> </w:t>
            </w:r>
          </w:p>
        </w:tc>
        <w:tc>
          <w:tcPr>
            <w:tcW w:w="641" w:type="dxa"/>
            <w:shd w:val="clear" w:color="000000" w:fill="FEFDD7"/>
            <w:hideMark/>
          </w:tcPr>
          <w:p w14:paraId="72F57AF5" w14:textId="77777777" w:rsidR="002C377A" w:rsidRPr="00B50C36" w:rsidRDefault="002C377A" w:rsidP="005B16B5">
            <w:pPr>
              <w:spacing w:after="0"/>
              <w:jc w:val="center"/>
              <w:rPr>
                <w:rFonts w:eastAsia="Times New Roman" w:cs="Calibri"/>
                <w:color w:val="231F20"/>
                <w:sz w:val="16"/>
                <w:szCs w:val="16"/>
                <w:lang w:eastAsia="fr-FR"/>
              </w:rPr>
            </w:pPr>
            <w:r w:rsidRPr="00B50C36">
              <w:rPr>
                <w:rFonts w:eastAsia="Times New Roman" w:cs="Calibri"/>
                <w:color w:val="231F20"/>
                <w:sz w:val="16"/>
                <w:szCs w:val="16"/>
                <w:lang w:eastAsia="fr-FR"/>
              </w:rPr>
              <w:t xml:space="preserve">PNUD </w:t>
            </w:r>
          </w:p>
        </w:tc>
        <w:tc>
          <w:tcPr>
            <w:tcW w:w="2534" w:type="dxa"/>
            <w:shd w:val="clear" w:color="000000" w:fill="FEFDD7"/>
            <w:vAlign w:val="center"/>
            <w:hideMark/>
          </w:tcPr>
          <w:p w14:paraId="4E7AF3ED" w14:textId="77777777" w:rsidR="002C377A" w:rsidRPr="00B50C36" w:rsidRDefault="002C377A" w:rsidP="005B16B5">
            <w:pPr>
              <w:spacing w:after="0"/>
              <w:jc w:val="center"/>
              <w:rPr>
                <w:rFonts w:eastAsia="Times New Roman" w:cs="Calibri"/>
                <w:b/>
                <w:bCs/>
                <w:color w:val="231F20"/>
                <w:sz w:val="16"/>
                <w:szCs w:val="16"/>
                <w:lang w:eastAsia="fr-FR"/>
              </w:rPr>
            </w:pPr>
            <w:r w:rsidRPr="00B50C36">
              <w:rPr>
                <w:rFonts w:eastAsia="Times New Roman" w:cs="Calibri"/>
                <w:b/>
                <w:bCs/>
                <w:color w:val="231F20"/>
                <w:sz w:val="16"/>
                <w:szCs w:val="16"/>
                <w:lang w:eastAsia="fr-FR"/>
              </w:rPr>
              <w:t xml:space="preserve">Total coûts directs PNUD </w:t>
            </w:r>
          </w:p>
        </w:tc>
        <w:tc>
          <w:tcPr>
            <w:tcW w:w="3172" w:type="dxa"/>
            <w:shd w:val="clear" w:color="000000" w:fill="FEFDD7"/>
            <w:vAlign w:val="center"/>
            <w:hideMark/>
          </w:tcPr>
          <w:p w14:paraId="5DECACBA"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1587" w:type="dxa"/>
            <w:shd w:val="clear" w:color="000000" w:fill="FEFDD7"/>
            <w:vAlign w:val="center"/>
            <w:hideMark/>
          </w:tcPr>
          <w:p w14:paraId="5BAB4F68"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577" w:type="dxa"/>
            <w:shd w:val="clear" w:color="000000" w:fill="FEFDD7"/>
            <w:vAlign w:val="center"/>
            <w:hideMark/>
          </w:tcPr>
          <w:p w14:paraId="561241F0"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shd w:val="clear" w:color="000000" w:fill="FEFDD7"/>
            <w:vAlign w:val="center"/>
            <w:hideMark/>
          </w:tcPr>
          <w:p w14:paraId="15788961"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gridSpan w:val="2"/>
            <w:shd w:val="clear" w:color="000000" w:fill="FEFDD7"/>
            <w:vAlign w:val="center"/>
            <w:hideMark/>
          </w:tcPr>
          <w:p w14:paraId="4C3B0503"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9" w:type="dxa"/>
            <w:gridSpan w:val="2"/>
            <w:shd w:val="clear" w:color="000000" w:fill="FEFDD7"/>
            <w:vAlign w:val="center"/>
            <w:hideMark/>
          </w:tcPr>
          <w:p w14:paraId="0F3C1577"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gridSpan w:val="2"/>
            <w:shd w:val="clear" w:color="000000" w:fill="FEFDD7"/>
            <w:vAlign w:val="center"/>
            <w:hideMark/>
          </w:tcPr>
          <w:p w14:paraId="0F1033C0"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11" w:type="dxa"/>
            <w:gridSpan w:val="2"/>
            <w:shd w:val="clear" w:color="000000" w:fill="FEFDD7"/>
            <w:vAlign w:val="center"/>
            <w:hideMark/>
          </w:tcPr>
          <w:p w14:paraId="7B9E0518"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776" w:type="dxa"/>
            <w:gridSpan w:val="2"/>
            <w:shd w:val="clear" w:color="000000" w:fill="FEFDD7"/>
            <w:vAlign w:val="center"/>
            <w:hideMark/>
          </w:tcPr>
          <w:p w14:paraId="78365A55" w14:textId="77777777" w:rsidR="002C377A" w:rsidRPr="00B50C36" w:rsidRDefault="002C377A" w:rsidP="005B16B5">
            <w:pPr>
              <w:spacing w:after="0"/>
              <w:rPr>
                <w:rFonts w:eastAsia="Times New Roman" w:cs="Calibri"/>
                <w:b/>
                <w:bCs/>
                <w:color w:val="000000"/>
                <w:sz w:val="16"/>
                <w:szCs w:val="16"/>
                <w:lang w:eastAsia="fr-FR"/>
              </w:rPr>
            </w:pPr>
            <w:r w:rsidRPr="00B50C36">
              <w:rPr>
                <w:rFonts w:eastAsia="Times New Roman" w:cs="Calibri"/>
                <w:b/>
                <w:bCs/>
                <w:color w:val="000000"/>
                <w:sz w:val="16"/>
                <w:szCs w:val="16"/>
                <w:lang w:eastAsia="fr-FR"/>
              </w:rPr>
              <w:t xml:space="preserve"> $                645,500 </w:t>
            </w:r>
          </w:p>
        </w:tc>
        <w:tc>
          <w:tcPr>
            <w:tcW w:w="1209" w:type="dxa"/>
            <w:gridSpan w:val="2"/>
            <w:shd w:val="clear" w:color="auto" w:fill="auto"/>
            <w:noWrap/>
            <w:vAlign w:val="bottom"/>
            <w:hideMark/>
          </w:tcPr>
          <w:p w14:paraId="58346F61" w14:textId="77777777" w:rsidR="002C377A" w:rsidRPr="00B50C36" w:rsidRDefault="002C377A" w:rsidP="005B16B5">
            <w:pPr>
              <w:spacing w:after="0"/>
              <w:rPr>
                <w:rFonts w:ascii="Arial" w:eastAsia="Times New Roman" w:hAnsi="Arial" w:cs="Arial"/>
                <w:color w:val="000000"/>
                <w:sz w:val="16"/>
                <w:szCs w:val="16"/>
                <w:lang w:eastAsia="fr-FR"/>
              </w:rPr>
            </w:pPr>
            <w:r w:rsidRPr="00B50C36">
              <w:rPr>
                <w:rFonts w:ascii="Arial" w:eastAsia="Times New Roman" w:hAnsi="Arial" w:cs="Arial"/>
                <w:color w:val="000000"/>
                <w:sz w:val="16"/>
                <w:szCs w:val="16"/>
                <w:lang w:eastAsia="fr-FR"/>
              </w:rPr>
              <w:t> </w:t>
            </w:r>
          </w:p>
        </w:tc>
        <w:tc>
          <w:tcPr>
            <w:tcW w:w="877" w:type="dxa"/>
            <w:gridSpan w:val="2"/>
            <w:shd w:val="clear" w:color="000000" w:fill="FEFDD7"/>
            <w:vAlign w:val="center"/>
            <w:hideMark/>
          </w:tcPr>
          <w:p w14:paraId="6EA1C9DB" w14:textId="77777777" w:rsidR="002C377A" w:rsidRPr="00B50C36" w:rsidRDefault="002C377A" w:rsidP="005B16B5">
            <w:pPr>
              <w:spacing w:after="0"/>
              <w:rPr>
                <w:rFonts w:eastAsia="Times New Roman" w:cs="Calibri"/>
                <w:b/>
                <w:bCs/>
                <w:color w:val="000000"/>
                <w:sz w:val="16"/>
                <w:szCs w:val="16"/>
                <w:lang w:eastAsia="fr-FR"/>
              </w:rPr>
            </w:pPr>
            <w:r w:rsidRPr="00B50C36">
              <w:rPr>
                <w:rFonts w:eastAsia="Times New Roman" w:cs="Calibri"/>
                <w:b/>
                <w:bCs/>
                <w:color w:val="000000"/>
                <w:sz w:val="16"/>
                <w:szCs w:val="16"/>
                <w:lang w:eastAsia="fr-FR"/>
              </w:rPr>
              <w:t xml:space="preserve"> $                645,500 </w:t>
            </w:r>
          </w:p>
        </w:tc>
        <w:tc>
          <w:tcPr>
            <w:tcW w:w="1395" w:type="dxa"/>
            <w:shd w:val="clear" w:color="000000" w:fill="FEFDD7"/>
            <w:noWrap/>
            <w:vAlign w:val="bottom"/>
            <w:hideMark/>
          </w:tcPr>
          <w:p w14:paraId="4FC9CCCB" w14:textId="77777777" w:rsidR="002C377A" w:rsidRPr="00B50C36" w:rsidRDefault="002C377A" w:rsidP="005B16B5">
            <w:pPr>
              <w:spacing w:after="0"/>
              <w:jc w:val="center"/>
              <w:rPr>
                <w:rFonts w:eastAsia="Times New Roman" w:cs="Calibri"/>
                <w:sz w:val="16"/>
                <w:szCs w:val="16"/>
                <w:lang w:eastAsia="fr-FR"/>
              </w:rPr>
            </w:pPr>
            <w:r w:rsidRPr="00B50C36">
              <w:rPr>
                <w:rFonts w:eastAsia="Times New Roman" w:cs="Calibri"/>
                <w:sz w:val="16"/>
                <w:szCs w:val="16"/>
                <w:lang w:eastAsia="fr-FR"/>
              </w:rPr>
              <w:t>20.8%</w:t>
            </w:r>
          </w:p>
        </w:tc>
      </w:tr>
      <w:tr w:rsidR="002C377A" w:rsidRPr="00B50C36" w14:paraId="55E7B660" w14:textId="77777777" w:rsidTr="002C377A">
        <w:trPr>
          <w:gridAfter w:val="2"/>
          <w:wAfter w:w="60" w:type="dxa"/>
          <w:trHeight w:val="282"/>
        </w:trPr>
        <w:tc>
          <w:tcPr>
            <w:tcW w:w="709" w:type="dxa"/>
            <w:shd w:val="clear" w:color="000000" w:fill="FEFDD7"/>
            <w:vAlign w:val="center"/>
            <w:hideMark/>
          </w:tcPr>
          <w:p w14:paraId="3EC9DF43"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641" w:type="dxa"/>
            <w:shd w:val="clear" w:color="000000" w:fill="FEFDD7"/>
            <w:hideMark/>
          </w:tcPr>
          <w:p w14:paraId="6186EE38" w14:textId="77777777" w:rsidR="002C377A" w:rsidRPr="00B50C36" w:rsidRDefault="002C377A" w:rsidP="005B16B5">
            <w:pPr>
              <w:spacing w:after="0"/>
              <w:jc w:val="center"/>
              <w:rPr>
                <w:rFonts w:eastAsia="Times New Roman" w:cs="Calibri"/>
                <w:color w:val="231F20"/>
                <w:sz w:val="16"/>
                <w:szCs w:val="16"/>
                <w:lang w:eastAsia="fr-FR"/>
              </w:rPr>
            </w:pPr>
            <w:proofErr w:type="spellStart"/>
            <w:r w:rsidRPr="00B50C36">
              <w:rPr>
                <w:rFonts w:eastAsia="Times New Roman" w:cs="Calibri"/>
                <w:color w:val="231F20"/>
                <w:sz w:val="16"/>
                <w:szCs w:val="16"/>
                <w:lang w:eastAsia="fr-FR"/>
              </w:rPr>
              <w:t>Minfi</w:t>
            </w:r>
            <w:proofErr w:type="spellEnd"/>
          </w:p>
        </w:tc>
        <w:tc>
          <w:tcPr>
            <w:tcW w:w="2534" w:type="dxa"/>
            <w:shd w:val="clear" w:color="000000" w:fill="FEFDD7"/>
            <w:vAlign w:val="center"/>
            <w:hideMark/>
          </w:tcPr>
          <w:p w14:paraId="106DD53B" w14:textId="77777777" w:rsidR="002C377A" w:rsidRPr="00B50C36" w:rsidRDefault="002C377A" w:rsidP="005B16B5">
            <w:pPr>
              <w:spacing w:after="0"/>
              <w:jc w:val="center"/>
              <w:rPr>
                <w:rFonts w:eastAsia="Times New Roman" w:cs="Calibri"/>
                <w:b/>
                <w:bCs/>
                <w:color w:val="231F20"/>
                <w:sz w:val="16"/>
                <w:szCs w:val="16"/>
                <w:lang w:eastAsia="fr-FR"/>
              </w:rPr>
            </w:pPr>
            <w:r w:rsidRPr="00B50C36">
              <w:rPr>
                <w:rFonts w:eastAsia="Times New Roman" w:cs="Calibri"/>
                <w:b/>
                <w:bCs/>
                <w:color w:val="231F20"/>
                <w:sz w:val="16"/>
                <w:szCs w:val="16"/>
                <w:lang w:eastAsia="fr-FR"/>
              </w:rPr>
              <w:t xml:space="preserve">Total coûts directs </w:t>
            </w:r>
            <w:proofErr w:type="spellStart"/>
            <w:r w:rsidRPr="00B50C36">
              <w:rPr>
                <w:rFonts w:eastAsia="Times New Roman" w:cs="Calibri"/>
                <w:b/>
                <w:bCs/>
                <w:color w:val="231F20"/>
                <w:sz w:val="16"/>
                <w:szCs w:val="16"/>
                <w:lang w:eastAsia="fr-FR"/>
              </w:rPr>
              <w:t>Minfi</w:t>
            </w:r>
            <w:proofErr w:type="spellEnd"/>
          </w:p>
        </w:tc>
        <w:tc>
          <w:tcPr>
            <w:tcW w:w="3172" w:type="dxa"/>
            <w:shd w:val="clear" w:color="000000" w:fill="FEFDD7"/>
            <w:vAlign w:val="center"/>
            <w:hideMark/>
          </w:tcPr>
          <w:p w14:paraId="6099E7B6"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1587" w:type="dxa"/>
            <w:shd w:val="clear" w:color="000000" w:fill="FEFDD7"/>
            <w:vAlign w:val="center"/>
            <w:hideMark/>
          </w:tcPr>
          <w:p w14:paraId="0B5B2290"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577" w:type="dxa"/>
            <w:shd w:val="clear" w:color="000000" w:fill="FEFDD7"/>
            <w:vAlign w:val="center"/>
            <w:hideMark/>
          </w:tcPr>
          <w:p w14:paraId="4249A1F0"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shd w:val="clear" w:color="000000" w:fill="FEFDD7"/>
            <w:vAlign w:val="center"/>
            <w:hideMark/>
          </w:tcPr>
          <w:p w14:paraId="1DD653CC"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gridSpan w:val="2"/>
            <w:shd w:val="clear" w:color="000000" w:fill="FEFDD7"/>
            <w:vAlign w:val="center"/>
            <w:hideMark/>
          </w:tcPr>
          <w:p w14:paraId="42598A42"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9" w:type="dxa"/>
            <w:gridSpan w:val="2"/>
            <w:shd w:val="clear" w:color="000000" w:fill="FEFDD7"/>
            <w:vAlign w:val="center"/>
            <w:hideMark/>
          </w:tcPr>
          <w:p w14:paraId="0019D4F5"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08" w:type="dxa"/>
            <w:gridSpan w:val="2"/>
            <w:shd w:val="clear" w:color="000000" w:fill="FEFDD7"/>
            <w:vAlign w:val="center"/>
            <w:hideMark/>
          </w:tcPr>
          <w:p w14:paraId="7A0B5959"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211" w:type="dxa"/>
            <w:gridSpan w:val="2"/>
            <w:shd w:val="clear" w:color="000000" w:fill="FEFDD7"/>
            <w:vAlign w:val="center"/>
            <w:hideMark/>
          </w:tcPr>
          <w:p w14:paraId="206F9AD4" w14:textId="77777777" w:rsidR="002C377A" w:rsidRPr="00B50C36" w:rsidRDefault="002C377A" w:rsidP="005B16B5">
            <w:pPr>
              <w:spacing w:after="0"/>
              <w:rPr>
                <w:rFonts w:eastAsia="Times New Roman" w:cs="Calibri"/>
                <w:b/>
                <w:bCs/>
                <w:color w:val="231F20"/>
                <w:sz w:val="16"/>
                <w:szCs w:val="16"/>
                <w:lang w:eastAsia="fr-FR"/>
              </w:rPr>
            </w:pPr>
            <w:r w:rsidRPr="00B50C36">
              <w:rPr>
                <w:rFonts w:eastAsia="Times New Roman" w:cs="Calibri"/>
                <w:b/>
                <w:bCs/>
                <w:color w:val="231F20"/>
                <w:sz w:val="16"/>
                <w:szCs w:val="16"/>
                <w:lang w:eastAsia="fr-FR"/>
              </w:rPr>
              <w:t> </w:t>
            </w:r>
          </w:p>
        </w:tc>
        <w:tc>
          <w:tcPr>
            <w:tcW w:w="776" w:type="dxa"/>
            <w:gridSpan w:val="2"/>
            <w:shd w:val="clear" w:color="000000" w:fill="FEFDD7"/>
            <w:vAlign w:val="center"/>
            <w:hideMark/>
          </w:tcPr>
          <w:p w14:paraId="74938311" w14:textId="77777777" w:rsidR="002C377A" w:rsidRPr="00B50C36" w:rsidRDefault="002C377A" w:rsidP="005B16B5">
            <w:pPr>
              <w:spacing w:after="0"/>
              <w:rPr>
                <w:rFonts w:eastAsia="Times New Roman" w:cs="Calibri"/>
                <w:b/>
                <w:bCs/>
                <w:color w:val="000000"/>
                <w:sz w:val="16"/>
                <w:szCs w:val="16"/>
                <w:lang w:eastAsia="fr-FR"/>
              </w:rPr>
            </w:pPr>
            <w:r w:rsidRPr="00B50C36">
              <w:rPr>
                <w:rFonts w:eastAsia="Times New Roman" w:cs="Calibri"/>
                <w:b/>
                <w:bCs/>
                <w:color w:val="000000"/>
                <w:sz w:val="16"/>
                <w:szCs w:val="16"/>
                <w:lang w:eastAsia="fr-FR"/>
              </w:rPr>
              <w:t xml:space="preserve"> $                161,000 </w:t>
            </w:r>
          </w:p>
        </w:tc>
        <w:tc>
          <w:tcPr>
            <w:tcW w:w="1209" w:type="dxa"/>
            <w:gridSpan w:val="2"/>
            <w:shd w:val="clear" w:color="auto" w:fill="auto"/>
            <w:noWrap/>
            <w:vAlign w:val="bottom"/>
            <w:hideMark/>
          </w:tcPr>
          <w:p w14:paraId="5A180B06" w14:textId="77777777" w:rsidR="002C377A" w:rsidRPr="00B50C36" w:rsidRDefault="002C377A" w:rsidP="005B16B5">
            <w:pPr>
              <w:spacing w:after="0"/>
              <w:rPr>
                <w:rFonts w:ascii="Arial" w:eastAsia="Times New Roman" w:hAnsi="Arial" w:cs="Arial"/>
                <w:color w:val="000000"/>
                <w:sz w:val="16"/>
                <w:szCs w:val="16"/>
                <w:lang w:eastAsia="fr-FR"/>
              </w:rPr>
            </w:pPr>
            <w:r w:rsidRPr="00B50C36">
              <w:rPr>
                <w:rFonts w:ascii="Arial" w:eastAsia="Times New Roman" w:hAnsi="Arial" w:cs="Arial"/>
                <w:color w:val="000000"/>
                <w:sz w:val="16"/>
                <w:szCs w:val="16"/>
                <w:lang w:eastAsia="fr-FR"/>
              </w:rPr>
              <w:t> </w:t>
            </w:r>
          </w:p>
        </w:tc>
        <w:tc>
          <w:tcPr>
            <w:tcW w:w="877" w:type="dxa"/>
            <w:gridSpan w:val="2"/>
            <w:shd w:val="clear" w:color="000000" w:fill="FEFDD7"/>
            <w:vAlign w:val="center"/>
            <w:hideMark/>
          </w:tcPr>
          <w:p w14:paraId="676BDC17" w14:textId="77777777" w:rsidR="002C377A" w:rsidRPr="00B50C36" w:rsidRDefault="002C377A" w:rsidP="005B16B5">
            <w:pPr>
              <w:spacing w:after="0"/>
              <w:rPr>
                <w:rFonts w:eastAsia="Times New Roman" w:cs="Calibri"/>
                <w:b/>
                <w:bCs/>
                <w:color w:val="000000"/>
                <w:sz w:val="16"/>
                <w:szCs w:val="16"/>
                <w:lang w:eastAsia="fr-FR"/>
              </w:rPr>
            </w:pPr>
            <w:r w:rsidRPr="00B50C36">
              <w:rPr>
                <w:rFonts w:eastAsia="Times New Roman" w:cs="Calibri"/>
                <w:b/>
                <w:bCs/>
                <w:color w:val="000000"/>
                <w:sz w:val="16"/>
                <w:szCs w:val="16"/>
                <w:lang w:eastAsia="fr-FR"/>
              </w:rPr>
              <w:t xml:space="preserve"> $                161,000 </w:t>
            </w:r>
          </w:p>
        </w:tc>
        <w:tc>
          <w:tcPr>
            <w:tcW w:w="1395" w:type="dxa"/>
            <w:shd w:val="clear" w:color="000000" w:fill="FEFDD7"/>
            <w:noWrap/>
            <w:vAlign w:val="bottom"/>
            <w:hideMark/>
          </w:tcPr>
          <w:p w14:paraId="2FE74250" w14:textId="77777777" w:rsidR="002C377A" w:rsidRPr="00B50C36" w:rsidRDefault="002C377A" w:rsidP="005B16B5">
            <w:pPr>
              <w:spacing w:after="0"/>
              <w:jc w:val="center"/>
              <w:rPr>
                <w:rFonts w:eastAsia="Times New Roman" w:cs="Calibri"/>
                <w:sz w:val="16"/>
                <w:szCs w:val="16"/>
                <w:lang w:eastAsia="fr-FR"/>
              </w:rPr>
            </w:pPr>
            <w:r w:rsidRPr="00B50C36">
              <w:rPr>
                <w:rFonts w:eastAsia="Times New Roman" w:cs="Calibri"/>
                <w:sz w:val="16"/>
                <w:szCs w:val="16"/>
                <w:lang w:eastAsia="fr-FR"/>
              </w:rPr>
              <w:t>5.2%</w:t>
            </w:r>
          </w:p>
        </w:tc>
      </w:tr>
      <w:tr w:rsidR="002C377A" w:rsidRPr="00B50C36" w14:paraId="534B8040" w14:textId="77777777" w:rsidTr="002C377A">
        <w:trPr>
          <w:gridAfter w:val="2"/>
          <w:wAfter w:w="60" w:type="dxa"/>
          <w:trHeight w:val="360"/>
        </w:trPr>
        <w:tc>
          <w:tcPr>
            <w:tcW w:w="709" w:type="dxa"/>
            <w:shd w:val="clear" w:color="auto" w:fill="auto"/>
            <w:noWrap/>
            <w:vAlign w:val="bottom"/>
            <w:hideMark/>
          </w:tcPr>
          <w:p w14:paraId="354C6D5F" w14:textId="77777777" w:rsidR="002C377A" w:rsidRPr="00B50C36" w:rsidRDefault="002C377A" w:rsidP="005B16B5">
            <w:pPr>
              <w:spacing w:after="0"/>
              <w:jc w:val="center"/>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641" w:type="dxa"/>
            <w:shd w:val="clear" w:color="auto" w:fill="auto"/>
            <w:noWrap/>
            <w:vAlign w:val="bottom"/>
            <w:hideMark/>
          </w:tcPr>
          <w:p w14:paraId="500CAFF3" w14:textId="77777777" w:rsidR="002C377A" w:rsidRPr="00B50C36" w:rsidRDefault="002C377A" w:rsidP="005B16B5">
            <w:pPr>
              <w:spacing w:after="0"/>
              <w:jc w:val="center"/>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2534" w:type="dxa"/>
            <w:shd w:val="clear" w:color="auto" w:fill="auto"/>
            <w:noWrap/>
            <w:vAlign w:val="bottom"/>
            <w:hideMark/>
          </w:tcPr>
          <w:p w14:paraId="11C6E056" w14:textId="77777777" w:rsidR="002C377A" w:rsidRPr="00B50C36" w:rsidRDefault="002C377A" w:rsidP="005B16B5">
            <w:pPr>
              <w:spacing w:after="0"/>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3172" w:type="dxa"/>
            <w:shd w:val="clear" w:color="auto" w:fill="auto"/>
            <w:noWrap/>
            <w:vAlign w:val="bottom"/>
            <w:hideMark/>
          </w:tcPr>
          <w:p w14:paraId="1598FBAB" w14:textId="77777777" w:rsidR="002C377A" w:rsidRPr="00B50C36" w:rsidRDefault="002C377A" w:rsidP="005B16B5">
            <w:pPr>
              <w:spacing w:after="0"/>
              <w:jc w:val="center"/>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1587" w:type="dxa"/>
            <w:shd w:val="clear" w:color="auto" w:fill="auto"/>
            <w:noWrap/>
            <w:vAlign w:val="bottom"/>
            <w:hideMark/>
          </w:tcPr>
          <w:p w14:paraId="28FB79FB" w14:textId="77777777" w:rsidR="002C377A" w:rsidRPr="00B50C36" w:rsidRDefault="002C377A" w:rsidP="005B16B5">
            <w:pPr>
              <w:spacing w:after="0"/>
              <w:jc w:val="center"/>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577" w:type="dxa"/>
            <w:shd w:val="clear" w:color="auto" w:fill="auto"/>
            <w:noWrap/>
            <w:vAlign w:val="bottom"/>
            <w:hideMark/>
          </w:tcPr>
          <w:p w14:paraId="52836820" w14:textId="77777777" w:rsidR="002C377A" w:rsidRPr="00B50C36" w:rsidRDefault="002C377A" w:rsidP="005B16B5">
            <w:pPr>
              <w:spacing w:after="0"/>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208" w:type="dxa"/>
            <w:shd w:val="clear" w:color="auto" w:fill="auto"/>
            <w:noWrap/>
            <w:vAlign w:val="bottom"/>
            <w:hideMark/>
          </w:tcPr>
          <w:p w14:paraId="163E7A94" w14:textId="77777777" w:rsidR="002C377A" w:rsidRPr="00B50C36" w:rsidRDefault="002C377A" w:rsidP="005B16B5">
            <w:pPr>
              <w:spacing w:after="0"/>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208" w:type="dxa"/>
            <w:gridSpan w:val="2"/>
            <w:shd w:val="clear" w:color="auto" w:fill="auto"/>
            <w:noWrap/>
            <w:vAlign w:val="bottom"/>
            <w:hideMark/>
          </w:tcPr>
          <w:p w14:paraId="75F14944" w14:textId="77777777" w:rsidR="002C377A" w:rsidRPr="00B50C36" w:rsidRDefault="002C377A" w:rsidP="005B16B5">
            <w:pPr>
              <w:spacing w:after="0"/>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209" w:type="dxa"/>
            <w:gridSpan w:val="2"/>
            <w:shd w:val="clear" w:color="auto" w:fill="auto"/>
            <w:noWrap/>
            <w:vAlign w:val="bottom"/>
            <w:hideMark/>
          </w:tcPr>
          <w:p w14:paraId="4494BD2C" w14:textId="77777777" w:rsidR="002C377A" w:rsidRPr="00B50C36" w:rsidRDefault="002C377A" w:rsidP="005B16B5">
            <w:pPr>
              <w:spacing w:after="0"/>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208" w:type="dxa"/>
            <w:gridSpan w:val="2"/>
            <w:shd w:val="clear" w:color="auto" w:fill="auto"/>
            <w:noWrap/>
            <w:vAlign w:val="bottom"/>
            <w:hideMark/>
          </w:tcPr>
          <w:p w14:paraId="192A2A69" w14:textId="77777777" w:rsidR="002C377A" w:rsidRPr="00B50C36" w:rsidRDefault="002C377A" w:rsidP="005B16B5">
            <w:pPr>
              <w:spacing w:after="0"/>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211" w:type="dxa"/>
            <w:gridSpan w:val="2"/>
            <w:shd w:val="clear" w:color="auto" w:fill="auto"/>
            <w:noWrap/>
            <w:vAlign w:val="bottom"/>
            <w:hideMark/>
          </w:tcPr>
          <w:p w14:paraId="01A9C76E" w14:textId="77777777" w:rsidR="002C377A" w:rsidRPr="00B50C36" w:rsidRDefault="002C377A" w:rsidP="005B16B5">
            <w:pPr>
              <w:spacing w:after="0"/>
              <w:rPr>
                <w:rFonts w:ascii="Arial" w:eastAsia="Times New Roman" w:hAnsi="Arial" w:cs="Arial"/>
                <w:color w:val="000000"/>
                <w:lang w:eastAsia="fr-FR"/>
              </w:rPr>
            </w:pPr>
            <w:r w:rsidRPr="00B50C36">
              <w:rPr>
                <w:rFonts w:ascii="Arial" w:eastAsia="Times New Roman" w:hAnsi="Arial" w:cs="Arial"/>
                <w:color w:val="000000"/>
                <w:lang w:eastAsia="fr-FR"/>
              </w:rPr>
              <w:t> </w:t>
            </w:r>
          </w:p>
        </w:tc>
        <w:tc>
          <w:tcPr>
            <w:tcW w:w="776" w:type="dxa"/>
            <w:gridSpan w:val="2"/>
            <w:shd w:val="clear" w:color="000000" w:fill="DBEFD3"/>
            <w:vAlign w:val="center"/>
            <w:hideMark/>
          </w:tcPr>
          <w:p w14:paraId="69546CCC" w14:textId="77777777" w:rsidR="002C377A" w:rsidRPr="00B50C36" w:rsidRDefault="002C377A" w:rsidP="005B16B5">
            <w:pPr>
              <w:spacing w:after="0"/>
              <w:rPr>
                <w:rFonts w:eastAsia="Times New Roman" w:cs="Calibri"/>
                <w:b/>
                <w:bCs/>
                <w:color w:val="000000"/>
                <w:sz w:val="26"/>
                <w:szCs w:val="26"/>
                <w:lang w:eastAsia="fr-FR"/>
              </w:rPr>
            </w:pPr>
            <w:r w:rsidRPr="00B50C36">
              <w:rPr>
                <w:rFonts w:eastAsia="Times New Roman" w:cs="Calibri"/>
                <w:b/>
                <w:bCs/>
                <w:color w:val="000000"/>
                <w:sz w:val="26"/>
                <w:szCs w:val="26"/>
                <w:lang w:eastAsia="fr-FR"/>
              </w:rPr>
              <w:t xml:space="preserve"> $           3,000,000 </w:t>
            </w:r>
          </w:p>
        </w:tc>
        <w:tc>
          <w:tcPr>
            <w:tcW w:w="1209" w:type="dxa"/>
            <w:gridSpan w:val="2"/>
            <w:shd w:val="clear" w:color="auto" w:fill="auto"/>
            <w:noWrap/>
            <w:vAlign w:val="bottom"/>
            <w:hideMark/>
          </w:tcPr>
          <w:p w14:paraId="66DEC3E5" w14:textId="77777777" w:rsidR="002C377A" w:rsidRPr="00B50C36" w:rsidRDefault="002C377A" w:rsidP="005B16B5">
            <w:pPr>
              <w:spacing w:after="0"/>
              <w:rPr>
                <w:rFonts w:ascii="Arial" w:eastAsia="Times New Roman" w:hAnsi="Arial" w:cs="Arial"/>
                <w:b/>
                <w:bCs/>
                <w:color w:val="000000"/>
                <w:lang w:eastAsia="fr-FR"/>
              </w:rPr>
            </w:pPr>
            <w:r w:rsidRPr="00B50C36">
              <w:rPr>
                <w:rFonts w:ascii="Arial" w:eastAsia="Times New Roman" w:hAnsi="Arial" w:cs="Arial"/>
                <w:b/>
                <w:bCs/>
                <w:color w:val="000000"/>
                <w:lang w:eastAsia="fr-FR"/>
              </w:rPr>
              <w:t xml:space="preserve"> $                          -   </w:t>
            </w:r>
          </w:p>
        </w:tc>
        <w:tc>
          <w:tcPr>
            <w:tcW w:w="877" w:type="dxa"/>
            <w:gridSpan w:val="2"/>
            <w:shd w:val="clear" w:color="000000" w:fill="DBEFD3"/>
            <w:vAlign w:val="center"/>
            <w:hideMark/>
          </w:tcPr>
          <w:p w14:paraId="0B0E222E" w14:textId="77777777" w:rsidR="002C377A" w:rsidRPr="00B50C36" w:rsidRDefault="002C377A" w:rsidP="005B16B5">
            <w:pPr>
              <w:spacing w:after="0"/>
              <w:rPr>
                <w:rFonts w:eastAsia="Times New Roman" w:cs="Calibri"/>
                <w:b/>
                <w:bCs/>
                <w:color w:val="000000"/>
                <w:sz w:val="26"/>
                <w:szCs w:val="26"/>
                <w:lang w:eastAsia="fr-FR"/>
              </w:rPr>
            </w:pPr>
            <w:r w:rsidRPr="00B50C36">
              <w:rPr>
                <w:rFonts w:eastAsia="Times New Roman" w:cs="Calibri"/>
                <w:b/>
                <w:bCs/>
                <w:color w:val="000000"/>
                <w:sz w:val="26"/>
                <w:szCs w:val="26"/>
                <w:lang w:eastAsia="fr-FR"/>
              </w:rPr>
              <w:t xml:space="preserve"> $           3,000,000 </w:t>
            </w:r>
          </w:p>
        </w:tc>
        <w:tc>
          <w:tcPr>
            <w:tcW w:w="1395" w:type="dxa"/>
            <w:shd w:val="clear" w:color="auto" w:fill="auto"/>
            <w:noWrap/>
            <w:vAlign w:val="bottom"/>
            <w:hideMark/>
          </w:tcPr>
          <w:p w14:paraId="3841E719" w14:textId="77777777" w:rsidR="002C377A" w:rsidRPr="00B50C36" w:rsidRDefault="002C377A" w:rsidP="005B16B5">
            <w:pPr>
              <w:spacing w:after="0"/>
              <w:jc w:val="center"/>
              <w:rPr>
                <w:rFonts w:ascii="Arial" w:eastAsia="Times New Roman" w:hAnsi="Arial" w:cs="Arial"/>
                <w:color w:val="000000"/>
                <w:lang w:eastAsia="fr-FR"/>
              </w:rPr>
            </w:pPr>
            <w:r w:rsidRPr="00B50C36">
              <w:rPr>
                <w:rFonts w:ascii="Arial" w:eastAsia="Times New Roman" w:hAnsi="Arial" w:cs="Arial"/>
                <w:color w:val="000000"/>
                <w:lang w:eastAsia="fr-FR"/>
              </w:rPr>
              <w:t> </w:t>
            </w:r>
          </w:p>
        </w:tc>
      </w:tr>
    </w:tbl>
    <w:p w14:paraId="7407F2DC" w14:textId="77777777" w:rsidR="003D0917" w:rsidRDefault="003D0917" w:rsidP="006D6D09">
      <w:pPr>
        <w:spacing w:after="120"/>
        <w:ind w:right="1982"/>
        <w:rPr>
          <w:rFonts w:ascii="Avenir Next LT Pro" w:hAnsi="Avenir Next LT Pro"/>
          <w:color w:val="3E762A" w:themeColor="accent1" w:themeShade="BF"/>
          <w:sz w:val="20"/>
          <w:szCs w:val="20"/>
          <w:lang w:eastAsia="fr-FR"/>
        </w:rPr>
        <w:sectPr w:rsidR="003D0917" w:rsidSect="00E13D5D">
          <w:pgSz w:w="16838" w:h="11906" w:orient="landscape"/>
          <w:pgMar w:top="1418" w:right="1418" w:bottom="1418" w:left="1418" w:header="709" w:footer="709" w:gutter="0"/>
          <w:cols w:space="708"/>
          <w:docGrid w:linePitch="360"/>
        </w:sectPr>
      </w:pPr>
    </w:p>
    <w:p w14:paraId="6CA8C241" w14:textId="77777777" w:rsidR="00FB0179" w:rsidRPr="00FB0179" w:rsidRDefault="00FB0179" w:rsidP="00FB0179">
      <w:pPr>
        <w:spacing w:after="120"/>
        <w:rPr>
          <w:rFonts w:ascii="Avenir Next LT Pro" w:hAnsi="Avenir Next LT Pro"/>
          <w:color w:val="3E762A" w:themeColor="accent1" w:themeShade="BF"/>
          <w:lang w:eastAsia="fr-FR"/>
        </w:rPr>
      </w:pPr>
    </w:p>
    <w:p w14:paraId="509E7DD0" w14:textId="04FED2DB" w:rsidR="00072645" w:rsidRPr="00C345C4" w:rsidRDefault="00072645" w:rsidP="000E7FF0">
      <w:pPr>
        <w:pStyle w:val="Titre2"/>
        <w:rPr>
          <w:rFonts w:ascii="Avenir Next LT Pro" w:hAnsi="Avenir Next LT Pro"/>
        </w:rPr>
      </w:pPr>
      <w:bookmarkStart w:id="74" w:name="_Toc163230397"/>
      <w:r w:rsidRPr="00C345C4">
        <w:rPr>
          <w:rFonts w:ascii="Avenir Next LT Pro" w:hAnsi="Avenir Next LT Pro"/>
        </w:rPr>
        <w:t xml:space="preserve">Budget </w:t>
      </w:r>
      <w:r w:rsidR="000F314A" w:rsidRPr="00C345C4">
        <w:rPr>
          <w:rFonts w:ascii="Avenir Next LT Pro" w:hAnsi="Avenir Next LT Pro"/>
        </w:rPr>
        <w:t xml:space="preserve">ventilé </w:t>
      </w:r>
      <w:r w:rsidRPr="00C345C4">
        <w:rPr>
          <w:rFonts w:ascii="Avenir Next LT Pro" w:hAnsi="Avenir Next LT Pro"/>
        </w:rPr>
        <w:t>par catégories UNDG</w:t>
      </w:r>
      <w:bookmarkEnd w:id="74"/>
      <w:r w:rsidRPr="00C345C4">
        <w:rPr>
          <w:rFonts w:ascii="Avenir Next LT Pro" w:hAnsi="Avenir Next LT Pro"/>
        </w:rPr>
        <w:t xml:space="preserve"> </w:t>
      </w:r>
    </w:p>
    <w:p w14:paraId="506C97DD" w14:textId="2F5F7BAE" w:rsidR="00012BDC" w:rsidRPr="00C345C4" w:rsidRDefault="0086520B" w:rsidP="00EF6E8E">
      <w:pPr>
        <w:spacing w:after="120"/>
        <w:jc w:val="both"/>
        <w:rPr>
          <w:rFonts w:ascii="Avenir Next LT Pro" w:hAnsi="Avenir Next LT Pro"/>
          <w:color w:val="3E762A" w:themeColor="accent1" w:themeShade="BF"/>
          <w:lang w:eastAsia="fr-FR"/>
        </w:rPr>
      </w:pPr>
      <w:r w:rsidRPr="00C345C4">
        <w:rPr>
          <w:rFonts w:ascii="Avenir Next LT Pro" w:hAnsi="Avenir Next LT Pro"/>
          <w:color w:val="3E762A" w:themeColor="accent1" w:themeShade="BF"/>
          <w:lang w:eastAsia="fr-FR"/>
        </w:rPr>
        <w:t>Insérer ici le</w:t>
      </w:r>
      <w:r>
        <w:rPr>
          <w:rFonts w:ascii="Avenir Next LT Pro" w:hAnsi="Avenir Next LT Pro"/>
          <w:color w:val="3E762A" w:themeColor="accent1" w:themeShade="BF"/>
          <w:lang w:eastAsia="fr-FR"/>
        </w:rPr>
        <w:t xml:space="preserve"> (ou les)</w:t>
      </w:r>
      <w:r w:rsidRPr="00C345C4">
        <w:rPr>
          <w:rFonts w:ascii="Avenir Next LT Pro" w:hAnsi="Avenir Next LT Pro"/>
          <w:color w:val="3E762A" w:themeColor="accent1" w:themeShade="BF"/>
          <w:lang w:eastAsia="fr-FR"/>
        </w:rPr>
        <w:t xml:space="preserve"> tableau</w:t>
      </w:r>
      <w:r>
        <w:rPr>
          <w:rFonts w:ascii="Avenir Next LT Pro" w:hAnsi="Avenir Next LT Pro"/>
          <w:color w:val="3E762A" w:themeColor="accent1" w:themeShade="BF"/>
          <w:lang w:eastAsia="fr-FR"/>
        </w:rPr>
        <w:t>x</w:t>
      </w:r>
      <w:r w:rsidRPr="00C345C4">
        <w:rPr>
          <w:rFonts w:ascii="Avenir Next LT Pro" w:hAnsi="Avenir Next LT Pro"/>
          <w:color w:val="3E762A" w:themeColor="accent1" w:themeShade="BF"/>
          <w:lang w:eastAsia="fr-FR"/>
        </w:rPr>
        <w:t xml:space="preserve"> présenté</w:t>
      </w:r>
      <w:r>
        <w:rPr>
          <w:rFonts w:ascii="Avenir Next LT Pro" w:hAnsi="Avenir Next LT Pro"/>
          <w:color w:val="3E762A" w:themeColor="accent1" w:themeShade="BF"/>
          <w:lang w:eastAsia="fr-FR"/>
        </w:rPr>
        <w:t>s</w:t>
      </w:r>
      <w:r w:rsidRPr="00C345C4">
        <w:rPr>
          <w:rFonts w:ascii="Avenir Next LT Pro" w:hAnsi="Avenir Next LT Pro"/>
          <w:color w:val="3E762A" w:themeColor="accent1" w:themeShade="BF"/>
          <w:lang w:eastAsia="fr-FR"/>
        </w:rPr>
        <w:t xml:space="preserve"> dans l’onglet </w:t>
      </w:r>
      <w:r>
        <w:rPr>
          <w:rFonts w:ascii="Avenir Next LT Pro" w:hAnsi="Avenir Next LT Pro"/>
          <w:color w:val="3E762A" w:themeColor="accent1" w:themeShade="BF"/>
          <w:lang w:eastAsia="fr-FR"/>
        </w:rPr>
        <w:t>C</w:t>
      </w:r>
      <w:r w:rsidRPr="00C345C4">
        <w:rPr>
          <w:rFonts w:ascii="Avenir Next LT Pro" w:hAnsi="Avenir Next LT Pro"/>
          <w:color w:val="3E762A" w:themeColor="accent1" w:themeShade="BF"/>
          <w:lang w:eastAsia="fr-FR"/>
        </w:rPr>
        <w:t xml:space="preserve"> du fichier Excel du budget</w:t>
      </w:r>
      <w:r w:rsidR="00D649C6">
        <w:rPr>
          <w:rFonts w:ascii="Avenir Next LT Pro" w:hAnsi="Avenir Next LT Pro"/>
          <w:color w:val="3E762A" w:themeColor="accent1" w:themeShade="BF"/>
          <w:lang w:eastAsia="fr-FR"/>
        </w:rPr>
        <w:t xml:space="preserve">. Ne s’applique qu’aux financements CAFI. </w:t>
      </w:r>
    </w:p>
    <w:tbl>
      <w:tblPr>
        <w:tblW w:w="10485" w:type="dxa"/>
        <w:jc w:val="center"/>
        <w:tblLook w:val="04A0" w:firstRow="1" w:lastRow="0" w:firstColumn="1" w:lastColumn="0" w:noHBand="0" w:noVBand="1"/>
      </w:tblPr>
      <w:tblGrid>
        <w:gridCol w:w="704"/>
        <w:gridCol w:w="4678"/>
        <w:gridCol w:w="1843"/>
        <w:gridCol w:w="1701"/>
        <w:gridCol w:w="1559"/>
      </w:tblGrid>
      <w:tr w:rsidR="00012BDC" w:rsidRPr="0085123F" w14:paraId="4AB01A8E" w14:textId="77777777" w:rsidTr="00656EF6">
        <w:trPr>
          <w:cantSplit/>
          <w:jc w:val="center"/>
        </w:trPr>
        <w:tc>
          <w:tcPr>
            <w:tcW w:w="5382" w:type="dxa"/>
            <w:gridSpan w:val="2"/>
            <w:tcBorders>
              <w:top w:val="single" w:sz="4" w:space="0" w:color="000000"/>
              <w:left w:val="single" w:sz="4" w:space="0" w:color="000000"/>
              <w:bottom w:val="nil"/>
              <w:right w:val="double" w:sz="4" w:space="0" w:color="000000"/>
            </w:tcBorders>
            <w:shd w:val="clear" w:color="auto" w:fill="3E762A" w:themeFill="accent1" w:themeFillShade="BF"/>
            <w:noWrap/>
            <w:vAlign w:val="center"/>
            <w:hideMark/>
          </w:tcPr>
          <w:p w14:paraId="710AD3B9" w14:textId="77777777" w:rsidR="00012BDC" w:rsidRPr="0085123F" w:rsidRDefault="00012BDC" w:rsidP="00C60751">
            <w:pPr>
              <w:spacing w:after="0"/>
              <w:jc w:val="center"/>
              <w:rPr>
                <w:rFonts w:ascii="Avenir Next LT Pro" w:hAnsi="Avenir Next LT Pro" w:cs="Calibri"/>
                <w:b/>
                <w:bCs/>
                <w:color w:val="FFFFFF"/>
                <w:sz w:val="20"/>
                <w:szCs w:val="20"/>
              </w:rPr>
            </w:pPr>
            <w:r w:rsidRPr="0085123F">
              <w:rPr>
                <w:rFonts w:ascii="Avenir Next LT Pro" w:hAnsi="Avenir Next LT Pro" w:cs="Calibri"/>
                <w:b/>
                <w:bCs/>
                <w:color w:val="FFFFFF"/>
                <w:sz w:val="20"/>
                <w:szCs w:val="20"/>
              </w:rPr>
              <w:t>CATEGORIES DE BUDGET UNDG</w:t>
            </w:r>
          </w:p>
        </w:tc>
        <w:tc>
          <w:tcPr>
            <w:tcW w:w="1843" w:type="dxa"/>
            <w:tcBorders>
              <w:top w:val="single" w:sz="4" w:space="0" w:color="000000"/>
              <w:left w:val="double" w:sz="4" w:space="0" w:color="000000"/>
              <w:bottom w:val="nil"/>
              <w:right w:val="nil"/>
            </w:tcBorders>
            <w:shd w:val="clear" w:color="auto" w:fill="3E762A" w:themeFill="accent1" w:themeFillShade="BF"/>
            <w:vAlign w:val="center"/>
            <w:hideMark/>
          </w:tcPr>
          <w:p w14:paraId="47694343" w14:textId="77777777" w:rsidR="00012BDC" w:rsidRPr="0085123F" w:rsidRDefault="00012BDC" w:rsidP="00C60751">
            <w:pPr>
              <w:spacing w:after="0"/>
              <w:jc w:val="center"/>
              <w:rPr>
                <w:rFonts w:ascii="Avenir Next LT Pro" w:hAnsi="Avenir Next LT Pro" w:cs="Calibri"/>
                <w:b/>
                <w:bCs/>
                <w:color w:val="FFFFFF"/>
                <w:sz w:val="20"/>
                <w:szCs w:val="20"/>
              </w:rPr>
            </w:pPr>
            <w:r w:rsidRPr="0085123F">
              <w:rPr>
                <w:rFonts w:ascii="Avenir Next LT Pro" w:hAnsi="Avenir Next LT Pro" w:cs="Calibri"/>
                <w:b/>
                <w:bCs/>
                <w:color w:val="FFFFFF"/>
                <w:sz w:val="20"/>
                <w:szCs w:val="20"/>
              </w:rPr>
              <w:t>TOTAL USD</w:t>
            </w:r>
          </w:p>
        </w:tc>
        <w:tc>
          <w:tcPr>
            <w:tcW w:w="1701" w:type="dxa"/>
            <w:tcBorders>
              <w:top w:val="single" w:sz="4" w:space="0" w:color="000000"/>
              <w:left w:val="double" w:sz="4" w:space="0" w:color="000000"/>
              <w:bottom w:val="nil"/>
              <w:right w:val="nil"/>
            </w:tcBorders>
            <w:shd w:val="clear" w:color="auto" w:fill="3E762A" w:themeFill="accent1" w:themeFillShade="BF"/>
          </w:tcPr>
          <w:p w14:paraId="2C464047" w14:textId="77777777" w:rsidR="00012BDC" w:rsidRPr="0085123F" w:rsidRDefault="00012BDC" w:rsidP="00C60751">
            <w:pPr>
              <w:spacing w:after="0"/>
              <w:jc w:val="center"/>
              <w:rPr>
                <w:rFonts w:ascii="Avenir Next LT Pro" w:hAnsi="Avenir Next LT Pro" w:cs="Calibri"/>
                <w:b/>
                <w:bCs/>
                <w:color w:val="FFFFFF"/>
                <w:sz w:val="20"/>
                <w:szCs w:val="20"/>
              </w:rPr>
            </w:pPr>
            <w:r w:rsidRPr="0085123F">
              <w:rPr>
                <w:rFonts w:ascii="Avenir Next LT Pro" w:hAnsi="Avenir Next LT Pro" w:cs="Calibri"/>
                <w:b/>
                <w:bCs/>
                <w:color w:val="FFFFFF"/>
                <w:sz w:val="20"/>
                <w:szCs w:val="20"/>
              </w:rPr>
              <w:t>Tranche 01</w:t>
            </w:r>
          </w:p>
        </w:tc>
        <w:tc>
          <w:tcPr>
            <w:tcW w:w="1559" w:type="dxa"/>
            <w:tcBorders>
              <w:top w:val="single" w:sz="4" w:space="0" w:color="000000"/>
              <w:left w:val="double" w:sz="4" w:space="0" w:color="000000"/>
              <w:bottom w:val="nil"/>
              <w:right w:val="nil"/>
            </w:tcBorders>
            <w:shd w:val="clear" w:color="auto" w:fill="3E762A" w:themeFill="accent1" w:themeFillShade="BF"/>
          </w:tcPr>
          <w:p w14:paraId="1E1C9C97" w14:textId="77777777" w:rsidR="00012BDC" w:rsidRPr="0085123F" w:rsidRDefault="00012BDC" w:rsidP="00C60751">
            <w:pPr>
              <w:spacing w:after="0"/>
              <w:jc w:val="center"/>
              <w:rPr>
                <w:rFonts w:ascii="Avenir Next LT Pro" w:hAnsi="Avenir Next LT Pro" w:cs="Calibri"/>
                <w:b/>
                <w:bCs/>
                <w:color w:val="FFFFFF"/>
                <w:sz w:val="20"/>
                <w:szCs w:val="20"/>
              </w:rPr>
            </w:pPr>
            <w:r w:rsidRPr="0085123F">
              <w:rPr>
                <w:rFonts w:ascii="Avenir Next LT Pro" w:hAnsi="Avenir Next LT Pro" w:cs="Calibri"/>
                <w:b/>
                <w:bCs/>
                <w:color w:val="FFFFFF"/>
                <w:sz w:val="20"/>
                <w:szCs w:val="20"/>
              </w:rPr>
              <w:t>Restant</w:t>
            </w:r>
          </w:p>
        </w:tc>
      </w:tr>
      <w:tr w:rsidR="00A66F15" w:rsidRPr="0085123F" w14:paraId="25CFD69C" w14:textId="77777777" w:rsidTr="00E13D5D">
        <w:trPr>
          <w:cantSplit/>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0F7A149"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1</w:t>
            </w:r>
          </w:p>
        </w:tc>
        <w:tc>
          <w:tcPr>
            <w:tcW w:w="4678" w:type="dxa"/>
            <w:tcBorders>
              <w:top w:val="single" w:sz="4" w:space="0" w:color="000000"/>
              <w:left w:val="nil"/>
              <w:bottom w:val="single" w:sz="4" w:space="0" w:color="000000"/>
              <w:right w:val="double" w:sz="4" w:space="0" w:color="000000"/>
            </w:tcBorders>
            <w:shd w:val="clear" w:color="auto" w:fill="auto"/>
            <w:vAlign w:val="center"/>
            <w:hideMark/>
          </w:tcPr>
          <w:p w14:paraId="16F35659"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Personnels</w:t>
            </w:r>
          </w:p>
        </w:tc>
        <w:tc>
          <w:tcPr>
            <w:tcW w:w="1843" w:type="dxa"/>
            <w:tcBorders>
              <w:top w:val="single" w:sz="4" w:space="0" w:color="000000"/>
              <w:left w:val="double" w:sz="4" w:space="0" w:color="000000"/>
              <w:bottom w:val="single" w:sz="4" w:space="0" w:color="000000"/>
              <w:right w:val="single" w:sz="4" w:space="0" w:color="000000"/>
            </w:tcBorders>
            <w:shd w:val="clear" w:color="auto" w:fill="auto"/>
            <w:vAlign w:val="center"/>
          </w:tcPr>
          <w:p w14:paraId="10444C3B" w14:textId="664F22E7" w:rsidR="00A66F15" w:rsidRPr="00135B29"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488,412 </w:t>
            </w:r>
          </w:p>
        </w:tc>
        <w:tc>
          <w:tcPr>
            <w:tcW w:w="1701" w:type="dxa"/>
            <w:tcBorders>
              <w:top w:val="single" w:sz="4" w:space="0" w:color="000000"/>
              <w:left w:val="double" w:sz="4" w:space="0" w:color="000000"/>
              <w:bottom w:val="single" w:sz="4" w:space="0" w:color="000000"/>
              <w:right w:val="single" w:sz="4" w:space="0" w:color="000000"/>
            </w:tcBorders>
            <w:vAlign w:val="bottom"/>
          </w:tcPr>
          <w:p w14:paraId="272D3A3E" w14:textId="26E1EB9F"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162,804 </w:t>
            </w:r>
          </w:p>
        </w:tc>
        <w:tc>
          <w:tcPr>
            <w:tcW w:w="1559" w:type="dxa"/>
            <w:tcBorders>
              <w:top w:val="single" w:sz="4" w:space="0" w:color="000000"/>
              <w:left w:val="double" w:sz="4" w:space="0" w:color="000000"/>
              <w:bottom w:val="single" w:sz="4" w:space="0" w:color="000000"/>
              <w:right w:val="single" w:sz="4" w:space="0" w:color="000000"/>
            </w:tcBorders>
            <w:vAlign w:val="bottom"/>
          </w:tcPr>
          <w:p w14:paraId="0D2028F4" w14:textId="6EA05D3B"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325,608 </w:t>
            </w:r>
          </w:p>
        </w:tc>
      </w:tr>
      <w:tr w:rsidR="00A66F15" w:rsidRPr="0085123F" w14:paraId="75E56CCC" w14:textId="77777777" w:rsidTr="00E13D5D">
        <w:trPr>
          <w:cantSplit/>
          <w:jc w:val="center"/>
        </w:trPr>
        <w:tc>
          <w:tcPr>
            <w:tcW w:w="704" w:type="dxa"/>
            <w:tcBorders>
              <w:top w:val="nil"/>
              <w:left w:val="single" w:sz="4" w:space="0" w:color="000000"/>
              <w:bottom w:val="single" w:sz="4" w:space="0" w:color="000000"/>
              <w:right w:val="single" w:sz="4" w:space="0" w:color="000000"/>
            </w:tcBorders>
            <w:shd w:val="clear" w:color="auto" w:fill="auto"/>
            <w:noWrap/>
            <w:vAlign w:val="center"/>
            <w:hideMark/>
          </w:tcPr>
          <w:p w14:paraId="3168DA77"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2</w:t>
            </w:r>
          </w:p>
        </w:tc>
        <w:tc>
          <w:tcPr>
            <w:tcW w:w="4678" w:type="dxa"/>
            <w:tcBorders>
              <w:top w:val="nil"/>
              <w:left w:val="nil"/>
              <w:bottom w:val="single" w:sz="4" w:space="0" w:color="000000"/>
              <w:right w:val="double" w:sz="4" w:space="0" w:color="000000"/>
            </w:tcBorders>
            <w:shd w:val="clear" w:color="auto" w:fill="auto"/>
            <w:vAlign w:val="center"/>
            <w:hideMark/>
          </w:tcPr>
          <w:p w14:paraId="1E91DF20"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Fournitures, produits de base, matériaux</w:t>
            </w:r>
          </w:p>
        </w:tc>
        <w:tc>
          <w:tcPr>
            <w:tcW w:w="1843" w:type="dxa"/>
            <w:tcBorders>
              <w:top w:val="nil"/>
              <w:left w:val="double" w:sz="4" w:space="0" w:color="000000"/>
              <w:bottom w:val="single" w:sz="4" w:space="0" w:color="000000"/>
              <w:right w:val="single" w:sz="4" w:space="0" w:color="000000"/>
            </w:tcBorders>
            <w:shd w:val="clear" w:color="auto" w:fill="auto"/>
            <w:vAlign w:val="center"/>
            <w:hideMark/>
          </w:tcPr>
          <w:p w14:paraId="5D298492" w14:textId="210F9843" w:rsidR="00A66F15" w:rsidRPr="00135B29"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762,000 </w:t>
            </w:r>
          </w:p>
        </w:tc>
        <w:tc>
          <w:tcPr>
            <w:tcW w:w="1701" w:type="dxa"/>
            <w:tcBorders>
              <w:top w:val="nil"/>
              <w:left w:val="double" w:sz="4" w:space="0" w:color="000000"/>
              <w:bottom w:val="single" w:sz="4" w:space="0" w:color="000000"/>
              <w:right w:val="single" w:sz="4" w:space="0" w:color="000000"/>
            </w:tcBorders>
            <w:vAlign w:val="bottom"/>
          </w:tcPr>
          <w:p w14:paraId="1CCFCCDA" w14:textId="0F2ACB73"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446,939 </w:t>
            </w:r>
          </w:p>
        </w:tc>
        <w:tc>
          <w:tcPr>
            <w:tcW w:w="1559" w:type="dxa"/>
            <w:tcBorders>
              <w:top w:val="nil"/>
              <w:left w:val="double" w:sz="4" w:space="0" w:color="000000"/>
              <w:bottom w:val="single" w:sz="4" w:space="0" w:color="000000"/>
              <w:right w:val="single" w:sz="4" w:space="0" w:color="000000"/>
            </w:tcBorders>
            <w:vAlign w:val="bottom"/>
          </w:tcPr>
          <w:p w14:paraId="6AF28BAD" w14:textId="504904B9"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315,061 </w:t>
            </w:r>
          </w:p>
        </w:tc>
      </w:tr>
      <w:tr w:rsidR="00A66F15" w:rsidRPr="0085123F" w14:paraId="252F7B6E" w14:textId="77777777" w:rsidTr="00E13D5D">
        <w:trPr>
          <w:cantSplit/>
          <w:jc w:val="center"/>
        </w:trPr>
        <w:tc>
          <w:tcPr>
            <w:tcW w:w="704" w:type="dxa"/>
            <w:tcBorders>
              <w:top w:val="nil"/>
              <w:left w:val="single" w:sz="4" w:space="0" w:color="000000"/>
              <w:bottom w:val="single" w:sz="4" w:space="0" w:color="000000"/>
              <w:right w:val="single" w:sz="4" w:space="0" w:color="000000"/>
            </w:tcBorders>
            <w:shd w:val="clear" w:color="auto" w:fill="auto"/>
            <w:noWrap/>
            <w:vAlign w:val="center"/>
            <w:hideMark/>
          </w:tcPr>
          <w:p w14:paraId="7D8BBF2C"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3</w:t>
            </w:r>
          </w:p>
        </w:tc>
        <w:tc>
          <w:tcPr>
            <w:tcW w:w="4678" w:type="dxa"/>
            <w:tcBorders>
              <w:top w:val="nil"/>
              <w:left w:val="nil"/>
              <w:bottom w:val="single" w:sz="4" w:space="0" w:color="000000"/>
              <w:right w:val="double" w:sz="4" w:space="0" w:color="000000"/>
            </w:tcBorders>
            <w:shd w:val="clear" w:color="auto" w:fill="auto"/>
            <w:vAlign w:val="center"/>
            <w:hideMark/>
          </w:tcPr>
          <w:p w14:paraId="7531FEEE"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Equipements, véhicules et mobilier (y compris l'amortissement)</w:t>
            </w:r>
          </w:p>
        </w:tc>
        <w:tc>
          <w:tcPr>
            <w:tcW w:w="1843" w:type="dxa"/>
            <w:tcBorders>
              <w:top w:val="nil"/>
              <w:left w:val="double" w:sz="4" w:space="0" w:color="000000"/>
              <w:bottom w:val="single" w:sz="4" w:space="0" w:color="000000"/>
              <w:right w:val="single" w:sz="4" w:space="0" w:color="000000"/>
            </w:tcBorders>
            <w:shd w:val="clear" w:color="auto" w:fill="auto"/>
            <w:vAlign w:val="center"/>
            <w:hideMark/>
          </w:tcPr>
          <w:p w14:paraId="1A0DEBB8" w14:textId="5EDCD2EE" w:rsidR="00A66F15" w:rsidRPr="00135B29"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189,826 </w:t>
            </w:r>
          </w:p>
        </w:tc>
        <w:tc>
          <w:tcPr>
            <w:tcW w:w="1701" w:type="dxa"/>
            <w:tcBorders>
              <w:top w:val="nil"/>
              <w:left w:val="double" w:sz="4" w:space="0" w:color="000000"/>
              <w:bottom w:val="single" w:sz="4" w:space="0" w:color="000000"/>
              <w:right w:val="single" w:sz="4" w:space="0" w:color="000000"/>
            </w:tcBorders>
            <w:vAlign w:val="bottom"/>
          </w:tcPr>
          <w:p w14:paraId="2318C40B" w14:textId="5CC8FB32"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169,826 </w:t>
            </w:r>
          </w:p>
        </w:tc>
        <w:tc>
          <w:tcPr>
            <w:tcW w:w="1559" w:type="dxa"/>
            <w:tcBorders>
              <w:top w:val="nil"/>
              <w:left w:val="double" w:sz="4" w:space="0" w:color="000000"/>
              <w:bottom w:val="single" w:sz="4" w:space="0" w:color="000000"/>
              <w:right w:val="single" w:sz="4" w:space="0" w:color="000000"/>
            </w:tcBorders>
            <w:vAlign w:val="bottom"/>
          </w:tcPr>
          <w:p w14:paraId="08259771" w14:textId="6EFCA577"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20,000 </w:t>
            </w:r>
          </w:p>
        </w:tc>
      </w:tr>
      <w:tr w:rsidR="00A66F15" w:rsidRPr="0085123F" w14:paraId="3851F641" w14:textId="77777777" w:rsidTr="00E13D5D">
        <w:trPr>
          <w:cantSplit/>
          <w:jc w:val="center"/>
        </w:trPr>
        <w:tc>
          <w:tcPr>
            <w:tcW w:w="704" w:type="dxa"/>
            <w:tcBorders>
              <w:top w:val="nil"/>
              <w:left w:val="single" w:sz="4" w:space="0" w:color="000000"/>
              <w:bottom w:val="single" w:sz="4" w:space="0" w:color="000000"/>
              <w:right w:val="single" w:sz="4" w:space="0" w:color="000000"/>
            </w:tcBorders>
            <w:shd w:val="clear" w:color="auto" w:fill="auto"/>
            <w:noWrap/>
            <w:vAlign w:val="center"/>
            <w:hideMark/>
          </w:tcPr>
          <w:p w14:paraId="299EF956"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4</w:t>
            </w:r>
          </w:p>
        </w:tc>
        <w:tc>
          <w:tcPr>
            <w:tcW w:w="4678" w:type="dxa"/>
            <w:tcBorders>
              <w:top w:val="nil"/>
              <w:left w:val="nil"/>
              <w:bottom w:val="single" w:sz="4" w:space="0" w:color="000000"/>
              <w:right w:val="double" w:sz="4" w:space="0" w:color="000000"/>
            </w:tcBorders>
            <w:shd w:val="clear" w:color="auto" w:fill="auto"/>
            <w:vAlign w:val="center"/>
            <w:hideMark/>
          </w:tcPr>
          <w:p w14:paraId="52D031EE"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Services contractuels</w:t>
            </w:r>
          </w:p>
        </w:tc>
        <w:tc>
          <w:tcPr>
            <w:tcW w:w="1843" w:type="dxa"/>
            <w:tcBorders>
              <w:top w:val="nil"/>
              <w:left w:val="double" w:sz="4" w:space="0" w:color="000000"/>
              <w:bottom w:val="single" w:sz="4" w:space="0" w:color="000000"/>
              <w:right w:val="single" w:sz="4" w:space="0" w:color="000000"/>
            </w:tcBorders>
            <w:shd w:val="clear" w:color="auto" w:fill="auto"/>
            <w:vAlign w:val="center"/>
            <w:hideMark/>
          </w:tcPr>
          <w:p w14:paraId="18186190" w14:textId="61871CF3" w:rsidR="00A66F15" w:rsidRPr="00135B29"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719,000 </w:t>
            </w:r>
          </w:p>
        </w:tc>
        <w:tc>
          <w:tcPr>
            <w:tcW w:w="1701" w:type="dxa"/>
            <w:tcBorders>
              <w:top w:val="nil"/>
              <w:left w:val="double" w:sz="4" w:space="0" w:color="000000"/>
              <w:bottom w:val="single" w:sz="4" w:space="0" w:color="000000"/>
              <w:right w:val="single" w:sz="4" w:space="0" w:color="000000"/>
            </w:tcBorders>
            <w:vAlign w:val="bottom"/>
          </w:tcPr>
          <w:p w14:paraId="7A638C94" w14:textId="7A1DDAAF"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451,800 </w:t>
            </w:r>
          </w:p>
        </w:tc>
        <w:tc>
          <w:tcPr>
            <w:tcW w:w="1559" w:type="dxa"/>
            <w:tcBorders>
              <w:top w:val="nil"/>
              <w:left w:val="double" w:sz="4" w:space="0" w:color="000000"/>
              <w:bottom w:val="single" w:sz="4" w:space="0" w:color="000000"/>
              <w:right w:val="single" w:sz="4" w:space="0" w:color="000000"/>
            </w:tcBorders>
            <w:vAlign w:val="bottom"/>
          </w:tcPr>
          <w:p w14:paraId="5814FD9B" w14:textId="706E3E0A"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267,200 </w:t>
            </w:r>
          </w:p>
        </w:tc>
      </w:tr>
      <w:tr w:rsidR="00A66F15" w:rsidRPr="0085123F" w14:paraId="5ACC92E5" w14:textId="77777777" w:rsidTr="00E13D5D">
        <w:trPr>
          <w:cantSplit/>
          <w:jc w:val="center"/>
        </w:trPr>
        <w:tc>
          <w:tcPr>
            <w:tcW w:w="704" w:type="dxa"/>
            <w:tcBorders>
              <w:top w:val="nil"/>
              <w:left w:val="single" w:sz="4" w:space="0" w:color="000000"/>
              <w:bottom w:val="single" w:sz="4" w:space="0" w:color="000000"/>
              <w:right w:val="single" w:sz="4" w:space="0" w:color="000000"/>
            </w:tcBorders>
            <w:shd w:val="clear" w:color="auto" w:fill="auto"/>
            <w:noWrap/>
            <w:vAlign w:val="center"/>
            <w:hideMark/>
          </w:tcPr>
          <w:p w14:paraId="3B60F860"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5</w:t>
            </w:r>
          </w:p>
        </w:tc>
        <w:tc>
          <w:tcPr>
            <w:tcW w:w="4678" w:type="dxa"/>
            <w:tcBorders>
              <w:top w:val="nil"/>
              <w:left w:val="nil"/>
              <w:bottom w:val="single" w:sz="4" w:space="0" w:color="000000"/>
              <w:right w:val="double" w:sz="4" w:space="0" w:color="000000"/>
            </w:tcBorders>
            <w:shd w:val="clear" w:color="auto" w:fill="auto"/>
            <w:vAlign w:val="center"/>
            <w:hideMark/>
          </w:tcPr>
          <w:p w14:paraId="12254FC6"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 xml:space="preserve">Voyages </w:t>
            </w:r>
          </w:p>
        </w:tc>
        <w:tc>
          <w:tcPr>
            <w:tcW w:w="1843" w:type="dxa"/>
            <w:tcBorders>
              <w:top w:val="nil"/>
              <w:left w:val="double" w:sz="4" w:space="0" w:color="000000"/>
              <w:bottom w:val="single" w:sz="4" w:space="0" w:color="000000"/>
              <w:right w:val="single" w:sz="4" w:space="0" w:color="000000"/>
            </w:tcBorders>
            <w:shd w:val="clear" w:color="auto" w:fill="auto"/>
            <w:vAlign w:val="center"/>
            <w:hideMark/>
          </w:tcPr>
          <w:p w14:paraId="3C720AB0" w14:textId="2BDF4F52" w:rsidR="00A66F15" w:rsidRPr="00135B29"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542,500 </w:t>
            </w:r>
          </w:p>
        </w:tc>
        <w:tc>
          <w:tcPr>
            <w:tcW w:w="1701" w:type="dxa"/>
            <w:tcBorders>
              <w:top w:val="nil"/>
              <w:left w:val="double" w:sz="4" w:space="0" w:color="000000"/>
              <w:bottom w:val="single" w:sz="4" w:space="0" w:color="000000"/>
              <w:right w:val="single" w:sz="4" w:space="0" w:color="000000"/>
            </w:tcBorders>
            <w:vAlign w:val="bottom"/>
          </w:tcPr>
          <w:p w14:paraId="7E10DEC5" w14:textId="593A65F5"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122,500 </w:t>
            </w:r>
          </w:p>
        </w:tc>
        <w:tc>
          <w:tcPr>
            <w:tcW w:w="1559" w:type="dxa"/>
            <w:tcBorders>
              <w:top w:val="nil"/>
              <w:left w:val="double" w:sz="4" w:space="0" w:color="000000"/>
              <w:bottom w:val="single" w:sz="4" w:space="0" w:color="000000"/>
              <w:right w:val="single" w:sz="4" w:space="0" w:color="000000"/>
            </w:tcBorders>
            <w:vAlign w:val="bottom"/>
          </w:tcPr>
          <w:p w14:paraId="683F2DCA" w14:textId="03494CF0"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420,000 </w:t>
            </w:r>
          </w:p>
        </w:tc>
      </w:tr>
      <w:tr w:rsidR="00A66F15" w:rsidRPr="0085123F" w14:paraId="393D9D01" w14:textId="77777777" w:rsidTr="00E13D5D">
        <w:trPr>
          <w:cantSplit/>
          <w:jc w:val="center"/>
        </w:trPr>
        <w:tc>
          <w:tcPr>
            <w:tcW w:w="704" w:type="dxa"/>
            <w:tcBorders>
              <w:top w:val="nil"/>
              <w:left w:val="single" w:sz="4" w:space="0" w:color="000000"/>
              <w:bottom w:val="single" w:sz="4" w:space="0" w:color="000000"/>
              <w:right w:val="single" w:sz="4" w:space="0" w:color="000000"/>
            </w:tcBorders>
            <w:shd w:val="clear" w:color="auto" w:fill="auto"/>
            <w:noWrap/>
            <w:vAlign w:val="center"/>
            <w:hideMark/>
          </w:tcPr>
          <w:p w14:paraId="752C4656"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6</w:t>
            </w:r>
          </w:p>
        </w:tc>
        <w:tc>
          <w:tcPr>
            <w:tcW w:w="4678" w:type="dxa"/>
            <w:tcBorders>
              <w:top w:val="nil"/>
              <w:left w:val="nil"/>
              <w:bottom w:val="single" w:sz="4" w:space="0" w:color="000000"/>
              <w:right w:val="double" w:sz="4" w:space="0" w:color="000000"/>
            </w:tcBorders>
            <w:shd w:val="clear" w:color="auto" w:fill="auto"/>
            <w:vAlign w:val="center"/>
            <w:hideMark/>
          </w:tcPr>
          <w:p w14:paraId="3E9347B4"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Transferts et subventions aux contreparties</w:t>
            </w:r>
          </w:p>
        </w:tc>
        <w:tc>
          <w:tcPr>
            <w:tcW w:w="1843" w:type="dxa"/>
            <w:tcBorders>
              <w:top w:val="nil"/>
              <w:left w:val="double" w:sz="4" w:space="0" w:color="000000"/>
              <w:bottom w:val="single" w:sz="4" w:space="0" w:color="000000"/>
              <w:right w:val="single" w:sz="4" w:space="0" w:color="000000"/>
            </w:tcBorders>
            <w:shd w:val="clear" w:color="auto" w:fill="auto"/>
            <w:vAlign w:val="center"/>
            <w:hideMark/>
          </w:tcPr>
          <w:p w14:paraId="3332A4F9" w14:textId="30F2D67B" w:rsidR="00A66F15" w:rsidRPr="00135B29"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   </w:t>
            </w:r>
          </w:p>
        </w:tc>
        <w:tc>
          <w:tcPr>
            <w:tcW w:w="1701" w:type="dxa"/>
            <w:tcBorders>
              <w:top w:val="nil"/>
              <w:left w:val="double" w:sz="4" w:space="0" w:color="000000"/>
              <w:bottom w:val="single" w:sz="4" w:space="0" w:color="000000"/>
              <w:right w:val="single" w:sz="4" w:space="0" w:color="000000"/>
            </w:tcBorders>
            <w:vAlign w:val="bottom"/>
          </w:tcPr>
          <w:p w14:paraId="38EFC378" w14:textId="5EF8A1A1"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   </w:t>
            </w:r>
          </w:p>
        </w:tc>
        <w:tc>
          <w:tcPr>
            <w:tcW w:w="1559" w:type="dxa"/>
            <w:tcBorders>
              <w:top w:val="nil"/>
              <w:left w:val="double" w:sz="4" w:space="0" w:color="000000"/>
              <w:bottom w:val="single" w:sz="4" w:space="0" w:color="000000"/>
              <w:right w:val="single" w:sz="4" w:space="0" w:color="000000"/>
            </w:tcBorders>
            <w:vAlign w:val="bottom"/>
          </w:tcPr>
          <w:p w14:paraId="612A925B" w14:textId="2E194730"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   </w:t>
            </w:r>
          </w:p>
        </w:tc>
      </w:tr>
      <w:tr w:rsidR="00A66F15" w:rsidRPr="0085123F" w14:paraId="72D78245" w14:textId="77777777" w:rsidTr="00E13D5D">
        <w:trPr>
          <w:cantSplit/>
          <w:jc w:val="center"/>
        </w:trPr>
        <w:tc>
          <w:tcPr>
            <w:tcW w:w="704" w:type="dxa"/>
            <w:tcBorders>
              <w:top w:val="nil"/>
              <w:left w:val="single" w:sz="4" w:space="0" w:color="000000"/>
              <w:bottom w:val="single" w:sz="4" w:space="0" w:color="000000"/>
              <w:right w:val="single" w:sz="4" w:space="0" w:color="000000"/>
            </w:tcBorders>
            <w:shd w:val="clear" w:color="auto" w:fill="auto"/>
            <w:noWrap/>
            <w:vAlign w:val="center"/>
            <w:hideMark/>
          </w:tcPr>
          <w:p w14:paraId="0BBCF114"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7</w:t>
            </w:r>
          </w:p>
        </w:tc>
        <w:tc>
          <w:tcPr>
            <w:tcW w:w="4678" w:type="dxa"/>
            <w:tcBorders>
              <w:top w:val="nil"/>
              <w:left w:val="nil"/>
              <w:bottom w:val="single" w:sz="4" w:space="0" w:color="000000"/>
              <w:right w:val="double" w:sz="4" w:space="0" w:color="000000"/>
            </w:tcBorders>
            <w:shd w:val="clear" w:color="auto" w:fill="auto"/>
            <w:vAlign w:val="center"/>
            <w:hideMark/>
          </w:tcPr>
          <w:p w14:paraId="6A794B34"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Coûts généraux de fonctionnement et autres coûts directs</w:t>
            </w:r>
          </w:p>
        </w:tc>
        <w:tc>
          <w:tcPr>
            <w:tcW w:w="1843" w:type="dxa"/>
            <w:tcBorders>
              <w:top w:val="nil"/>
              <w:left w:val="double" w:sz="4" w:space="0" w:color="000000"/>
              <w:bottom w:val="single" w:sz="4" w:space="0" w:color="000000"/>
              <w:right w:val="single" w:sz="4" w:space="0" w:color="000000"/>
            </w:tcBorders>
            <w:shd w:val="clear" w:color="auto" w:fill="auto"/>
            <w:vAlign w:val="center"/>
            <w:hideMark/>
          </w:tcPr>
          <w:p w14:paraId="4A46F9E8" w14:textId="7A518058" w:rsidR="00A66F15" w:rsidRPr="00135B29"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102,000 </w:t>
            </w:r>
          </w:p>
        </w:tc>
        <w:tc>
          <w:tcPr>
            <w:tcW w:w="1701" w:type="dxa"/>
            <w:tcBorders>
              <w:top w:val="nil"/>
              <w:left w:val="double" w:sz="4" w:space="0" w:color="000000"/>
              <w:bottom w:val="single" w:sz="4" w:space="0" w:color="000000"/>
              <w:right w:val="single" w:sz="4" w:space="0" w:color="000000"/>
            </w:tcBorders>
            <w:vAlign w:val="bottom"/>
          </w:tcPr>
          <w:p w14:paraId="1FEE2854" w14:textId="362D26DE"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47,999 </w:t>
            </w:r>
          </w:p>
        </w:tc>
        <w:tc>
          <w:tcPr>
            <w:tcW w:w="1559" w:type="dxa"/>
            <w:tcBorders>
              <w:top w:val="nil"/>
              <w:left w:val="double" w:sz="4" w:space="0" w:color="000000"/>
              <w:bottom w:val="single" w:sz="4" w:space="0" w:color="000000"/>
              <w:right w:val="single" w:sz="4" w:space="0" w:color="000000"/>
            </w:tcBorders>
            <w:vAlign w:val="bottom"/>
          </w:tcPr>
          <w:p w14:paraId="0E8DD956" w14:textId="3F9B8697"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54,001 </w:t>
            </w:r>
          </w:p>
        </w:tc>
      </w:tr>
      <w:tr w:rsidR="001D3054" w:rsidRPr="0085123F" w14:paraId="747EC963" w14:textId="77777777" w:rsidTr="0085123F">
        <w:trPr>
          <w:cantSplit/>
          <w:jc w:val="center"/>
        </w:trPr>
        <w:tc>
          <w:tcPr>
            <w:tcW w:w="5382" w:type="dxa"/>
            <w:gridSpan w:val="2"/>
            <w:tcBorders>
              <w:top w:val="nil"/>
              <w:left w:val="single" w:sz="4" w:space="0" w:color="000000"/>
              <w:bottom w:val="single" w:sz="4" w:space="0" w:color="000000"/>
              <w:right w:val="double" w:sz="4" w:space="0" w:color="000000"/>
            </w:tcBorders>
            <w:shd w:val="clear" w:color="auto" w:fill="DAEFD3" w:themeFill="accent1" w:themeFillTint="33"/>
            <w:noWrap/>
            <w:vAlign w:val="center"/>
          </w:tcPr>
          <w:p w14:paraId="50AD7C96" w14:textId="77777777" w:rsidR="001D3054" w:rsidRPr="0085123F" w:rsidRDefault="001D3054" w:rsidP="001D3054">
            <w:pPr>
              <w:spacing w:after="0"/>
              <w:rPr>
                <w:rFonts w:ascii="Avenir Next LT Pro" w:hAnsi="Avenir Next LT Pro" w:cs="Calibri"/>
                <w:color w:val="000000"/>
                <w:sz w:val="20"/>
                <w:szCs w:val="20"/>
              </w:rPr>
            </w:pPr>
            <w:r w:rsidRPr="0085123F">
              <w:rPr>
                <w:rFonts w:ascii="Avenir Next LT Pro" w:hAnsi="Avenir Next LT Pro" w:cs="Calibri"/>
                <w:b/>
                <w:bCs/>
                <w:i/>
                <w:iCs/>
                <w:color w:val="000000"/>
                <w:sz w:val="20"/>
                <w:szCs w:val="20"/>
              </w:rPr>
              <w:t>Total des Coûts Directs (USD)</w:t>
            </w:r>
          </w:p>
        </w:tc>
        <w:tc>
          <w:tcPr>
            <w:tcW w:w="1843" w:type="dxa"/>
            <w:tcBorders>
              <w:top w:val="nil"/>
              <w:left w:val="double" w:sz="4" w:space="0" w:color="000000"/>
              <w:bottom w:val="single" w:sz="4" w:space="0" w:color="000000"/>
              <w:right w:val="single" w:sz="4" w:space="0" w:color="000000"/>
            </w:tcBorders>
            <w:shd w:val="clear" w:color="auto" w:fill="DAEFD3" w:themeFill="accent1" w:themeFillTint="33"/>
            <w:vAlign w:val="center"/>
          </w:tcPr>
          <w:p w14:paraId="5C7398E0" w14:textId="77777777" w:rsidR="00135B29" w:rsidRPr="00E13D5D" w:rsidRDefault="00135B29" w:rsidP="00135B29">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2,803,738 </w:t>
            </w:r>
          </w:p>
          <w:p w14:paraId="2A917982" w14:textId="77777777" w:rsidR="001D3054" w:rsidRPr="00135B29" w:rsidRDefault="001D3054" w:rsidP="001D3054">
            <w:pPr>
              <w:spacing w:after="0"/>
              <w:jc w:val="center"/>
              <w:rPr>
                <w:rFonts w:ascii="Avenir Next LT Pro" w:hAnsi="Avenir Next LT Pro" w:cs="Arial"/>
                <w:color w:val="000000"/>
                <w:sz w:val="20"/>
                <w:szCs w:val="20"/>
              </w:rPr>
            </w:pPr>
          </w:p>
        </w:tc>
        <w:tc>
          <w:tcPr>
            <w:tcW w:w="1701" w:type="dxa"/>
            <w:tcBorders>
              <w:top w:val="nil"/>
              <w:left w:val="double" w:sz="4" w:space="0" w:color="000000"/>
              <w:bottom w:val="single" w:sz="4" w:space="0" w:color="000000"/>
              <w:right w:val="single" w:sz="4" w:space="0" w:color="000000"/>
            </w:tcBorders>
            <w:shd w:val="clear" w:color="auto" w:fill="DAEFD3" w:themeFill="accent1" w:themeFillTint="33"/>
          </w:tcPr>
          <w:p w14:paraId="4FE39BA2" w14:textId="77777777"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1,401,868 </w:t>
            </w:r>
          </w:p>
          <w:p w14:paraId="29EF4319" w14:textId="07A879A9" w:rsidR="001D3054" w:rsidRPr="00E13D5D" w:rsidRDefault="001D3054" w:rsidP="001D3054">
            <w:pPr>
              <w:spacing w:after="0"/>
              <w:jc w:val="center"/>
              <w:rPr>
                <w:rFonts w:ascii="Avenir Next LT Pro" w:hAnsi="Avenir Next LT Pro" w:cs="Arial"/>
                <w:color w:val="000000"/>
                <w:sz w:val="20"/>
                <w:szCs w:val="20"/>
              </w:rPr>
            </w:pPr>
          </w:p>
        </w:tc>
        <w:tc>
          <w:tcPr>
            <w:tcW w:w="1559" w:type="dxa"/>
            <w:tcBorders>
              <w:top w:val="nil"/>
              <w:left w:val="double" w:sz="4" w:space="0" w:color="000000"/>
              <w:bottom w:val="single" w:sz="4" w:space="0" w:color="000000"/>
              <w:right w:val="single" w:sz="4" w:space="0" w:color="000000"/>
            </w:tcBorders>
            <w:shd w:val="clear" w:color="auto" w:fill="DAEFD3" w:themeFill="accent1" w:themeFillTint="33"/>
          </w:tcPr>
          <w:p w14:paraId="5C485581" w14:textId="77777777"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1,401,870 </w:t>
            </w:r>
          </w:p>
          <w:p w14:paraId="5AEDEBE0" w14:textId="26CC810E" w:rsidR="001D3054" w:rsidRPr="00E13D5D" w:rsidRDefault="001D3054" w:rsidP="001D3054">
            <w:pPr>
              <w:spacing w:after="0"/>
              <w:jc w:val="center"/>
              <w:rPr>
                <w:rFonts w:ascii="Avenir Next LT Pro" w:hAnsi="Avenir Next LT Pro" w:cs="Arial"/>
                <w:color w:val="000000"/>
                <w:sz w:val="20"/>
                <w:szCs w:val="20"/>
              </w:rPr>
            </w:pPr>
          </w:p>
        </w:tc>
      </w:tr>
      <w:tr w:rsidR="00A66F15" w:rsidRPr="0085123F" w14:paraId="2FD10D4A" w14:textId="77777777" w:rsidTr="00E13D5D">
        <w:trPr>
          <w:cantSplit/>
          <w:jc w:val="center"/>
        </w:trPr>
        <w:tc>
          <w:tcPr>
            <w:tcW w:w="704" w:type="dxa"/>
            <w:tcBorders>
              <w:top w:val="nil"/>
              <w:left w:val="single" w:sz="4" w:space="0" w:color="000000"/>
              <w:bottom w:val="single" w:sz="4" w:space="0" w:color="000000"/>
              <w:right w:val="single" w:sz="4" w:space="0" w:color="000000"/>
            </w:tcBorders>
            <w:shd w:val="clear" w:color="auto" w:fill="auto"/>
            <w:noWrap/>
            <w:vAlign w:val="center"/>
            <w:hideMark/>
          </w:tcPr>
          <w:p w14:paraId="3F00D313" w14:textId="77777777" w:rsidR="00A66F15" w:rsidRPr="0085123F" w:rsidRDefault="00A66F15" w:rsidP="00A66F15">
            <w:pPr>
              <w:spacing w:after="0"/>
              <w:jc w:val="center"/>
              <w:rPr>
                <w:rFonts w:ascii="Avenir Next LT Pro" w:hAnsi="Avenir Next LT Pro" w:cs="Calibri"/>
                <w:color w:val="000000"/>
                <w:sz w:val="20"/>
                <w:szCs w:val="20"/>
              </w:rPr>
            </w:pPr>
            <w:r w:rsidRPr="0085123F">
              <w:rPr>
                <w:rFonts w:ascii="Avenir Next LT Pro" w:hAnsi="Avenir Next LT Pro" w:cs="Calibri"/>
                <w:color w:val="000000"/>
                <w:sz w:val="20"/>
                <w:szCs w:val="20"/>
              </w:rPr>
              <w:t>8</w:t>
            </w:r>
          </w:p>
        </w:tc>
        <w:tc>
          <w:tcPr>
            <w:tcW w:w="4678" w:type="dxa"/>
            <w:tcBorders>
              <w:top w:val="nil"/>
              <w:left w:val="nil"/>
              <w:bottom w:val="single" w:sz="4" w:space="0" w:color="000000"/>
              <w:right w:val="double" w:sz="4" w:space="0" w:color="000000"/>
            </w:tcBorders>
            <w:shd w:val="clear" w:color="auto" w:fill="auto"/>
            <w:hideMark/>
          </w:tcPr>
          <w:p w14:paraId="1DAE6056"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color w:val="000000"/>
                <w:sz w:val="20"/>
                <w:szCs w:val="20"/>
              </w:rPr>
              <w:t xml:space="preserve">Coûts de soutien indirects (Max. 7 %) </w:t>
            </w:r>
          </w:p>
        </w:tc>
        <w:tc>
          <w:tcPr>
            <w:tcW w:w="1843" w:type="dxa"/>
            <w:tcBorders>
              <w:top w:val="nil"/>
              <w:left w:val="double" w:sz="4" w:space="0" w:color="000000"/>
              <w:bottom w:val="single" w:sz="4" w:space="0" w:color="000000"/>
              <w:right w:val="single" w:sz="4" w:space="0" w:color="000000"/>
            </w:tcBorders>
            <w:shd w:val="clear" w:color="auto" w:fill="auto"/>
            <w:vAlign w:val="center"/>
            <w:hideMark/>
          </w:tcPr>
          <w:p w14:paraId="225223CE" w14:textId="77777777"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196,262 </w:t>
            </w:r>
          </w:p>
          <w:p w14:paraId="45B29451" w14:textId="5DC837EB" w:rsidR="00A66F15" w:rsidRPr="0085123F" w:rsidRDefault="00A66F15" w:rsidP="00A66F15">
            <w:pPr>
              <w:spacing w:after="0"/>
              <w:jc w:val="center"/>
              <w:rPr>
                <w:rFonts w:ascii="Avenir Next LT Pro" w:hAnsi="Avenir Next LT Pro" w:cs="Calibri"/>
                <w:bCs/>
                <w:color w:val="000000"/>
                <w:sz w:val="20"/>
                <w:szCs w:val="20"/>
              </w:rPr>
            </w:pPr>
          </w:p>
        </w:tc>
        <w:tc>
          <w:tcPr>
            <w:tcW w:w="1701" w:type="dxa"/>
            <w:tcBorders>
              <w:top w:val="nil"/>
              <w:left w:val="double" w:sz="4" w:space="0" w:color="000000"/>
              <w:bottom w:val="single" w:sz="4" w:space="0" w:color="000000"/>
              <w:right w:val="single" w:sz="4" w:space="0" w:color="000000"/>
            </w:tcBorders>
            <w:vAlign w:val="bottom"/>
          </w:tcPr>
          <w:p w14:paraId="6EF0AF6E" w14:textId="54C7022A"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98,130.78 </w:t>
            </w:r>
          </w:p>
        </w:tc>
        <w:tc>
          <w:tcPr>
            <w:tcW w:w="1559" w:type="dxa"/>
            <w:tcBorders>
              <w:top w:val="nil"/>
              <w:left w:val="double" w:sz="4" w:space="0" w:color="000000"/>
              <w:bottom w:val="single" w:sz="4" w:space="0" w:color="000000"/>
              <w:right w:val="single" w:sz="4" w:space="0" w:color="000000"/>
            </w:tcBorders>
            <w:vAlign w:val="bottom"/>
          </w:tcPr>
          <w:p w14:paraId="2286FE28" w14:textId="46F22914" w:rsidR="00A66F15" w:rsidRPr="00E13D5D" w:rsidRDefault="00A66F15" w:rsidP="00A66F15">
            <w:pPr>
              <w:spacing w:after="0"/>
              <w:jc w:val="center"/>
              <w:rPr>
                <w:rFonts w:ascii="Avenir Next LT Pro" w:hAnsi="Avenir Next LT Pro" w:cs="Arial"/>
                <w:color w:val="000000"/>
                <w:sz w:val="20"/>
                <w:szCs w:val="20"/>
              </w:rPr>
            </w:pPr>
            <w:r w:rsidRPr="00E13D5D">
              <w:rPr>
                <w:rFonts w:ascii="Avenir Next LT Pro" w:hAnsi="Avenir Next LT Pro" w:cs="Arial"/>
                <w:color w:val="000000"/>
                <w:sz w:val="20"/>
                <w:szCs w:val="20"/>
              </w:rPr>
              <w:t xml:space="preserve">                   98,131 </w:t>
            </w:r>
          </w:p>
        </w:tc>
      </w:tr>
      <w:tr w:rsidR="00A66F15" w:rsidRPr="0085123F" w14:paraId="0033B896" w14:textId="77777777" w:rsidTr="00E13D5D">
        <w:trPr>
          <w:cantSplit/>
          <w:jc w:val="center"/>
        </w:trPr>
        <w:tc>
          <w:tcPr>
            <w:tcW w:w="5382" w:type="dxa"/>
            <w:gridSpan w:val="2"/>
            <w:tcBorders>
              <w:top w:val="nil"/>
              <w:left w:val="single" w:sz="4" w:space="0" w:color="000000"/>
              <w:bottom w:val="single" w:sz="4" w:space="0" w:color="000000"/>
              <w:right w:val="double" w:sz="4" w:space="0" w:color="000000"/>
            </w:tcBorders>
            <w:shd w:val="clear" w:color="auto" w:fill="DAEFD3" w:themeFill="accent1" w:themeFillTint="33"/>
            <w:noWrap/>
            <w:vAlign w:val="center"/>
          </w:tcPr>
          <w:p w14:paraId="01F791AD" w14:textId="77777777" w:rsidR="00A66F15" w:rsidRPr="0085123F" w:rsidRDefault="00A66F15" w:rsidP="00A66F15">
            <w:pPr>
              <w:spacing w:after="0"/>
              <w:rPr>
                <w:rFonts w:ascii="Avenir Next LT Pro" w:hAnsi="Avenir Next LT Pro" w:cs="Calibri"/>
                <w:color w:val="000000"/>
                <w:sz w:val="20"/>
                <w:szCs w:val="20"/>
              </w:rPr>
            </w:pPr>
            <w:r w:rsidRPr="0085123F">
              <w:rPr>
                <w:rFonts w:ascii="Avenir Next LT Pro" w:hAnsi="Avenir Next LT Pro" w:cs="Calibri"/>
                <w:b/>
                <w:bCs/>
                <w:i/>
                <w:iCs/>
                <w:color w:val="000000"/>
                <w:sz w:val="20"/>
                <w:szCs w:val="20"/>
              </w:rPr>
              <w:t>Total des Coûts (USD)</w:t>
            </w:r>
          </w:p>
        </w:tc>
        <w:tc>
          <w:tcPr>
            <w:tcW w:w="1843" w:type="dxa"/>
            <w:tcBorders>
              <w:top w:val="nil"/>
              <w:left w:val="double" w:sz="4" w:space="0" w:color="000000"/>
              <w:bottom w:val="single" w:sz="4" w:space="0" w:color="000000"/>
              <w:right w:val="single" w:sz="4" w:space="0" w:color="000000"/>
            </w:tcBorders>
            <w:shd w:val="clear" w:color="auto" w:fill="DAEFD3" w:themeFill="accent1" w:themeFillTint="33"/>
            <w:vAlign w:val="center"/>
          </w:tcPr>
          <w:p w14:paraId="119C3965" w14:textId="07E9AB9C" w:rsidR="00A66F15" w:rsidRPr="0085123F" w:rsidRDefault="00A66F15" w:rsidP="00A66F15">
            <w:pPr>
              <w:spacing w:after="0"/>
              <w:jc w:val="center"/>
              <w:rPr>
                <w:rFonts w:ascii="Avenir Next LT Pro" w:hAnsi="Avenir Next LT Pro" w:cs="Arial"/>
                <w:b/>
                <w:bCs/>
                <w:color w:val="000000"/>
                <w:sz w:val="20"/>
                <w:szCs w:val="20"/>
              </w:rPr>
            </w:pPr>
            <w:r>
              <w:rPr>
                <w:rFonts w:ascii="Avenir Next LT Pro" w:hAnsi="Avenir Next LT Pro"/>
                <w:b/>
                <w:bCs/>
                <w:color w:val="000000"/>
                <w:sz w:val="20"/>
                <w:szCs w:val="20"/>
              </w:rPr>
              <w:t>3,000,000</w:t>
            </w:r>
          </w:p>
        </w:tc>
        <w:tc>
          <w:tcPr>
            <w:tcW w:w="1701" w:type="dxa"/>
            <w:tcBorders>
              <w:top w:val="nil"/>
              <w:left w:val="double" w:sz="4" w:space="0" w:color="000000"/>
              <w:bottom w:val="single" w:sz="4" w:space="0" w:color="000000"/>
              <w:right w:val="single" w:sz="4" w:space="0" w:color="000000"/>
            </w:tcBorders>
            <w:shd w:val="clear" w:color="auto" w:fill="DAEFD3" w:themeFill="accent1" w:themeFillTint="33"/>
            <w:vAlign w:val="bottom"/>
          </w:tcPr>
          <w:p w14:paraId="31529D3A" w14:textId="2B818029" w:rsidR="00A66F15" w:rsidRPr="00A66F15" w:rsidRDefault="00A66F15" w:rsidP="00A66F15">
            <w:pPr>
              <w:spacing w:after="0"/>
              <w:jc w:val="center"/>
              <w:rPr>
                <w:rFonts w:ascii="Avenir Next LT Pro" w:hAnsi="Avenir Next LT Pro"/>
                <w:b/>
                <w:bCs/>
                <w:color w:val="000000"/>
                <w:sz w:val="20"/>
                <w:szCs w:val="20"/>
              </w:rPr>
            </w:pPr>
            <w:r w:rsidRPr="00E13D5D">
              <w:rPr>
                <w:rFonts w:ascii="Avenir Next LT Pro" w:hAnsi="Avenir Next LT Pro"/>
                <w:b/>
                <w:bCs/>
                <w:color w:val="000000"/>
                <w:sz w:val="20"/>
                <w:szCs w:val="20"/>
              </w:rPr>
              <w:t xml:space="preserve">        1,499,999.11 </w:t>
            </w:r>
          </w:p>
        </w:tc>
        <w:tc>
          <w:tcPr>
            <w:tcW w:w="1559" w:type="dxa"/>
            <w:tcBorders>
              <w:top w:val="nil"/>
              <w:left w:val="double" w:sz="4" w:space="0" w:color="000000"/>
              <w:bottom w:val="single" w:sz="4" w:space="0" w:color="000000"/>
              <w:right w:val="single" w:sz="4" w:space="0" w:color="000000"/>
            </w:tcBorders>
            <w:shd w:val="clear" w:color="auto" w:fill="DAEFD3" w:themeFill="accent1" w:themeFillTint="33"/>
            <w:vAlign w:val="bottom"/>
          </w:tcPr>
          <w:p w14:paraId="49669A21" w14:textId="030B50D9" w:rsidR="00A66F15" w:rsidRPr="00A66F15" w:rsidRDefault="00A66F15" w:rsidP="00A66F15">
            <w:pPr>
              <w:spacing w:after="0"/>
              <w:jc w:val="center"/>
              <w:rPr>
                <w:rFonts w:ascii="Avenir Next LT Pro" w:hAnsi="Avenir Next LT Pro"/>
                <w:b/>
                <w:bCs/>
                <w:color w:val="000000"/>
                <w:sz w:val="20"/>
                <w:szCs w:val="20"/>
              </w:rPr>
            </w:pPr>
            <w:r w:rsidRPr="00E13D5D">
              <w:rPr>
                <w:rFonts w:ascii="Avenir Next LT Pro" w:hAnsi="Avenir Next LT Pro"/>
                <w:b/>
                <w:bCs/>
                <w:color w:val="000000"/>
                <w:sz w:val="20"/>
                <w:szCs w:val="20"/>
              </w:rPr>
              <w:t xml:space="preserve">              1,500,001 </w:t>
            </w:r>
          </w:p>
        </w:tc>
      </w:tr>
    </w:tbl>
    <w:p w14:paraId="29584DE8" w14:textId="77777777" w:rsidR="00C635C2" w:rsidRPr="00C345C4" w:rsidRDefault="00C635C2" w:rsidP="00EF6E8E">
      <w:pPr>
        <w:spacing w:after="120"/>
        <w:jc w:val="both"/>
        <w:rPr>
          <w:rFonts w:ascii="Avenir Next LT Pro" w:hAnsi="Avenir Next LT Pro"/>
        </w:rPr>
      </w:pPr>
    </w:p>
    <w:p w14:paraId="36717253" w14:textId="2915365A" w:rsidR="001B1CD1" w:rsidRPr="00C345C4" w:rsidRDefault="000D4192" w:rsidP="000E7FF0">
      <w:pPr>
        <w:pStyle w:val="Titre2"/>
        <w:rPr>
          <w:rFonts w:ascii="Avenir Next LT Pro" w:hAnsi="Avenir Next LT Pro"/>
        </w:rPr>
      </w:pPr>
      <w:bookmarkStart w:id="75" w:name="_Toc163230398"/>
      <w:r w:rsidRPr="00C345C4">
        <w:rPr>
          <w:rFonts w:ascii="Avenir Next LT Pro" w:hAnsi="Avenir Next LT Pro"/>
        </w:rPr>
        <w:t>Plan d’opérationnalisation du projet</w:t>
      </w:r>
      <w:bookmarkEnd w:id="75"/>
      <w:r w:rsidRPr="00C345C4">
        <w:rPr>
          <w:rFonts w:ascii="Avenir Next LT Pro" w:hAnsi="Avenir Next LT Pro"/>
        </w:rPr>
        <w:t xml:space="preserve"> </w:t>
      </w:r>
    </w:p>
    <w:p w14:paraId="25A70913" w14:textId="77777777" w:rsidR="00857AD7" w:rsidRPr="00C345C4" w:rsidRDefault="00C12FA5" w:rsidP="00EF6E8E">
      <w:pPr>
        <w:spacing w:after="120"/>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 xml:space="preserve">Le plan d’opérationnalisation </w:t>
      </w:r>
      <w:r w:rsidR="00F81EA5" w:rsidRPr="00C345C4">
        <w:rPr>
          <w:rFonts w:ascii="Avenir Next LT Pro" w:hAnsi="Avenir Next LT Pro"/>
          <w:color w:val="3E762A" w:themeColor="accent1" w:themeShade="BF"/>
          <w:sz w:val="20"/>
          <w:szCs w:val="20"/>
          <w:lang w:eastAsia="fr-FR"/>
        </w:rPr>
        <w:t xml:space="preserve">correspond au plan de déploiement opérationnel pour la mise en œuvre du </w:t>
      </w:r>
      <w:r w:rsidR="00C420ED" w:rsidRPr="00C345C4">
        <w:rPr>
          <w:rFonts w:ascii="Avenir Next LT Pro" w:hAnsi="Avenir Next LT Pro"/>
          <w:color w:val="3E762A" w:themeColor="accent1" w:themeShade="BF"/>
          <w:sz w:val="20"/>
          <w:szCs w:val="20"/>
          <w:lang w:eastAsia="fr-FR"/>
        </w:rPr>
        <w:t>projet</w:t>
      </w:r>
      <w:r w:rsidR="00F81EA5" w:rsidRPr="00C345C4">
        <w:rPr>
          <w:rFonts w:ascii="Avenir Next LT Pro" w:hAnsi="Avenir Next LT Pro"/>
          <w:color w:val="3E762A" w:themeColor="accent1" w:themeShade="BF"/>
          <w:sz w:val="20"/>
          <w:szCs w:val="20"/>
          <w:lang w:eastAsia="fr-FR"/>
        </w:rPr>
        <w:t xml:space="preserve"> </w:t>
      </w:r>
      <w:r w:rsidR="00EF4C4F" w:rsidRPr="00C345C4">
        <w:rPr>
          <w:rFonts w:ascii="Avenir Next LT Pro" w:hAnsi="Avenir Next LT Pro"/>
          <w:color w:val="3E762A" w:themeColor="accent1" w:themeShade="BF"/>
          <w:sz w:val="20"/>
          <w:szCs w:val="20"/>
          <w:lang w:eastAsia="fr-FR"/>
        </w:rPr>
        <w:t>décliné par mois sur</w:t>
      </w:r>
      <w:r w:rsidR="00EF4C4F" w:rsidRPr="00C345C4">
        <w:rPr>
          <w:rFonts w:ascii="Avenir Next LT Pro" w:hAnsi="Avenir Next LT Pro"/>
          <w:b/>
          <w:bCs/>
          <w:color w:val="3E762A" w:themeColor="accent1" w:themeShade="BF"/>
          <w:sz w:val="20"/>
          <w:szCs w:val="20"/>
          <w:lang w:eastAsia="fr-FR"/>
        </w:rPr>
        <w:t xml:space="preserve"> la </w:t>
      </w:r>
      <w:r w:rsidR="001B1CD1" w:rsidRPr="00C345C4">
        <w:rPr>
          <w:rFonts w:ascii="Avenir Next LT Pro" w:hAnsi="Avenir Next LT Pro"/>
          <w:b/>
          <w:bCs/>
          <w:color w:val="3E762A" w:themeColor="accent1" w:themeShade="BF"/>
          <w:sz w:val="20"/>
          <w:szCs w:val="20"/>
          <w:lang w:eastAsia="fr-FR"/>
        </w:rPr>
        <w:t>première</w:t>
      </w:r>
      <w:r w:rsidR="00EF4C4F" w:rsidRPr="00C345C4">
        <w:rPr>
          <w:rFonts w:ascii="Avenir Next LT Pro" w:hAnsi="Avenir Next LT Pro"/>
          <w:b/>
          <w:bCs/>
          <w:color w:val="3E762A" w:themeColor="accent1" w:themeShade="BF"/>
          <w:sz w:val="20"/>
          <w:szCs w:val="20"/>
          <w:lang w:eastAsia="fr-FR"/>
        </w:rPr>
        <w:t xml:space="preserve"> année du projet</w:t>
      </w:r>
      <w:r w:rsidR="00EF4C4F" w:rsidRPr="00C345C4">
        <w:rPr>
          <w:rFonts w:ascii="Avenir Next LT Pro" w:hAnsi="Avenir Next LT Pro"/>
          <w:color w:val="3E762A" w:themeColor="accent1" w:themeShade="BF"/>
          <w:sz w:val="20"/>
          <w:szCs w:val="20"/>
          <w:lang w:eastAsia="fr-FR"/>
        </w:rPr>
        <w:t xml:space="preserve">. Il comprend </w:t>
      </w:r>
      <w:r w:rsidR="00872621" w:rsidRPr="00C345C4">
        <w:rPr>
          <w:rFonts w:ascii="Avenir Next LT Pro" w:hAnsi="Avenir Next LT Pro"/>
          <w:color w:val="3E762A" w:themeColor="accent1" w:themeShade="BF"/>
          <w:sz w:val="20"/>
          <w:szCs w:val="20"/>
          <w:lang w:eastAsia="fr-FR"/>
        </w:rPr>
        <w:t>et détaille</w:t>
      </w:r>
      <w:r w:rsidR="00857AD7" w:rsidRPr="00C345C4">
        <w:rPr>
          <w:rFonts w:ascii="Avenir Next LT Pro" w:hAnsi="Avenir Next LT Pro"/>
          <w:color w:val="3E762A" w:themeColor="accent1" w:themeShade="BF"/>
          <w:sz w:val="20"/>
          <w:szCs w:val="20"/>
          <w:lang w:eastAsia="fr-FR"/>
        </w:rPr>
        <w:t xml:space="preserve"> les</w:t>
      </w:r>
      <w:r w:rsidR="00EF4C4F" w:rsidRPr="00C345C4">
        <w:rPr>
          <w:rFonts w:ascii="Avenir Next LT Pro" w:hAnsi="Avenir Next LT Pro"/>
          <w:color w:val="3E762A" w:themeColor="accent1" w:themeShade="BF"/>
          <w:sz w:val="20"/>
          <w:szCs w:val="20"/>
          <w:lang w:eastAsia="fr-FR"/>
        </w:rPr>
        <w:t xml:space="preserve"> étapes </w:t>
      </w:r>
      <w:r w:rsidR="00857AD7" w:rsidRPr="00C345C4">
        <w:rPr>
          <w:rFonts w:ascii="Avenir Next LT Pro" w:hAnsi="Avenir Next LT Pro"/>
          <w:color w:val="3E762A" w:themeColor="accent1" w:themeShade="BF"/>
          <w:sz w:val="20"/>
          <w:szCs w:val="20"/>
          <w:lang w:eastAsia="fr-FR"/>
        </w:rPr>
        <w:t>relatives :</w:t>
      </w:r>
    </w:p>
    <w:p w14:paraId="2DCE1CF3" w14:textId="3565C1A1" w:rsidR="004A3353" w:rsidRPr="00C345C4" w:rsidRDefault="004A3353" w:rsidP="009C2355">
      <w:pPr>
        <w:pStyle w:val="Paragraphedeliste"/>
        <w:numPr>
          <w:ilvl w:val="0"/>
          <w:numId w:val="4"/>
        </w:numPr>
        <w:spacing w:after="120"/>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Au processus interne à l’agence avec ses partenaires pour le lancement officiel des activités (</w:t>
      </w:r>
      <w:r w:rsidR="00EF4C4F" w:rsidRPr="00C345C4">
        <w:rPr>
          <w:rFonts w:ascii="Avenir Next LT Pro" w:hAnsi="Avenir Next LT Pro"/>
          <w:color w:val="3E762A" w:themeColor="accent1" w:themeShade="BF"/>
          <w:sz w:val="20"/>
          <w:szCs w:val="20"/>
          <w:lang w:eastAsia="fr-FR"/>
        </w:rPr>
        <w:t>tel</w:t>
      </w:r>
      <w:r w:rsidR="00C00086" w:rsidRPr="00C345C4">
        <w:rPr>
          <w:rFonts w:ascii="Avenir Next LT Pro" w:hAnsi="Avenir Next LT Pro"/>
          <w:color w:val="3E762A" w:themeColor="accent1" w:themeShade="BF"/>
          <w:sz w:val="20"/>
          <w:szCs w:val="20"/>
          <w:lang w:eastAsia="fr-FR"/>
        </w:rPr>
        <w:t>les</w:t>
      </w:r>
      <w:r w:rsidR="00EF4C4F" w:rsidRPr="00C345C4">
        <w:rPr>
          <w:rFonts w:ascii="Avenir Next LT Pro" w:hAnsi="Avenir Next LT Pro"/>
          <w:color w:val="3E762A" w:themeColor="accent1" w:themeShade="BF"/>
          <w:sz w:val="20"/>
          <w:szCs w:val="20"/>
          <w:lang w:eastAsia="fr-FR"/>
        </w:rPr>
        <w:t xml:space="preserve"> que </w:t>
      </w:r>
      <w:r w:rsidR="00C00086" w:rsidRPr="00C345C4">
        <w:rPr>
          <w:rFonts w:ascii="Avenir Next LT Pro" w:hAnsi="Avenir Next LT Pro"/>
          <w:color w:val="3E762A" w:themeColor="accent1" w:themeShade="BF"/>
          <w:sz w:val="20"/>
          <w:szCs w:val="20"/>
          <w:lang w:eastAsia="fr-FR"/>
        </w:rPr>
        <w:t xml:space="preserve">la </w:t>
      </w:r>
      <w:r w:rsidR="00EF4C4F" w:rsidRPr="00C345C4">
        <w:rPr>
          <w:rFonts w:ascii="Avenir Next LT Pro" w:hAnsi="Avenir Next LT Pro"/>
          <w:color w:val="3E762A" w:themeColor="accent1" w:themeShade="BF"/>
          <w:sz w:val="20"/>
          <w:szCs w:val="20"/>
          <w:lang w:eastAsia="fr-FR"/>
        </w:rPr>
        <w:t xml:space="preserve">signature </w:t>
      </w:r>
      <w:r w:rsidR="001B1CD1" w:rsidRPr="00C345C4">
        <w:rPr>
          <w:rFonts w:ascii="Avenir Next LT Pro" w:hAnsi="Avenir Next LT Pro"/>
          <w:color w:val="3E762A" w:themeColor="accent1" w:themeShade="BF"/>
          <w:sz w:val="20"/>
          <w:szCs w:val="20"/>
          <w:lang w:eastAsia="fr-FR"/>
        </w:rPr>
        <w:t>des conventions</w:t>
      </w:r>
      <w:r w:rsidR="00EF4C4F" w:rsidRPr="00C345C4">
        <w:rPr>
          <w:rFonts w:ascii="Avenir Next LT Pro" w:hAnsi="Avenir Next LT Pro"/>
          <w:color w:val="3E762A" w:themeColor="accent1" w:themeShade="BF"/>
          <w:sz w:val="20"/>
          <w:szCs w:val="20"/>
          <w:lang w:eastAsia="fr-FR"/>
        </w:rPr>
        <w:t xml:space="preserve"> de financement entre l’agence et le gouvernement</w:t>
      </w:r>
      <w:r w:rsidRPr="00C345C4">
        <w:rPr>
          <w:rFonts w:ascii="Avenir Next LT Pro" w:hAnsi="Avenir Next LT Pro"/>
          <w:color w:val="3E762A" w:themeColor="accent1" w:themeShade="BF"/>
          <w:sz w:val="20"/>
          <w:szCs w:val="20"/>
          <w:lang w:eastAsia="fr-FR"/>
        </w:rPr>
        <w:t>, la mise en place des comptes bancaires du projet</w:t>
      </w:r>
      <w:r w:rsidR="00EF4C4F" w:rsidRPr="00C345C4">
        <w:rPr>
          <w:rFonts w:ascii="Avenir Next LT Pro" w:hAnsi="Avenir Next LT Pro"/>
          <w:color w:val="3E762A" w:themeColor="accent1" w:themeShade="BF"/>
          <w:sz w:val="20"/>
          <w:szCs w:val="20"/>
          <w:lang w:eastAsia="fr-FR"/>
        </w:rPr>
        <w:t>,</w:t>
      </w:r>
      <w:r w:rsidRPr="00C345C4">
        <w:rPr>
          <w:rFonts w:ascii="Avenir Next LT Pro" w:hAnsi="Avenir Next LT Pro"/>
          <w:color w:val="3E762A" w:themeColor="accent1" w:themeShade="BF"/>
          <w:sz w:val="20"/>
          <w:szCs w:val="20"/>
          <w:lang w:eastAsia="fr-FR"/>
        </w:rPr>
        <w:t xml:space="preserve"> etc.)</w:t>
      </w:r>
      <w:r w:rsidR="00090B4E">
        <w:rPr>
          <w:rFonts w:ascii="Avenir Next LT Pro" w:hAnsi="Avenir Next LT Pro"/>
          <w:color w:val="3E762A" w:themeColor="accent1" w:themeShade="BF"/>
          <w:sz w:val="20"/>
          <w:szCs w:val="20"/>
          <w:lang w:eastAsia="fr-FR"/>
        </w:rPr>
        <w:t> ;</w:t>
      </w:r>
    </w:p>
    <w:p w14:paraId="2271CCE8" w14:textId="0113F709" w:rsidR="000975F1" w:rsidRPr="00C345C4" w:rsidRDefault="00B75A15" w:rsidP="009C2355">
      <w:pPr>
        <w:pStyle w:val="Paragraphedeliste"/>
        <w:numPr>
          <w:ilvl w:val="0"/>
          <w:numId w:val="4"/>
        </w:numPr>
        <w:spacing w:after="120"/>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 xml:space="preserve">La mise en place de l’unité de coordination, </w:t>
      </w:r>
      <w:r w:rsidR="00EC279E" w:rsidRPr="00C345C4">
        <w:rPr>
          <w:rFonts w:ascii="Avenir Next LT Pro" w:hAnsi="Avenir Next LT Pro"/>
          <w:color w:val="3E762A" w:themeColor="accent1" w:themeShade="BF"/>
          <w:sz w:val="20"/>
          <w:szCs w:val="20"/>
          <w:lang w:eastAsia="fr-FR"/>
        </w:rPr>
        <w:t xml:space="preserve">de </w:t>
      </w:r>
      <w:r w:rsidRPr="00C345C4">
        <w:rPr>
          <w:rFonts w:ascii="Avenir Next LT Pro" w:hAnsi="Avenir Next LT Pro"/>
          <w:color w:val="3E762A" w:themeColor="accent1" w:themeShade="BF"/>
          <w:sz w:val="20"/>
          <w:szCs w:val="20"/>
          <w:lang w:eastAsia="fr-FR"/>
        </w:rPr>
        <w:t xml:space="preserve">suivi-évaluation et </w:t>
      </w:r>
      <w:r w:rsidR="00EC279E" w:rsidRPr="00C345C4">
        <w:rPr>
          <w:rFonts w:ascii="Avenir Next LT Pro" w:hAnsi="Avenir Next LT Pro"/>
          <w:color w:val="3E762A" w:themeColor="accent1" w:themeShade="BF"/>
          <w:sz w:val="20"/>
          <w:szCs w:val="20"/>
          <w:lang w:eastAsia="fr-FR"/>
        </w:rPr>
        <w:t xml:space="preserve">de </w:t>
      </w:r>
      <w:r w:rsidRPr="00C345C4">
        <w:rPr>
          <w:rFonts w:ascii="Avenir Next LT Pro" w:hAnsi="Avenir Next LT Pro"/>
          <w:color w:val="3E762A" w:themeColor="accent1" w:themeShade="BF"/>
          <w:sz w:val="20"/>
          <w:szCs w:val="20"/>
          <w:lang w:eastAsia="fr-FR"/>
        </w:rPr>
        <w:t xml:space="preserve">communication du projet y inclus </w:t>
      </w:r>
      <w:r w:rsidR="00075C9E" w:rsidRPr="00C345C4">
        <w:rPr>
          <w:rFonts w:ascii="Avenir Next LT Pro" w:hAnsi="Avenir Next LT Pro"/>
          <w:color w:val="3E762A" w:themeColor="accent1" w:themeShade="BF"/>
          <w:sz w:val="20"/>
          <w:szCs w:val="20"/>
          <w:lang w:eastAsia="fr-FR"/>
        </w:rPr>
        <w:t>l’</w:t>
      </w:r>
      <w:r w:rsidR="00EF4C4F" w:rsidRPr="00C345C4">
        <w:rPr>
          <w:rFonts w:ascii="Avenir Next LT Pro" w:hAnsi="Avenir Next LT Pro"/>
          <w:color w:val="3E762A" w:themeColor="accent1" w:themeShade="BF"/>
          <w:sz w:val="20"/>
          <w:szCs w:val="20"/>
          <w:lang w:eastAsia="fr-FR"/>
        </w:rPr>
        <w:t xml:space="preserve">acquisition des </w:t>
      </w:r>
      <w:r w:rsidR="007579D7" w:rsidRPr="00C345C4">
        <w:rPr>
          <w:rFonts w:ascii="Avenir Next LT Pro" w:hAnsi="Avenir Next LT Pro"/>
          <w:color w:val="3E762A" w:themeColor="accent1" w:themeShade="BF"/>
          <w:sz w:val="20"/>
          <w:szCs w:val="20"/>
          <w:lang w:eastAsia="fr-FR"/>
        </w:rPr>
        <w:t xml:space="preserve">locaux, </w:t>
      </w:r>
      <w:r w:rsidR="7892B380" w:rsidRPr="00C345C4">
        <w:rPr>
          <w:rFonts w:ascii="Avenir Next LT Pro" w:hAnsi="Avenir Next LT Pro"/>
          <w:color w:val="3E762A" w:themeColor="accent1" w:themeShade="BF"/>
          <w:sz w:val="20"/>
          <w:szCs w:val="20"/>
          <w:lang w:eastAsia="fr-FR"/>
        </w:rPr>
        <w:t>le recrutement des experts clés</w:t>
      </w:r>
      <w:r w:rsidR="00075C9E" w:rsidRPr="00C345C4">
        <w:rPr>
          <w:rFonts w:ascii="Avenir Next LT Pro" w:hAnsi="Avenir Next LT Pro"/>
          <w:color w:val="3E762A" w:themeColor="accent1" w:themeShade="BF"/>
          <w:sz w:val="20"/>
          <w:szCs w:val="20"/>
          <w:lang w:eastAsia="fr-FR"/>
        </w:rPr>
        <w:t>,</w:t>
      </w:r>
      <w:r w:rsidR="000975F1" w:rsidRPr="00C345C4">
        <w:rPr>
          <w:rFonts w:ascii="Avenir Next LT Pro" w:hAnsi="Avenir Next LT Pro"/>
          <w:color w:val="3E762A" w:themeColor="accent1" w:themeShade="BF"/>
          <w:sz w:val="20"/>
          <w:szCs w:val="20"/>
          <w:lang w:eastAsia="fr-FR"/>
        </w:rPr>
        <w:t xml:space="preserve"> l’acquisition du matériel (roulant et informatique),</w:t>
      </w:r>
      <w:r w:rsidR="00075C9E" w:rsidRPr="00C345C4">
        <w:rPr>
          <w:rFonts w:ascii="Avenir Next LT Pro" w:hAnsi="Avenir Next LT Pro"/>
          <w:color w:val="3E762A" w:themeColor="accent1" w:themeShade="BF"/>
          <w:sz w:val="20"/>
          <w:szCs w:val="20"/>
          <w:lang w:eastAsia="fr-FR"/>
        </w:rPr>
        <w:t xml:space="preserve"> </w:t>
      </w:r>
      <w:r w:rsidR="000975F1" w:rsidRPr="00C345C4">
        <w:rPr>
          <w:rFonts w:ascii="Avenir Next LT Pro" w:hAnsi="Avenir Next LT Pro"/>
          <w:color w:val="3E762A" w:themeColor="accent1" w:themeShade="BF"/>
          <w:sz w:val="20"/>
          <w:szCs w:val="20"/>
          <w:lang w:eastAsia="fr-FR"/>
        </w:rPr>
        <w:t>la finalisation du Manuel de procédure</w:t>
      </w:r>
      <w:r w:rsidR="002076D9">
        <w:rPr>
          <w:rFonts w:ascii="Avenir Next LT Pro" w:hAnsi="Avenir Next LT Pro"/>
          <w:color w:val="3E762A" w:themeColor="accent1" w:themeShade="BF"/>
          <w:sz w:val="20"/>
          <w:szCs w:val="20"/>
          <w:lang w:eastAsia="fr-FR"/>
        </w:rPr>
        <w:t>s</w:t>
      </w:r>
      <w:r w:rsidR="000975F1" w:rsidRPr="00C345C4">
        <w:rPr>
          <w:rFonts w:ascii="Avenir Next LT Pro" w:hAnsi="Avenir Next LT Pro"/>
          <w:color w:val="3E762A" w:themeColor="accent1" w:themeShade="BF"/>
          <w:sz w:val="20"/>
          <w:szCs w:val="20"/>
          <w:lang w:eastAsia="fr-FR"/>
        </w:rPr>
        <w:t>, etc.</w:t>
      </w:r>
      <w:r w:rsidR="00090B4E">
        <w:rPr>
          <w:rFonts w:ascii="Avenir Next LT Pro" w:hAnsi="Avenir Next LT Pro"/>
          <w:color w:val="3E762A" w:themeColor="accent1" w:themeShade="BF"/>
          <w:sz w:val="20"/>
          <w:szCs w:val="20"/>
          <w:lang w:eastAsia="fr-FR"/>
        </w:rPr>
        <w:t> ;</w:t>
      </w:r>
    </w:p>
    <w:p w14:paraId="5A28198D" w14:textId="6372C34D" w:rsidR="000975F1" w:rsidRPr="00C345C4" w:rsidRDefault="000975F1" w:rsidP="009C2355">
      <w:pPr>
        <w:pStyle w:val="Paragraphedeliste"/>
        <w:numPr>
          <w:ilvl w:val="0"/>
          <w:numId w:val="4"/>
        </w:numPr>
        <w:spacing w:after="120"/>
        <w:jc w:val="both"/>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L</w:t>
      </w:r>
      <w:r w:rsidR="00C36A06" w:rsidRPr="00C345C4">
        <w:rPr>
          <w:rFonts w:ascii="Avenir Next LT Pro" w:hAnsi="Avenir Next LT Pro"/>
          <w:color w:val="3E762A" w:themeColor="accent1" w:themeShade="BF"/>
          <w:sz w:val="20"/>
          <w:szCs w:val="20"/>
          <w:lang w:eastAsia="fr-FR"/>
        </w:rPr>
        <w:t xml:space="preserve">a contractualisation des partenaires </w:t>
      </w:r>
      <w:r w:rsidR="00922F74" w:rsidRPr="00C345C4">
        <w:rPr>
          <w:rFonts w:ascii="Avenir Next LT Pro" w:hAnsi="Avenir Next LT Pro"/>
          <w:color w:val="3E762A" w:themeColor="accent1" w:themeShade="BF"/>
          <w:sz w:val="20"/>
          <w:szCs w:val="20"/>
          <w:lang w:eastAsia="fr-FR"/>
        </w:rPr>
        <w:t xml:space="preserve">(parties responsables identifiées et autres </w:t>
      </w:r>
      <w:r w:rsidR="00304484" w:rsidRPr="00C345C4">
        <w:rPr>
          <w:rFonts w:ascii="Avenir Next LT Pro" w:hAnsi="Avenir Next LT Pro"/>
          <w:color w:val="3E762A" w:themeColor="accent1" w:themeShade="BF"/>
          <w:sz w:val="20"/>
          <w:szCs w:val="20"/>
          <w:lang w:eastAsia="fr-FR"/>
        </w:rPr>
        <w:t>partenaires à identifier via une procédure de recrutement compétitif pour la mise en œuvre des activités principales de l’année 1)</w:t>
      </w:r>
      <w:r w:rsidR="00090B4E">
        <w:rPr>
          <w:rFonts w:ascii="Avenir Next LT Pro" w:hAnsi="Avenir Next LT Pro"/>
          <w:color w:val="3E762A" w:themeColor="accent1" w:themeShade="BF"/>
          <w:sz w:val="20"/>
          <w:szCs w:val="20"/>
          <w:lang w:eastAsia="fr-FR"/>
        </w:rPr>
        <w:t> ;</w:t>
      </w:r>
    </w:p>
    <w:p w14:paraId="4E425E3B" w14:textId="45A2AB00" w:rsidR="000957C6" w:rsidRPr="00C345C4" w:rsidRDefault="000975F1" w:rsidP="009C2355">
      <w:pPr>
        <w:pStyle w:val="Paragraphedeliste"/>
        <w:numPr>
          <w:ilvl w:val="0"/>
          <w:numId w:val="4"/>
        </w:numPr>
        <w:spacing w:after="120"/>
        <w:jc w:val="both"/>
        <w:rPr>
          <w:rFonts w:ascii="Avenir Next LT Pro" w:hAnsi="Avenir Next LT Pro"/>
        </w:rPr>
      </w:pPr>
      <w:r w:rsidRPr="00C345C4">
        <w:rPr>
          <w:rFonts w:ascii="Avenir Next LT Pro" w:hAnsi="Avenir Next LT Pro"/>
          <w:color w:val="3E762A" w:themeColor="accent1" w:themeShade="BF"/>
          <w:sz w:val="20"/>
          <w:szCs w:val="20"/>
          <w:lang w:eastAsia="fr-FR"/>
        </w:rPr>
        <w:t xml:space="preserve">La mise en place et l’organisation du premier Comité de Pilotage pour la validation du premier Plan de Travail </w:t>
      </w:r>
      <w:r w:rsidR="00607B12">
        <w:rPr>
          <w:rFonts w:ascii="Avenir Next LT Pro" w:hAnsi="Avenir Next LT Pro"/>
          <w:color w:val="3E762A" w:themeColor="accent1" w:themeShade="BF"/>
          <w:sz w:val="20"/>
          <w:szCs w:val="20"/>
          <w:lang w:eastAsia="fr-FR"/>
        </w:rPr>
        <w:t xml:space="preserve">Annuel </w:t>
      </w:r>
      <w:r w:rsidRPr="00C345C4">
        <w:rPr>
          <w:rFonts w:ascii="Avenir Next LT Pro" w:hAnsi="Avenir Next LT Pro"/>
          <w:color w:val="3E762A" w:themeColor="accent1" w:themeShade="BF"/>
          <w:sz w:val="20"/>
          <w:szCs w:val="20"/>
          <w:lang w:eastAsia="fr-FR"/>
        </w:rPr>
        <w:t>Budgétisé (PTBA) (et autre</w:t>
      </w:r>
      <w:r w:rsidR="00607B12">
        <w:rPr>
          <w:rFonts w:ascii="Avenir Next LT Pro" w:hAnsi="Avenir Next LT Pro"/>
          <w:color w:val="3E762A" w:themeColor="accent1" w:themeShade="BF"/>
          <w:sz w:val="20"/>
          <w:szCs w:val="20"/>
          <w:lang w:eastAsia="fr-FR"/>
        </w:rPr>
        <w:t>(</w:t>
      </w:r>
      <w:r w:rsidRPr="00C345C4">
        <w:rPr>
          <w:rFonts w:ascii="Avenir Next LT Pro" w:hAnsi="Avenir Next LT Pro"/>
          <w:color w:val="3E762A" w:themeColor="accent1" w:themeShade="BF"/>
          <w:sz w:val="20"/>
          <w:szCs w:val="20"/>
          <w:lang w:eastAsia="fr-FR"/>
        </w:rPr>
        <w:t>s</w:t>
      </w:r>
      <w:r w:rsidR="00607B12">
        <w:rPr>
          <w:rFonts w:ascii="Avenir Next LT Pro" w:hAnsi="Avenir Next LT Pro"/>
          <w:color w:val="3E762A" w:themeColor="accent1" w:themeShade="BF"/>
          <w:sz w:val="20"/>
          <w:szCs w:val="20"/>
          <w:lang w:eastAsia="fr-FR"/>
        </w:rPr>
        <w:t>)</w:t>
      </w:r>
      <w:r w:rsidRPr="00C345C4">
        <w:rPr>
          <w:rFonts w:ascii="Avenir Next LT Pro" w:hAnsi="Avenir Next LT Pro"/>
          <w:color w:val="3E762A" w:themeColor="accent1" w:themeShade="BF"/>
          <w:sz w:val="20"/>
          <w:szCs w:val="20"/>
          <w:lang w:eastAsia="fr-FR"/>
        </w:rPr>
        <w:t xml:space="preserve"> comité</w:t>
      </w:r>
      <w:r w:rsidR="00607B12">
        <w:rPr>
          <w:rFonts w:ascii="Avenir Next LT Pro" w:hAnsi="Avenir Next LT Pro"/>
          <w:color w:val="3E762A" w:themeColor="accent1" w:themeShade="BF"/>
          <w:sz w:val="20"/>
          <w:szCs w:val="20"/>
          <w:lang w:eastAsia="fr-FR"/>
        </w:rPr>
        <w:t>(</w:t>
      </w:r>
      <w:r w:rsidRPr="00C345C4">
        <w:rPr>
          <w:rFonts w:ascii="Avenir Next LT Pro" w:hAnsi="Avenir Next LT Pro"/>
          <w:color w:val="3E762A" w:themeColor="accent1" w:themeShade="BF"/>
          <w:sz w:val="20"/>
          <w:szCs w:val="20"/>
          <w:lang w:eastAsia="fr-FR"/>
        </w:rPr>
        <w:t>s</w:t>
      </w:r>
      <w:r w:rsidR="00607B12">
        <w:rPr>
          <w:rFonts w:ascii="Avenir Next LT Pro" w:hAnsi="Avenir Next LT Pro"/>
          <w:color w:val="3E762A" w:themeColor="accent1" w:themeShade="BF"/>
          <w:sz w:val="20"/>
          <w:szCs w:val="20"/>
          <w:lang w:eastAsia="fr-FR"/>
        </w:rPr>
        <w:t>)</w:t>
      </w:r>
      <w:r w:rsidRPr="00C345C4">
        <w:rPr>
          <w:rFonts w:ascii="Avenir Next LT Pro" w:hAnsi="Avenir Next LT Pro"/>
          <w:color w:val="3E762A" w:themeColor="accent1" w:themeShade="BF"/>
          <w:sz w:val="20"/>
          <w:szCs w:val="20"/>
          <w:lang w:eastAsia="fr-FR"/>
        </w:rPr>
        <w:t xml:space="preserve"> de suivi pertinent</w:t>
      </w:r>
      <w:r w:rsidR="00607B12">
        <w:rPr>
          <w:rFonts w:ascii="Avenir Next LT Pro" w:hAnsi="Avenir Next LT Pro"/>
          <w:color w:val="3E762A" w:themeColor="accent1" w:themeShade="BF"/>
          <w:sz w:val="20"/>
          <w:szCs w:val="20"/>
          <w:lang w:eastAsia="fr-FR"/>
        </w:rPr>
        <w:t>(s)</w:t>
      </w:r>
      <w:r w:rsidRPr="00C345C4">
        <w:rPr>
          <w:rFonts w:ascii="Avenir Next LT Pro" w:hAnsi="Avenir Next LT Pro"/>
          <w:color w:val="3E762A" w:themeColor="accent1" w:themeShade="BF"/>
          <w:sz w:val="20"/>
          <w:szCs w:val="20"/>
          <w:lang w:eastAsia="fr-FR"/>
        </w:rPr>
        <w:t>)</w:t>
      </w:r>
      <w:r w:rsidR="00607B12">
        <w:rPr>
          <w:rFonts w:ascii="Avenir Next LT Pro" w:hAnsi="Avenir Next LT Pro"/>
          <w:color w:val="3E762A" w:themeColor="accent1" w:themeShade="BF"/>
          <w:sz w:val="20"/>
          <w:szCs w:val="20"/>
          <w:lang w:eastAsia="fr-FR"/>
        </w:rPr>
        <w:t> ;</w:t>
      </w:r>
      <w:bookmarkEnd w:id="35"/>
      <w:bookmarkEnd w:id="36"/>
    </w:p>
    <w:p w14:paraId="04EDC402" w14:textId="6C9B5556" w:rsidR="00730C41" w:rsidRPr="00057D29" w:rsidRDefault="00730C41" w:rsidP="009C2355">
      <w:pPr>
        <w:pStyle w:val="Paragraphedeliste"/>
        <w:numPr>
          <w:ilvl w:val="0"/>
          <w:numId w:val="4"/>
        </w:numPr>
        <w:spacing w:after="120"/>
        <w:jc w:val="both"/>
        <w:rPr>
          <w:rFonts w:ascii="Avenir Next LT Pro" w:hAnsi="Avenir Next LT Pro"/>
        </w:rPr>
      </w:pPr>
      <w:r w:rsidRPr="00C345C4">
        <w:rPr>
          <w:rFonts w:ascii="Avenir Next LT Pro" w:hAnsi="Avenir Next LT Pro"/>
          <w:color w:val="3E762A" w:themeColor="accent1" w:themeShade="BF"/>
          <w:sz w:val="20"/>
          <w:szCs w:val="20"/>
          <w:lang w:eastAsia="fr-FR"/>
        </w:rPr>
        <w:t xml:space="preserve">Autres acquisitions de </w:t>
      </w:r>
      <w:r w:rsidR="004426D3" w:rsidRPr="00C345C4">
        <w:rPr>
          <w:rFonts w:ascii="Avenir Next LT Pro" w:hAnsi="Avenir Next LT Pro"/>
          <w:color w:val="3E762A" w:themeColor="accent1" w:themeShade="BF"/>
          <w:sz w:val="20"/>
          <w:szCs w:val="20"/>
          <w:lang w:eastAsia="fr-FR"/>
        </w:rPr>
        <w:t xml:space="preserve">biens et services </w:t>
      </w:r>
      <w:r w:rsidR="008637CA" w:rsidRPr="00C345C4">
        <w:rPr>
          <w:rFonts w:ascii="Avenir Next LT Pro" w:hAnsi="Avenir Next LT Pro"/>
          <w:color w:val="3E762A" w:themeColor="accent1" w:themeShade="BF"/>
          <w:sz w:val="20"/>
          <w:szCs w:val="20"/>
          <w:lang w:eastAsia="fr-FR"/>
        </w:rPr>
        <w:t xml:space="preserve">et/ou </w:t>
      </w:r>
      <w:r w:rsidR="00B0437E" w:rsidRPr="00C345C4">
        <w:rPr>
          <w:rFonts w:ascii="Avenir Next LT Pro" w:hAnsi="Avenir Next LT Pro"/>
          <w:color w:val="3E762A" w:themeColor="accent1" w:themeShade="BF"/>
          <w:sz w:val="20"/>
          <w:szCs w:val="20"/>
          <w:lang w:eastAsia="fr-FR"/>
        </w:rPr>
        <w:t xml:space="preserve">opération pertinentes </w:t>
      </w:r>
      <w:r w:rsidR="004034F3" w:rsidRPr="00C345C4">
        <w:rPr>
          <w:rFonts w:ascii="Avenir Next LT Pro" w:hAnsi="Avenir Next LT Pro"/>
          <w:color w:val="3E762A" w:themeColor="accent1" w:themeShade="BF"/>
          <w:sz w:val="20"/>
          <w:szCs w:val="20"/>
          <w:lang w:eastAsia="fr-FR"/>
        </w:rPr>
        <w:t>(mise en place de guichets de paiements, etc.)</w:t>
      </w:r>
      <w:r w:rsidR="006238C9">
        <w:rPr>
          <w:rFonts w:ascii="Avenir Next LT Pro" w:hAnsi="Avenir Next LT Pro"/>
          <w:color w:val="3E762A" w:themeColor="accent1" w:themeShade="BF"/>
          <w:sz w:val="20"/>
          <w:szCs w:val="20"/>
          <w:lang w:eastAsia="fr-FR"/>
        </w:rPr>
        <w:t> ;</w:t>
      </w:r>
    </w:p>
    <w:p w14:paraId="2A4AA494" w14:textId="25454A30" w:rsidR="001D3054" w:rsidRDefault="00057D29" w:rsidP="001D3054">
      <w:pPr>
        <w:pStyle w:val="Paragraphedeliste"/>
        <w:numPr>
          <w:ilvl w:val="0"/>
          <w:numId w:val="4"/>
        </w:numPr>
        <w:spacing w:after="120"/>
        <w:jc w:val="both"/>
        <w:rPr>
          <w:rFonts w:ascii="Avenir Next LT Pro" w:hAnsi="Avenir Next LT Pro"/>
          <w:color w:val="3E762A" w:themeColor="accent1" w:themeShade="BF"/>
          <w:sz w:val="20"/>
          <w:szCs w:val="20"/>
          <w:lang w:eastAsia="fr-FR"/>
        </w:rPr>
      </w:pPr>
      <w:r w:rsidRPr="00057D29">
        <w:rPr>
          <w:rFonts w:ascii="Avenir Next LT Pro" w:hAnsi="Avenir Next LT Pro"/>
          <w:color w:val="3E762A" w:themeColor="accent1" w:themeShade="BF"/>
          <w:sz w:val="20"/>
          <w:szCs w:val="20"/>
          <w:lang w:eastAsia="fr-FR"/>
        </w:rPr>
        <w:t>L’élaboration des outils de M&amp;E et rapportage, en ligne avec le Manuel de suivi-évaluation de CAFI</w:t>
      </w:r>
      <w:r w:rsidR="000F2EAE">
        <w:rPr>
          <w:rFonts w:ascii="Avenir Next LT Pro" w:hAnsi="Avenir Next LT Pro"/>
          <w:color w:val="3E762A" w:themeColor="accent1" w:themeShade="BF"/>
          <w:sz w:val="20"/>
          <w:szCs w:val="20"/>
          <w:lang w:eastAsia="fr-FR"/>
        </w:rPr>
        <w:t>.</w:t>
      </w:r>
    </w:p>
    <w:p w14:paraId="12306152" w14:textId="77777777" w:rsidR="001D3054" w:rsidRPr="00E13D5D" w:rsidRDefault="001D3054" w:rsidP="001D3054">
      <w:pPr>
        <w:pStyle w:val="Paragraphedeliste"/>
        <w:numPr>
          <w:ilvl w:val="0"/>
          <w:numId w:val="4"/>
        </w:numPr>
        <w:spacing w:after="120"/>
        <w:jc w:val="both"/>
        <w:rPr>
          <w:rFonts w:ascii="Avenir Next LT Pro" w:hAnsi="Avenir Next LT Pro"/>
          <w:color w:val="3E762A" w:themeColor="accent1" w:themeShade="BF"/>
          <w:sz w:val="20"/>
          <w:szCs w:val="20"/>
          <w:lang w:eastAsia="fr-FR"/>
        </w:rPr>
      </w:pPr>
    </w:p>
    <w:p w14:paraId="56C72BAD" w14:textId="1B2EA7A0" w:rsidR="000B3A26" w:rsidRPr="00C345C4" w:rsidRDefault="000B3A26" w:rsidP="000B3A26">
      <w:pPr>
        <w:pStyle w:val="Titre2"/>
        <w:rPr>
          <w:rFonts w:ascii="Avenir Next LT Pro" w:hAnsi="Avenir Next LT Pro"/>
        </w:rPr>
      </w:pPr>
      <w:bookmarkStart w:id="76" w:name="_Toc163230399"/>
      <w:r w:rsidRPr="00C345C4">
        <w:rPr>
          <w:rFonts w:ascii="Avenir Next LT Pro" w:hAnsi="Avenir Next LT Pro"/>
        </w:rPr>
        <w:t xml:space="preserve">Plan </w:t>
      </w:r>
      <w:r>
        <w:rPr>
          <w:rFonts w:ascii="Avenir Next LT Pro" w:hAnsi="Avenir Next LT Pro"/>
        </w:rPr>
        <w:t>des livrables</w:t>
      </w:r>
      <w:bookmarkEnd w:id="76"/>
      <w:r w:rsidRPr="00C345C4">
        <w:rPr>
          <w:rFonts w:ascii="Avenir Next LT Pro" w:hAnsi="Avenir Next LT Pro"/>
        </w:rPr>
        <w:t xml:space="preserve"> </w:t>
      </w:r>
    </w:p>
    <w:p w14:paraId="43E7C6EE" w14:textId="7E187021" w:rsidR="00447731" w:rsidRPr="009822F6" w:rsidRDefault="009822F6" w:rsidP="000F2EAE">
      <w:pPr>
        <w:spacing w:after="120"/>
        <w:jc w:val="both"/>
        <w:rPr>
          <w:rFonts w:ascii="Avenir Next LT Pro" w:hAnsi="Avenir Next LT Pro"/>
          <w:color w:val="3E762A" w:themeColor="accent1" w:themeShade="BF"/>
          <w:sz w:val="20"/>
          <w:szCs w:val="20"/>
          <w:lang w:eastAsia="fr-FR"/>
        </w:rPr>
      </w:pPr>
      <w:r w:rsidRPr="009822F6">
        <w:rPr>
          <w:rFonts w:ascii="Avenir Next LT Pro" w:hAnsi="Avenir Next LT Pro"/>
          <w:color w:val="3E762A" w:themeColor="accent1" w:themeShade="BF"/>
          <w:sz w:val="20"/>
          <w:szCs w:val="20"/>
          <w:lang w:eastAsia="fr-FR"/>
        </w:rPr>
        <w:lastRenderedPageBreak/>
        <w:t>Intégrer en Annexe 11 le plan des livrables</w:t>
      </w:r>
      <w:r w:rsidR="00247E74">
        <w:rPr>
          <w:rFonts w:ascii="Avenir Next LT Pro" w:hAnsi="Avenir Next LT Pro"/>
          <w:color w:val="3E762A" w:themeColor="accent1" w:themeShade="BF"/>
          <w:sz w:val="20"/>
          <w:szCs w:val="20"/>
          <w:lang w:eastAsia="fr-FR"/>
        </w:rPr>
        <w:t xml:space="preserve"> qui</w:t>
      </w:r>
      <w:r>
        <w:rPr>
          <w:rFonts w:ascii="Avenir Next LT Pro" w:hAnsi="Avenir Next LT Pro"/>
          <w:color w:val="3E762A" w:themeColor="accent1" w:themeShade="BF"/>
          <w:sz w:val="20"/>
          <w:szCs w:val="20"/>
          <w:lang w:eastAsia="fr-FR"/>
        </w:rPr>
        <w:t xml:space="preserve"> conditionner</w:t>
      </w:r>
      <w:r w:rsidR="00247E74">
        <w:rPr>
          <w:rFonts w:ascii="Avenir Next LT Pro" w:hAnsi="Avenir Next LT Pro"/>
          <w:color w:val="3E762A" w:themeColor="accent1" w:themeShade="BF"/>
          <w:sz w:val="20"/>
          <w:szCs w:val="20"/>
          <w:lang w:eastAsia="fr-FR"/>
        </w:rPr>
        <w:t>ont</w:t>
      </w:r>
      <w:r>
        <w:rPr>
          <w:rFonts w:ascii="Avenir Next LT Pro" w:hAnsi="Avenir Next LT Pro"/>
          <w:color w:val="3E762A" w:themeColor="accent1" w:themeShade="BF"/>
          <w:sz w:val="20"/>
          <w:szCs w:val="20"/>
          <w:lang w:eastAsia="fr-FR"/>
        </w:rPr>
        <w:t xml:space="preserve"> les tranches successives de financement</w:t>
      </w:r>
      <w:r w:rsidR="00247E74">
        <w:rPr>
          <w:rFonts w:ascii="Avenir Next LT Pro" w:hAnsi="Avenir Next LT Pro"/>
          <w:color w:val="3E762A" w:themeColor="accent1" w:themeShade="BF"/>
          <w:sz w:val="20"/>
          <w:szCs w:val="20"/>
          <w:lang w:eastAsia="fr-FR"/>
        </w:rPr>
        <w:t>.</w:t>
      </w:r>
    </w:p>
    <w:p w14:paraId="60F9D849" w14:textId="77777777" w:rsidR="000F2EAE" w:rsidRPr="000F2EAE" w:rsidRDefault="000F2EAE" w:rsidP="000F2EAE">
      <w:pPr>
        <w:spacing w:after="120"/>
        <w:jc w:val="both"/>
        <w:rPr>
          <w:rFonts w:ascii="Avenir Next LT Pro" w:hAnsi="Avenir Next LT Pro"/>
        </w:rPr>
      </w:pPr>
    </w:p>
    <w:p w14:paraId="0AD7C364" w14:textId="7EE5CD4A" w:rsidR="00724139" w:rsidRPr="001D6859" w:rsidRDefault="00724139" w:rsidP="00724139">
      <w:pPr>
        <w:pStyle w:val="Titre1"/>
        <w:rPr>
          <w:rFonts w:ascii="Avenir Next LT Pro" w:hAnsi="Avenir Next LT Pro"/>
        </w:rPr>
      </w:pPr>
      <w:bookmarkStart w:id="77" w:name="_Toc163230400"/>
      <w:r w:rsidRPr="001D6859">
        <w:rPr>
          <w:rFonts w:ascii="Avenir Next LT Pro" w:hAnsi="Avenir Next LT Pro"/>
        </w:rPr>
        <w:t>A</w:t>
      </w:r>
      <w:r w:rsidR="00AF0C2C" w:rsidRPr="001D6859">
        <w:rPr>
          <w:rFonts w:ascii="Avenir Next LT Pro" w:hAnsi="Avenir Next LT Pro"/>
        </w:rPr>
        <w:t>NNEXES</w:t>
      </w:r>
      <w:bookmarkEnd w:id="77"/>
    </w:p>
    <w:p w14:paraId="321420F7" w14:textId="35F865E7" w:rsidR="00724139" w:rsidRPr="00C345C4" w:rsidRDefault="007F1222" w:rsidP="00C93A51">
      <w:pPr>
        <w:spacing w:after="0"/>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La section ci-dessous doit comprendre</w:t>
      </w:r>
      <w:r w:rsidR="00577663">
        <w:rPr>
          <w:rFonts w:ascii="Avenir Next LT Pro" w:hAnsi="Avenir Next LT Pro"/>
          <w:color w:val="3E762A" w:themeColor="accent1" w:themeShade="BF"/>
          <w:sz w:val="20"/>
          <w:szCs w:val="20"/>
          <w:lang w:eastAsia="fr-FR"/>
        </w:rPr>
        <w:t>,</w:t>
      </w:r>
      <w:r w:rsidRPr="00C345C4">
        <w:rPr>
          <w:rFonts w:ascii="Avenir Next LT Pro" w:hAnsi="Avenir Next LT Pro"/>
          <w:color w:val="3E762A" w:themeColor="accent1" w:themeShade="BF"/>
          <w:sz w:val="20"/>
          <w:szCs w:val="20"/>
          <w:lang w:eastAsia="fr-FR"/>
        </w:rPr>
        <w:t xml:space="preserve"> </w:t>
      </w:r>
      <w:r w:rsidR="00577663" w:rsidRPr="00577663">
        <w:rPr>
          <w:rFonts w:ascii="Avenir Next LT Pro" w:hAnsi="Avenir Next LT Pro"/>
          <w:i/>
          <w:iCs/>
          <w:color w:val="3E762A" w:themeColor="accent1" w:themeShade="BF"/>
          <w:sz w:val="20"/>
          <w:szCs w:val="20"/>
          <w:lang w:eastAsia="fr-FR"/>
        </w:rPr>
        <w:t>a</w:t>
      </w:r>
      <w:r w:rsidRPr="00577663">
        <w:rPr>
          <w:rFonts w:ascii="Avenir Next LT Pro" w:hAnsi="Avenir Next LT Pro"/>
          <w:i/>
          <w:color w:val="3E762A" w:themeColor="accent1" w:themeShade="BF"/>
          <w:sz w:val="20"/>
          <w:szCs w:val="20"/>
          <w:lang w:eastAsia="fr-FR"/>
        </w:rPr>
        <w:t xml:space="preserve"> </w:t>
      </w:r>
      <w:r w:rsidR="0024117D" w:rsidRPr="00577663">
        <w:rPr>
          <w:rFonts w:ascii="Avenir Next LT Pro" w:hAnsi="Avenir Next LT Pro"/>
          <w:i/>
          <w:color w:val="3E762A" w:themeColor="accent1" w:themeShade="BF"/>
          <w:sz w:val="20"/>
          <w:szCs w:val="20"/>
          <w:lang w:eastAsia="fr-FR"/>
        </w:rPr>
        <w:t>minim</w:t>
      </w:r>
      <w:r w:rsidR="0032029E" w:rsidRPr="00577663">
        <w:rPr>
          <w:rFonts w:ascii="Avenir Next LT Pro" w:hAnsi="Avenir Next LT Pro"/>
          <w:i/>
          <w:color w:val="3E762A" w:themeColor="accent1" w:themeShade="BF"/>
          <w:sz w:val="20"/>
          <w:szCs w:val="20"/>
          <w:lang w:eastAsia="fr-FR"/>
        </w:rPr>
        <w:t>a</w:t>
      </w:r>
      <w:r w:rsidR="00577663">
        <w:rPr>
          <w:rFonts w:ascii="Avenir Next LT Pro" w:hAnsi="Avenir Next LT Pro"/>
          <w:color w:val="3E762A" w:themeColor="accent1" w:themeShade="BF"/>
          <w:sz w:val="20"/>
          <w:szCs w:val="20"/>
          <w:lang w:eastAsia="fr-FR"/>
        </w:rPr>
        <w:t>,</w:t>
      </w:r>
      <w:r w:rsidRPr="00C345C4">
        <w:rPr>
          <w:rFonts w:ascii="Avenir Next LT Pro" w:hAnsi="Avenir Next LT Pro"/>
          <w:color w:val="3E762A" w:themeColor="accent1" w:themeShade="BF"/>
          <w:sz w:val="20"/>
          <w:szCs w:val="20"/>
          <w:lang w:eastAsia="fr-FR"/>
        </w:rPr>
        <w:t xml:space="preserve"> </w:t>
      </w:r>
      <w:r w:rsidR="00A17721" w:rsidRPr="00C345C4">
        <w:rPr>
          <w:rFonts w:ascii="Avenir Next LT Pro" w:hAnsi="Avenir Next LT Pro"/>
          <w:color w:val="3E762A" w:themeColor="accent1" w:themeShade="BF"/>
          <w:sz w:val="20"/>
          <w:szCs w:val="20"/>
          <w:lang w:eastAsia="fr-FR"/>
        </w:rPr>
        <w:t>les</w:t>
      </w:r>
      <w:r w:rsidRPr="00C345C4">
        <w:rPr>
          <w:rFonts w:ascii="Avenir Next LT Pro" w:hAnsi="Avenir Next LT Pro"/>
          <w:color w:val="3E762A" w:themeColor="accent1" w:themeShade="BF"/>
          <w:sz w:val="20"/>
          <w:szCs w:val="20"/>
          <w:lang w:eastAsia="fr-FR"/>
        </w:rPr>
        <w:t xml:space="preserve"> annexes relati</w:t>
      </w:r>
      <w:r w:rsidR="00142913">
        <w:rPr>
          <w:rFonts w:ascii="Avenir Next LT Pro" w:hAnsi="Avenir Next LT Pro"/>
          <w:color w:val="3E762A" w:themeColor="accent1" w:themeShade="BF"/>
          <w:sz w:val="20"/>
          <w:szCs w:val="20"/>
          <w:lang w:eastAsia="fr-FR"/>
        </w:rPr>
        <w:t>ves</w:t>
      </w:r>
      <w:r w:rsidR="00282FA5">
        <w:rPr>
          <w:rFonts w:ascii="Avenir Next LT Pro" w:hAnsi="Avenir Next LT Pro"/>
          <w:color w:val="3E762A" w:themeColor="accent1" w:themeShade="BF"/>
          <w:sz w:val="20"/>
          <w:szCs w:val="20"/>
          <w:lang w:eastAsia="fr-FR"/>
        </w:rPr>
        <w:t xml:space="preserve"> à/aux</w:t>
      </w:r>
      <w:r w:rsidR="00447731" w:rsidRPr="00C345C4">
        <w:rPr>
          <w:rFonts w:ascii="Avenir Next LT Pro" w:hAnsi="Avenir Next LT Pro"/>
          <w:color w:val="3E762A" w:themeColor="accent1" w:themeShade="BF"/>
          <w:sz w:val="20"/>
          <w:szCs w:val="20"/>
          <w:lang w:eastAsia="fr-FR"/>
        </w:rPr>
        <w:t> :</w:t>
      </w:r>
    </w:p>
    <w:p w14:paraId="672CC7D4" w14:textId="1B838162" w:rsidR="0024117D" w:rsidRPr="00C345C4" w:rsidRDefault="007019F5" w:rsidP="009C2355">
      <w:pPr>
        <w:pStyle w:val="Paragraphedeliste"/>
        <w:numPr>
          <w:ilvl w:val="0"/>
          <w:numId w:val="4"/>
        </w:numPr>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Évidences</w:t>
      </w:r>
      <w:r w:rsidR="0024117D" w:rsidRPr="00C345C4">
        <w:rPr>
          <w:rFonts w:ascii="Avenir Next LT Pro" w:hAnsi="Avenir Next LT Pro"/>
          <w:color w:val="3E762A" w:themeColor="accent1" w:themeShade="BF"/>
          <w:sz w:val="20"/>
          <w:szCs w:val="20"/>
          <w:lang w:eastAsia="fr-FR"/>
        </w:rPr>
        <w:t xml:space="preserve"> sur </w:t>
      </w:r>
      <w:r w:rsidR="0032029E" w:rsidRPr="00C345C4">
        <w:rPr>
          <w:rFonts w:ascii="Avenir Next LT Pro" w:hAnsi="Avenir Next LT Pro"/>
          <w:color w:val="3E762A" w:themeColor="accent1" w:themeShade="BF"/>
          <w:sz w:val="20"/>
          <w:szCs w:val="20"/>
          <w:lang w:eastAsia="fr-FR"/>
        </w:rPr>
        <w:t>la participation effective</w:t>
      </w:r>
      <w:r w:rsidR="0024117D" w:rsidRPr="00C345C4">
        <w:rPr>
          <w:rFonts w:ascii="Avenir Next LT Pro" w:hAnsi="Avenir Next LT Pro"/>
          <w:color w:val="3E762A" w:themeColor="accent1" w:themeShade="BF"/>
          <w:sz w:val="20"/>
          <w:szCs w:val="20"/>
          <w:lang w:eastAsia="fr-FR"/>
        </w:rPr>
        <w:t xml:space="preserve"> des parties prenantes clés à l’élaboration du document de </w:t>
      </w:r>
      <w:r w:rsidR="00C420ED" w:rsidRPr="00C345C4">
        <w:rPr>
          <w:rFonts w:ascii="Avenir Next LT Pro" w:hAnsi="Avenir Next LT Pro"/>
          <w:color w:val="3E762A" w:themeColor="accent1" w:themeShade="BF"/>
          <w:sz w:val="20"/>
          <w:szCs w:val="20"/>
          <w:lang w:eastAsia="fr-FR"/>
        </w:rPr>
        <w:t>projet</w:t>
      </w:r>
      <w:r w:rsidR="00DD2A27" w:rsidRPr="00C345C4">
        <w:rPr>
          <w:rFonts w:ascii="Avenir Next LT Pro" w:hAnsi="Avenir Next LT Pro"/>
          <w:color w:val="3E762A" w:themeColor="accent1" w:themeShade="BF"/>
          <w:sz w:val="20"/>
          <w:szCs w:val="20"/>
          <w:lang w:eastAsia="fr-FR"/>
        </w:rPr>
        <w:t xml:space="preserve"> (en particulier le gouvernement et la société civile)</w:t>
      </w:r>
      <w:r w:rsidR="004D063D" w:rsidRPr="00C345C4">
        <w:rPr>
          <w:rFonts w:ascii="Avenir Next LT Pro" w:hAnsi="Avenir Next LT Pro"/>
          <w:color w:val="3E762A" w:themeColor="accent1" w:themeShade="BF"/>
          <w:sz w:val="20"/>
          <w:szCs w:val="20"/>
          <w:lang w:eastAsia="fr-FR"/>
        </w:rPr>
        <w:t> ;</w:t>
      </w:r>
    </w:p>
    <w:p w14:paraId="04F0FE6E" w14:textId="7714CFB3" w:rsidR="0032029E" w:rsidRPr="00C345C4" w:rsidRDefault="007019F5" w:rsidP="009C2355">
      <w:pPr>
        <w:pStyle w:val="Paragraphedeliste"/>
        <w:numPr>
          <w:ilvl w:val="0"/>
          <w:numId w:val="4"/>
        </w:numPr>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L’analyse</w:t>
      </w:r>
      <w:r w:rsidR="000957C6" w:rsidRPr="00C345C4">
        <w:rPr>
          <w:rFonts w:ascii="Avenir Next LT Pro" w:hAnsi="Avenir Next LT Pro"/>
          <w:color w:val="3E762A" w:themeColor="accent1" w:themeShade="BF"/>
          <w:sz w:val="20"/>
          <w:szCs w:val="20"/>
          <w:lang w:eastAsia="fr-FR"/>
        </w:rPr>
        <w:t xml:space="preserve"> et</w:t>
      </w:r>
      <w:r w:rsidR="0032029E" w:rsidRPr="00C345C4">
        <w:rPr>
          <w:rFonts w:ascii="Avenir Next LT Pro" w:hAnsi="Avenir Next LT Pro"/>
          <w:color w:val="3E762A" w:themeColor="accent1" w:themeShade="BF"/>
          <w:sz w:val="20"/>
          <w:szCs w:val="20"/>
          <w:lang w:eastAsia="fr-FR"/>
        </w:rPr>
        <w:t xml:space="preserve"> </w:t>
      </w:r>
      <w:r w:rsidR="004D063D" w:rsidRPr="00C345C4">
        <w:rPr>
          <w:rFonts w:ascii="Avenir Next LT Pro" w:hAnsi="Avenir Next LT Pro"/>
          <w:color w:val="3E762A" w:themeColor="accent1" w:themeShade="BF"/>
          <w:sz w:val="20"/>
          <w:szCs w:val="20"/>
          <w:lang w:eastAsia="fr-FR"/>
        </w:rPr>
        <w:t xml:space="preserve">au </w:t>
      </w:r>
      <w:r w:rsidR="0032029E" w:rsidRPr="00C345C4">
        <w:rPr>
          <w:rFonts w:ascii="Avenir Next LT Pro" w:hAnsi="Avenir Next LT Pro"/>
          <w:color w:val="3E762A" w:themeColor="accent1" w:themeShade="BF"/>
          <w:sz w:val="20"/>
          <w:szCs w:val="20"/>
          <w:lang w:eastAsia="fr-FR"/>
        </w:rPr>
        <w:t xml:space="preserve">plan d’action </w:t>
      </w:r>
      <w:r w:rsidR="004D063D" w:rsidRPr="00C345C4">
        <w:rPr>
          <w:rFonts w:ascii="Avenir Next LT Pro" w:hAnsi="Avenir Next LT Pro"/>
          <w:color w:val="3E762A" w:themeColor="accent1" w:themeShade="BF"/>
          <w:sz w:val="20"/>
          <w:szCs w:val="20"/>
          <w:lang w:eastAsia="fr-FR"/>
        </w:rPr>
        <w:t>g</w:t>
      </w:r>
      <w:r w:rsidR="0032029E" w:rsidRPr="00C345C4">
        <w:rPr>
          <w:rFonts w:ascii="Avenir Next LT Pro" w:hAnsi="Avenir Next LT Pro"/>
          <w:color w:val="3E762A" w:themeColor="accent1" w:themeShade="BF"/>
          <w:sz w:val="20"/>
          <w:szCs w:val="20"/>
          <w:lang w:eastAsia="fr-FR"/>
        </w:rPr>
        <w:t>enre</w:t>
      </w:r>
      <w:r w:rsidR="00FB3E81">
        <w:rPr>
          <w:rFonts w:ascii="Avenir Next LT Pro" w:hAnsi="Avenir Next LT Pro"/>
          <w:color w:val="3E762A" w:themeColor="accent1" w:themeShade="BF"/>
          <w:sz w:val="20"/>
          <w:szCs w:val="20"/>
          <w:lang w:eastAsia="fr-FR"/>
        </w:rPr>
        <w:t> ;</w:t>
      </w:r>
    </w:p>
    <w:p w14:paraId="674C2990" w14:textId="2B79A041" w:rsidR="008B3ACD" w:rsidRPr="00C345C4" w:rsidRDefault="007019F5" w:rsidP="009C2355">
      <w:pPr>
        <w:pStyle w:val="Paragraphedeliste"/>
        <w:numPr>
          <w:ilvl w:val="0"/>
          <w:numId w:val="4"/>
        </w:numPr>
        <w:spacing w:after="120"/>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La</w:t>
      </w:r>
      <w:r w:rsidR="008B3ACD" w:rsidRPr="00C345C4">
        <w:rPr>
          <w:rFonts w:ascii="Avenir Next LT Pro" w:hAnsi="Avenir Next LT Pro"/>
          <w:color w:val="3E762A" w:themeColor="accent1" w:themeShade="BF"/>
          <w:sz w:val="20"/>
          <w:szCs w:val="20"/>
          <w:lang w:eastAsia="fr-FR"/>
        </w:rPr>
        <w:t xml:space="preserve"> stratégie de communication</w:t>
      </w:r>
      <w:r w:rsidR="00B634C8">
        <w:rPr>
          <w:rFonts w:ascii="Avenir Next LT Pro" w:hAnsi="Avenir Next LT Pro"/>
          <w:color w:val="3E762A" w:themeColor="accent1" w:themeShade="BF"/>
          <w:sz w:val="20"/>
          <w:szCs w:val="20"/>
          <w:lang w:eastAsia="fr-FR"/>
        </w:rPr>
        <w:t> ;</w:t>
      </w:r>
    </w:p>
    <w:p w14:paraId="308DDC4C" w14:textId="7405A0AC" w:rsidR="000957C6" w:rsidRPr="00C345C4" w:rsidRDefault="007019F5" w:rsidP="009C2355">
      <w:pPr>
        <w:pStyle w:val="Paragraphedeliste"/>
        <w:numPr>
          <w:ilvl w:val="0"/>
          <w:numId w:val="4"/>
        </w:numPr>
        <w:rPr>
          <w:rFonts w:ascii="Avenir Next LT Pro" w:hAnsi="Avenir Next LT Pro"/>
          <w:color w:val="3E762A" w:themeColor="accent1" w:themeShade="BF"/>
          <w:sz w:val="20"/>
          <w:szCs w:val="20"/>
          <w:lang w:eastAsia="fr-FR"/>
        </w:rPr>
      </w:pPr>
      <w:r w:rsidRPr="00C345C4">
        <w:rPr>
          <w:rFonts w:ascii="Avenir Next LT Pro" w:hAnsi="Avenir Next LT Pro"/>
          <w:bCs/>
          <w:color w:val="3E762A" w:themeColor="accent1" w:themeShade="BF"/>
          <w:sz w:val="20"/>
          <w:szCs w:val="20"/>
        </w:rPr>
        <w:t>Plan</w:t>
      </w:r>
      <w:r w:rsidR="00E96CF2" w:rsidRPr="00C345C4">
        <w:rPr>
          <w:rFonts w:ascii="Avenir Next LT Pro" w:hAnsi="Avenir Next LT Pro"/>
          <w:bCs/>
          <w:color w:val="3E762A" w:themeColor="accent1" w:themeShade="BF"/>
          <w:sz w:val="20"/>
          <w:szCs w:val="20"/>
        </w:rPr>
        <w:t xml:space="preserve"> d’approvisionnement/passation de marchés pour les marchés supérieurs à 100,000 USD</w:t>
      </w:r>
      <w:r w:rsidR="00EC2756">
        <w:rPr>
          <w:rFonts w:ascii="Avenir Next LT Pro" w:hAnsi="Avenir Next LT Pro"/>
          <w:bCs/>
          <w:color w:val="3E762A" w:themeColor="accent1" w:themeShade="BF"/>
          <w:sz w:val="20"/>
          <w:szCs w:val="20"/>
        </w:rPr>
        <w:t> ;</w:t>
      </w:r>
    </w:p>
    <w:p w14:paraId="72467526" w14:textId="16F1D621" w:rsidR="00A17721" w:rsidRPr="00C345C4" w:rsidRDefault="007019F5" w:rsidP="009C2355">
      <w:pPr>
        <w:pStyle w:val="Paragraphedeliste"/>
        <w:numPr>
          <w:ilvl w:val="0"/>
          <w:numId w:val="4"/>
        </w:numPr>
        <w:spacing w:after="120"/>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Versions</w:t>
      </w:r>
      <w:r w:rsidR="00A17721" w:rsidRPr="00C345C4">
        <w:rPr>
          <w:rFonts w:ascii="Avenir Next LT Pro" w:hAnsi="Avenir Next LT Pro"/>
          <w:color w:val="3E762A" w:themeColor="accent1" w:themeShade="BF"/>
          <w:sz w:val="20"/>
          <w:szCs w:val="20"/>
          <w:lang w:eastAsia="fr-FR"/>
        </w:rPr>
        <w:t xml:space="preserve"> préliminaires des termes</w:t>
      </w:r>
      <w:r w:rsidR="00C458D5" w:rsidRPr="00C345C4">
        <w:rPr>
          <w:rFonts w:ascii="Avenir Next LT Pro" w:hAnsi="Avenir Next LT Pro"/>
          <w:color w:val="3E762A" w:themeColor="accent1" w:themeShade="BF"/>
          <w:sz w:val="20"/>
          <w:szCs w:val="20"/>
          <w:lang w:eastAsia="fr-FR"/>
        </w:rPr>
        <w:t xml:space="preserve"> de références du personnel clé de l’Unité de Gestion du Projet (UGP) </w:t>
      </w:r>
    </w:p>
    <w:p w14:paraId="785EB470" w14:textId="4B9EF2F7" w:rsidR="00C458D5" w:rsidRPr="00C345C4" w:rsidRDefault="003D2585" w:rsidP="009C2355">
      <w:pPr>
        <w:pStyle w:val="Paragraphedeliste"/>
        <w:numPr>
          <w:ilvl w:val="0"/>
          <w:numId w:val="4"/>
        </w:numPr>
        <w:spacing w:after="120"/>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Versions</w:t>
      </w:r>
      <w:r w:rsidR="00A17721" w:rsidRPr="00C345C4">
        <w:rPr>
          <w:rFonts w:ascii="Avenir Next LT Pro" w:hAnsi="Avenir Next LT Pro"/>
          <w:color w:val="3E762A" w:themeColor="accent1" w:themeShade="BF"/>
          <w:sz w:val="20"/>
          <w:szCs w:val="20"/>
          <w:lang w:eastAsia="fr-FR"/>
        </w:rPr>
        <w:t xml:space="preserve"> préliminaires des termes de références </w:t>
      </w:r>
      <w:r>
        <w:rPr>
          <w:rFonts w:ascii="Avenir Next LT Pro" w:hAnsi="Avenir Next LT Pro"/>
          <w:color w:val="3E762A" w:themeColor="accent1" w:themeShade="BF"/>
          <w:sz w:val="20"/>
          <w:szCs w:val="20"/>
          <w:lang w:eastAsia="fr-FR"/>
        </w:rPr>
        <w:t xml:space="preserve">des </w:t>
      </w:r>
      <w:r w:rsidR="00A17721" w:rsidRPr="00C345C4">
        <w:rPr>
          <w:rFonts w:ascii="Avenir Next LT Pro" w:hAnsi="Avenir Next LT Pro"/>
          <w:color w:val="3E762A" w:themeColor="accent1" w:themeShade="BF"/>
          <w:sz w:val="20"/>
          <w:szCs w:val="20"/>
          <w:lang w:eastAsia="fr-FR"/>
        </w:rPr>
        <w:t>études prévues en année 1 d’un montant supérieur à 100,000 USD</w:t>
      </w:r>
      <w:r w:rsidR="00D629D8">
        <w:rPr>
          <w:rFonts w:ascii="Avenir Next LT Pro" w:hAnsi="Avenir Next LT Pro"/>
          <w:color w:val="3E762A" w:themeColor="accent1" w:themeShade="BF"/>
          <w:sz w:val="20"/>
          <w:szCs w:val="20"/>
          <w:lang w:eastAsia="fr-FR"/>
        </w:rPr>
        <w:t>.</w:t>
      </w:r>
    </w:p>
    <w:p w14:paraId="444AB276" w14:textId="21F8C4BC" w:rsidR="0032029E" w:rsidRPr="00C345C4" w:rsidRDefault="0032029E" w:rsidP="00EF6E8E">
      <w:pPr>
        <w:spacing w:after="120"/>
        <w:rPr>
          <w:rFonts w:ascii="Avenir Next LT Pro" w:hAnsi="Avenir Next LT Pro"/>
          <w:color w:val="3E762A" w:themeColor="accent1" w:themeShade="BF"/>
          <w:sz w:val="20"/>
          <w:szCs w:val="20"/>
          <w:lang w:eastAsia="fr-FR"/>
        </w:rPr>
      </w:pPr>
      <w:r w:rsidRPr="00C345C4">
        <w:rPr>
          <w:rFonts w:ascii="Avenir Next LT Pro" w:hAnsi="Avenir Next LT Pro"/>
          <w:color w:val="3E762A" w:themeColor="accent1" w:themeShade="BF"/>
          <w:sz w:val="20"/>
          <w:szCs w:val="20"/>
          <w:lang w:eastAsia="fr-FR"/>
        </w:rPr>
        <w:t>D’autres annexes pourront être exigé</w:t>
      </w:r>
      <w:r w:rsidR="00D629D8">
        <w:rPr>
          <w:rFonts w:ascii="Avenir Next LT Pro" w:hAnsi="Avenir Next LT Pro"/>
          <w:color w:val="3E762A" w:themeColor="accent1" w:themeShade="BF"/>
          <w:sz w:val="20"/>
          <w:szCs w:val="20"/>
          <w:lang w:eastAsia="fr-FR"/>
        </w:rPr>
        <w:t>e</w:t>
      </w:r>
      <w:r w:rsidRPr="00C345C4">
        <w:rPr>
          <w:rFonts w:ascii="Avenir Next LT Pro" w:hAnsi="Avenir Next LT Pro"/>
          <w:color w:val="3E762A" w:themeColor="accent1" w:themeShade="BF"/>
          <w:sz w:val="20"/>
          <w:szCs w:val="20"/>
          <w:lang w:eastAsia="fr-FR"/>
        </w:rPr>
        <w:t>s par les organes de gouvernance du partenariat avec CAFI</w:t>
      </w:r>
      <w:r w:rsidR="00AF0C2C" w:rsidRPr="00C345C4">
        <w:rPr>
          <w:rFonts w:ascii="Avenir Next LT Pro" w:hAnsi="Avenir Next LT Pro"/>
          <w:color w:val="3E762A" w:themeColor="accent1" w:themeShade="BF"/>
          <w:sz w:val="20"/>
          <w:szCs w:val="20"/>
          <w:lang w:eastAsia="fr-FR"/>
        </w:rPr>
        <w:t>.</w:t>
      </w:r>
    </w:p>
    <w:p w14:paraId="18BF5C87" w14:textId="77777777" w:rsidR="00EF6E8E" w:rsidRPr="00C345C4" w:rsidRDefault="00EF6E8E" w:rsidP="00EF6E8E">
      <w:pPr>
        <w:spacing w:after="120"/>
        <w:jc w:val="both"/>
        <w:rPr>
          <w:rFonts w:ascii="Avenir Next LT Pro" w:hAnsi="Avenir Next LT Pro"/>
        </w:rPr>
      </w:pPr>
    </w:p>
    <w:p w14:paraId="4422B1A0" w14:textId="77777777" w:rsidR="003135B7" w:rsidRPr="00C345C4" w:rsidRDefault="003135B7">
      <w:pPr>
        <w:spacing w:after="160" w:line="259" w:lineRule="auto"/>
        <w:rPr>
          <w:rFonts w:ascii="Avenir Next LT Pro" w:eastAsiaTheme="majorEastAsia" w:hAnsi="Avenir Next LT Pro" w:cstheme="majorBidi"/>
          <w:b/>
          <w:bCs/>
          <w:color w:val="000000" w:themeColor="text1"/>
        </w:rPr>
      </w:pPr>
      <w:r w:rsidRPr="00C345C4">
        <w:rPr>
          <w:rFonts w:ascii="Avenir Next LT Pro" w:hAnsi="Avenir Next LT Pro"/>
        </w:rPr>
        <w:br w:type="page"/>
      </w:r>
    </w:p>
    <w:p w14:paraId="299D3DD8" w14:textId="36FF6017" w:rsidR="00520CBA" w:rsidRPr="00C345C4" w:rsidRDefault="00E80E17" w:rsidP="00A7529C">
      <w:pPr>
        <w:pStyle w:val="Titre3"/>
      </w:pPr>
      <w:bookmarkStart w:id="78" w:name="_Toc163230401"/>
      <w:r w:rsidRPr="00C345C4">
        <w:lastRenderedPageBreak/>
        <w:t>ANNEXE 1</w:t>
      </w:r>
      <w:r w:rsidR="004206A2" w:rsidRPr="00C345C4">
        <w:t> </w:t>
      </w:r>
      <w:r w:rsidRPr="00C345C4">
        <w:t>: Engagement des parties prenantes dans le processus de développement du projet</w:t>
      </w:r>
      <w:bookmarkEnd w:id="78"/>
    </w:p>
    <w:p w14:paraId="15C3B0E5" w14:textId="73337F17" w:rsidR="00E80E17" w:rsidRDefault="00961CB0" w:rsidP="00EF6E8E">
      <w:pPr>
        <w:tabs>
          <w:tab w:val="left" w:pos="4068"/>
        </w:tabs>
        <w:spacing w:after="120"/>
        <w:jc w:val="both"/>
        <w:rPr>
          <w:rFonts w:ascii="Avenir Next LT Pro" w:hAnsi="Avenir Next LT Pro" w:cs="Calibri"/>
          <w:color w:val="3E762A" w:themeColor="accent1" w:themeShade="BF"/>
        </w:rPr>
      </w:pPr>
      <w:r w:rsidRPr="00C345C4">
        <w:rPr>
          <w:rFonts w:ascii="Avenir Next LT Pro" w:hAnsi="Avenir Next LT Pro" w:cs="Calibri"/>
          <w:color w:val="3E762A" w:themeColor="accent1" w:themeShade="BF"/>
          <w:sz w:val="20"/>
          <w:szCs w:val="20"/>
        </w:rPr>
        <w:t>Les agences doivent fournir une description du processus participatif mené lors du développement du projet y inclus les noms des parties prenantes et</w:t>
      </w:r>
      <w:r w:rsidR="00B47EBE" w:rsidRPr="00C345C4">
        <w:rPr>
          <w:rFonts w:ascii="Avenir Next LT Pro" w:hAnsi="Avenir Next LT Pro" w:cs="Calibri"/>
          <w:color w:val="3E762A" w:themeColor="accent1" w:themeShade="BF"/>
          <w:sz w:val="20"/>
          <w:szCs w:val="20"/>
        </w:rPr>
        <w:t xml:space="preserve"> des</w:t>
      </w:r>
      <w:r w:rsidRPr="00C345C4">
        <w:rPr>
          <w:rFonts w:ascii="Avenir Next LT Pro" w:hAnsi="Avenir Next LT Pro" w:cs="Calibri"/>
          <w:color w:val="3E762A" w:themeColor="accent1" w:themeShade="BF"/>
          <w:sz w:val="20"/>
          <w:szCs w:val="20"/>
        </w:rPr>
        <w:t xml:space="preserve"> </w:t>
      </w:r>
      <w:r w:rsidR="00044C1C" w:rsidRPr="00C345C4">
        <w:rPr>
          <w:rFonts w:ascii="Avenir Next LT Pro" w:hAnsi="Avenir Next LT Pro" w:cs="Calibri"/>
          <w:color w:val="3E762A" w:themeColor="accent1" w:themeShade="BF"/>
          <w:sz w:val="20"/>
          <w:szCs w:val="20"/>
        </w:rPr>
        <w:t>institutions</w:t>
      </w:r>
      <w:r w:rsidRPr="00C345C4">
        <w:rPr>
          <w:rFonts w:ascii="Avenir Next LT Pro" w:hAnsi="Avenir Next LT Pro" w:cs="Calibri"/>
          <w:color w:val="3E762A" w:themeColor="accent1" w:themeShade="BF"/>
          <w:sz w:val="20"/>
          <w:szCs w:val="20"/>
        </w:rPr>
        <w:t xml:space="preserve"> qui ont </w:t>
      </w:r>
      <w:r w:rsidR="005462C7" w:rsidRPr="00C345C4">
        <w:rPr>
          <w:rFonts w:ascii="Avenir Next LT Pro" w:hAnsi="Avenir Next LT Pro" w:cs="Calibri"/>
          <w:color w:val="3E762A" w:themeColor="accent1" w:themeShade="BF"/>
          <w:sz w:val="20"/>
          <w:szCs w:val="20"/>
        </w:rPr>
        <w:t>contribué</w:t>
      </w:r>
      <w:r w:rsidRPr="00C345C4">
        <w:rPr>
          <w:rFonts w:ascii="Avenir Next LT Pro" w:hAnsi="Avenir Next LT Pro" w:cs="Calibri"/>
          <w:color w:val="3E762A" w:themeColor="accent1" w:themeShade="BF"/>
          <w:sz w:val="20"/>
          <w:szCs w:val="20"/>
        </w:rPr>
        <w:t xml:space="preserve"> à son élaboration et à sa validation </w:t>
      </w:r>
      <w:r w:rsidR="00044C1C" w:rsidRPr="00C345C4">
        <w:rPr>
          <w:rFonts w:ascii="Avenir Next LT Pro" w:hAnsi="Avenir Next LT Pro" w:cs="Calibri"/>
          <w:color w:val="3E762A" w:themeColor="accent1" w:themeShade="BF"/>
          <w:sz w:val="20"/>
          <w:szCs w:val="20"/>
        </w:rPr>
        <w:t xml:space="preserve">ainsi que des </w:t>
      </w:r>
      <w:r w:rsidR="00044C1C" w:rsidRPr="00C345C4">
        <w:rPr>
          <w:rFonts w:ascii="Avenir Next LT Pro" w:hAnsi="Avenir Next LT Pro" w:cs="Calibri"/>
          <w:b/>
          <w:bCs/>
          <w:color w:val="3E762A" w:themeColor="accent1" w:themeShade="BF"/>
          <w:sz w:val="20"/>
          <w:szCs w:val="20"/>
        </w:rPr>
        <w:t xml:space="preserve">preuves de l’approbation du document soumis à CAFI par les représentants des institutions clés. </w:t>
      </w:r>
      <w:r w:rsidR="00044C1C" w:rsidRPr="00C345C4">
        <w:rPr>
          <w:rFonts w:ascii="Avenir Next LT Pro" w:hAnsi="Avenir Next LT Pro" w:cs="Calibri"/>
          <w:color w:val="3E762A" w:themeColor="accent1" w:themeShade="BF"/>
          <w:sz w:val="20"/>
          <w:szCs w:val="20"/>
        </w:rPr>
        <w:t xml:space="preserve">A cette fin, il est demandé de compléter le tableau de </w:t>
      </w:r>
      <w:r w:rsidR="005462C7" w:rsidRPr="00C345C4">
        <w:rPr>
          <w:rFonts w:ascii="Avenir Next LT Pro" w:hAnsi="Avenir Next LT Pro" w:cs="Calibri"/>
          <w:color w:val="3E762A" w:themeColor="accent1" w:themeShade="BF"/>
          <w:sz w:val="20"/>
          <w:szCs w:val="20"/>
        </w:rPr>
        <w:t>synthèses</w:t>
      </w:r>
      <w:r w:rsidR="00044C1C" w:rsidRPr="00C345C4">
        <w:rPr>
          <w:rFonts w:ascii="Avenir Next LT Pro" w:hAnsi="Avenir Next LT Pro" w:cs="Calibri"/>
          <w:color w:val="3E762A" w:themeColor="accent1" w:themeShade="BF"/>
          <w:sz w:val="20"/>
          <w:szCs w:val="20"/>
        </w:rPr>
        <w:t xml:space="preserve"> ci-dessous et de fournir dans un fichier </w:t>
      </w:r>
      <w:r w:rsidR="005462C7" w:rsidRPr="00C345C4">
        <w:rPr>
          <w:rFonts w:ascii="Avenir Next LT Pro" w:hAnsi="Avenir Next LT Pro" w:cs="Calibri"/>
          <w:color w:val="3E762A" w:themeColor="accent1" w:themeShade="BF"/>
          <w:sz w:val="20"/>
          <w:szCs w:val="20"/>
        </w:rPr>
        <w:t>séparé</w:t>
      </w:r>
      <w:r w:rsidR="00044C1C" w:rsidRPr="00C345C4">
        <w:rPr>
          <w:rFonts w:ascii="Avenir Next LT Pro" w:hAnsi="Avenir Next LT Pro" w:cs="Calibri"/>
          <w:color w:val="3E762A" w:themeColor="accent1" w:themeShade="BF"/>
          <w:sz w:val="20"/>
          <w:szCs w:val="20"/>
        </w:rPr>
        <w:t xml:space="preserve"> les Comptes rendus de</w:t>
      </w:r>
      <w:r w:rsidR="00F368FF" w:rsidRPr="00C345C4">
        <w:rPr>
          <w:rFonts w:ascii="Avenir Next LT Pro" w:hAnsi="Avenir Next LT Pro" w:cs="Calibri"/>
          <w:color w:val="3E762A" w:themeColor="accent1" w:themeShade="BF"/>
          <w:sz w:val="20"/>
          <w:szCs w:val="20"/>
        </w:rPr>
        <w:t>s</w:t>
      </w:r>
      <w:r w:rsidR="00044C1C" w:rsidRPr="00C345C4">
        <w:rPr>
          <w:rFonts w:ascii="Avenir Next LT Pro" w:hAnsi="Avenir Next LT Pro" w:cs="Calibri"/>
          <w:color w:val="3E762A" w:themeColor="accent1" w:themeShade="BF"/>
          <w:sz w:val="20"/>
          <w:szCs w:val="20"/>
        </w:rPr>
        <w:t xml:space="preserve"> </w:t>
      </w:r>
      <w:r w:rsidR="005462C7" w:rsidRPr="00C345C4">
        <w:rPr>
          <w:rFonts w:ascii="Avenir Next LT Pro" w:hAnsi="Avenir Next LT Pro" w:cs="Calibri"/>
          <w:color w:val="3E762A" w:themeColor="accent1" w:themeShade="BF"/>
          <w:sz w:val="20"/>
          <w:szCs w:val="20"/>
        </w:rPr>
        <w:t>réunion</w:t>
      </w:r>
      <w:r w:rsidR="00F368FF" w:rsidRPr="00C345C4">
        <w:rPr>
          <w:rFonts w:ascii="Avenir Next LT Pro" w:hAnsi="Avenir Next LT Pro" w:cs="Calibri"/>
          <w:color w:val="3E762A" w:themeColor="accent1" w:themeShade="BF"/>
          <w:sz w:val="20"/>
          <w:szCs w:val="20"/>
        </w:rPr>
        <w:t>s</w:t>
      </w:r>
      <w:r w:rsidR="00044C1C" w:rsidRPr="00C345C4">
        <w:rPr>
          <w:rFonts w:ascii="Avenir Next LT Pro" w:hAnsi="Avenir Next LT Pro" w:cs="Calibri"/>
          <w:color w:val="3E762A" w:themeColor="accent1" w:themeShade="BF"/>
          <w:sz w:val="20"/>
          <w:szCs w:val="20"/>
        </w:rPr>
        <w:t xml:space="preserve"> et listes de présence</w:t>
      </w:r>
      <w:r w:rsidR="00044C1C" w:rsidRPr="00C345C4">
        <w:rPr>
          <w:rFonts w:ascii="Avenir Next LT Pro" w:hAnsi="Avenir Next LT Pro" w:cs="Calibri"/>
          <w:color w:val="3E762A" w:themeColor="accent1" w:themeShade="BF"/>
        </w:rPr>
        <w:t xml:space="preserve">. </w:t>
      </w:r>
    </w:p>
    <w:p w14:paraId="0F10D6DA" w14:textId="4B60C53E" w:rsidR="00904C15" w:rsidRPr="00E13D5D" w:rsidRDefault="00904C15" w:rsidP="00E13D5D">
      <w:pPr>
        <w:pStyle w:val="Lgende"/>
        <w:rPr>
          <w:rFonts w:ascii="Avenir Next LT Pro" w:hAnsi="Avenir Next LT Pro" w:cs="Calibri"/>
          <w:b/>
          <w:bCs/>
          <w:color w:val="3E762A" w:themeColor="accent1" w:themeShade="BF"/>
        </w:rPr>
      </w:pPr>
      <w:bookmarkStart w:id="79" w:name="_Toc179238791"/>
      <w:r w:rsidRPr="00E13D5D">
        <w:rPr>
          <w:b/>
          <w:bCs/>
          <w:i w:val="0"/>
          <w:iCs w:val="0"/>
          <w:sz w:val="22"/>
          <w:szCs w:val="22"/>
        </w:rPr>
        <w:t xml:space="preserve">Tableau </w:t>
      </w:r>
      <w:r w:rsidRPr="00E13D5D">
        <w:rPr>
          <w:b/>
          <w:bCs/>
          <w:i w:val="0"/>
          <w:iCs w:val="0"/>
          <w:sz w:val="22"/>
          <w:szCs w:val="22"/>
        </w:rPr>
        <w:fldChar w:fldCharType="begin"/>
      </w:r>
      <w:r w:rsidRPr="00E13D5D">
        <w:rPr>
          <w:b/>
          <w:bCs/>
          <w:i w:val="0"/>
          <w:iCs w:val="0"/>
          <w:sz w:val="22"/>
          <w:szCs w:val="22"/>
        </w:rPr>
        <w:instrText xml:space="preserve"> SEQ Tableau \* ARABIC </w:instrText>
      </w:r>
      <w:r w:rsidRPr="00E13D5D">
        <w:rPr>
          <w:b/>
          <w:bCs/>
          <w:i w:val="0"/>
          <w:iCs w:val="0"/>
          <w:sz w:val="22"/>
          <w:szCs w:val="22"/>
        </w:rPr>
        <w:fldChar w:fldCharType="separate"/>
      </w:r>
      <w:r w:rsidR="0059639C">
        <w:rPr>
          <w:b/>
          <w:bCs/>
          <w:i w:val="0"/>
          <w:iCs w:val="0"/>
          <w:noProof/>
          <w:sz w:val="22"/>
          <w:szCs w:val="22"/>
        </w:rPr>
        <w:t>7</w:t>
      </w:r>
      <w:r w:rsidRPr="00E13D5D">
        <w:rPr>
          <w:b/>
          <w:bCs/>
          <w:i w:val="0"/>
          <w:iCs w:val="0"/>
          <w:sz w:val="22"/>
          <w:szCs w:val="22"/>
        </w:rPr>
        <w:fldChar w:fldCharType="end"/>
      </w:r>
      <w:r w:rsidRPr="00E13D5D">
        <w:rPr>
          <w:b/>
          <w:bCs/>
          <w:i w:val="0"/>
          <w:iCs w:val="0"/>
          <w:sz w:val="22"/>
          <w:szCs w:val="22"/>
        </w:rPr>
        <w:t xml:space="preserve"> Consultation des parties prenantes</w:t>
      </w:r>
      <w:bookmarkEnd w:id="79"/>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1341"/>
        <w:gridCol w:w="2155"/>
        <w:gridCol w:w="1828"/>
        <w:gridCol w:w="1476"/>
      </w:tblGrid>
      <w:tr w:rsidR="0085123F" w:rsidRPr="0085123F" w14:paraId="4F53CD0E" w14:textId="77777777" w:rsidTr="00E13D5D">
        <w:trPr>
          <w:trHeight w:val="971"/>
        </w:trPr>
        <w:tc>
          <w:tcPr>
            <w:tcW w:w="2315" w:type="dxa"/>
            <w:shd w:val="clear" w:color="auto" w:fill="3E762A" w:themeFill="accent1" w:themeFillShade="BF"/>
          </w:tcPr>
          <w:p w14:paraId="558FE3BD" w14:textId="32029F12" w:rsidR="00E80E17" w:rsidRPr="0085123F" w:rsidRDefault="008B6DF7" w:rsidP="00B335AE">
            <w:pPr>
              <w:spacing w:after="0"/>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Type de consultation (atelier national de lancement, revue mi-parcours, atelier de validation pour la soumission conjointe, etc.)</w:t>
            </w:r>
          </w:p>
        </w:tc>
        <w:tc>
          <w:tcPr>
            <w:tcW w:w="1219" w:type="dxa"/>
            <w:shd w:val="clear" w:color="auto" w:fill="3E762A" w:themeFill="accent1" w:themeFillShade="BF"/>
          </w:tcPr>
          <w:p w14:paraId="0C20B350" w14:textId="1BE3C18B" w:rsidR="00E80E17" w:rsidRPr="0085123F" w:rsidRDefault="008B6DF7" w:rsidP="0045797A">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Date</w:t>
            </w:r>
            <w:r w:rsidR="00F5449F" w:rsidRPr="0085123F">
              <w:rPr>
                <w:rFonts w:ascii="Avenir Next LT Pro" w:hAnsi="Avenir Next LT Pro" w:cs="Calibri"/>
                <w:b/>
                <w:color w:val="FFFFFF" w:themeColor="background1"/>
                <w:sz w:val="18"/>
                <w:szCs w:val="18"/>
              </w:rPr>
              <w:t>(</w:t>
            </w:r>
            <w:r w:rsidR="0073706E" w:rsidRPr="0085123F">
              <w:rPr>
                <w:rFonts w:ascii="Avenir Next LT Pro" w:hAnsi="Avenir Next LT Pro" w:cs="Calibri"/>
                <w:b/>
                <w:color w:val="FFFFFF" w:themeColor="background1"/>
                <w:sz w:val="18"/>
                <w:szCs w:val="18"/>
              </w:rPr>
              <w:t>s</w:t>
            </w:r>
            <w:r w:rsidR="00F5449F" w:rsidRPr="0085123F">
              <w:rPr>
                <w:rFonts w:ascii="Avenir Next LT Pro" w:hAnsi="Avenir Next LT Pro" w:cs="Calibri"/>
                <w:b/>
                <w:color w:val="FFFFFF" w:themeColor="background1"/>
                <w:sz w:val="18"/>
                <w:szCs w:val="18"/>
              </w:rPr>
              <w:t>)</w:t>
            </w:r>
          </w:p>
        </w:tc>
        <w:tc>
          <w:tcPr>
            <w:tcW w:w="2201" w:type="dxa"/>
            <w:shd w:val="clear" w:color="auto" w:fill="3E762A" w:themeFill="accent1" w:themeFillShade="BF"/>
          </w:tcPr>
          <w:p w14:paraId="5D8BBBE2" w14:textId="067B5A4B" w:rsidR="00E80E17" w:rsidRPr="0085123F" w:rsidRDefault="008B6DF7" w:rsidP="0045797A">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 xml:space="preserve">Liste des organisations participantes et nombre de participants </w:t>
            </w:r>
          </w:p>
        </w:tc>
        <w:tc>
          <w:tcPr>
            <w:tcW w:w="1828" w:type="dxa"/>
            <w:shd w:val="clear" w:color="auto" w:fill="3E762A" w:themeFill="accent1" w:themeFillShade="BF"/>
          </w:tcPr>
          <w:p w14:paraId="54B3B34E" w14:textId="119C5DB1" w:rsidR="00E80E17" w:rsidRPr="0085123F" w:rsidRDefault="008B6DF7" w:rsidP="0045797A">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 xml:space="preserve">Résumé des </w:t>
            </w:r>
            <w:r w:rsidR="00A749CA" w:rsidRPr="0085123F">
              <w:rPr>
                <w:rFonts w:ascii="Avenir Next LT Pro" w:hAnsi="Avenir Next LT Pro" w:cs="Calibri"/>
                <w:b/>
                <w:color w:val="FFFFFF" w:themeColor="background1"/>
                <w:sz w:val="18"/>
                <w:szCs w:val="18"/>
              </w:rPr>
              <w:t>r</w:t>
            </w:r>
            <w:r w:rsidR="00E80E17" w:rsidRPr="0085123F">
              <w:rPr>
                <w:rFonts w:ascii="Avenir Next LT Pro" w:hAnsi="Avenir Next LT Pro" w:cs="Calibri"/>
                <w:b/>
                <w:color w:val="FFFFFF" w:themeColor="background1"/>
                <w:sz w:val="18"/>
                <w:szCs w:val="18"/>
              </w:rPr>
              <w:t xml:space="preserve">ecommandations </w:t>
            </w:r>
          </w:p>
        </w:tc>
        <w:tc>
          <w:tcPr>
            <w:tcW w:w="1504" w:type="dxa"/>
            <w:shd w:val="clear" w:color="auto" w:fill="3E762A" w:themeFill="accent1" w:themeFillShade="BF"/>
          </w:tcPr>
          <w:p w14:paraId="0CF287E3" w14:textId="5F85C0E9" w:rsidR="00E80E17" w:rsidRPr="0085123F" w:rsidRDefault="008B6DF7" w:rsidP="0045797A">
            <w:pPr>
              <w:rPr>
                <w:rFonts w:ascii="Avenir Next LT Pro" w:hAnsi="Avenir Next LT Pro" w:cs="Calibri"/>
                <w:b/>
                <w:color w:val="FFFFFF" w:themeColor="background1"/>
                <w:sz w:val="18"/>
                <w:szCs w:val="18"/>
              </w:rPr>
            </w:pPr>
            <w:r w:rsidRPr="0085123F">
              <w:rPr>
                <w:rFonts w:ascii="Avenir Next LT Pro" w:hAnsi="Avenir Next LT Pro" w:cs="Calibri"/>
                <w:b/>
                <w:color w:val="FFFFFF" w:themeColor="background1"/>
                <w:sz w:val="18"/>
                <w:szCs w:val="18"/>
              </w:rPr>
              <w:t>Compte rendu et liste de présence soumis dans un fichier séparé</w:t>
            </w:r>
            <w:r w:rsidR="00B335AE" w:rsidRPr="0085123F">
              <w:rPr>
                <w:rFonts w:ascii="Avenir Next LT Pro" w:hAnsi="Avenir Next LT Pro" w:cs="Calibri"/>
                <w:b/>
                <w:color w:val="FFFFFF" w:themeColor="background1"/>
                <w:sz w:val="18"/>
                <w:szCs w:val="18"/>
              </w:rPr>
              <w:t xml:space="preserve"> (</w:t>
            </w:r>
            <w:r w:rsidR="00B335AE" w:rsidRPr="0085123F">
              <w:rPr>
                <w:rFonts w:ascii="Wingdings" w:eastAsia="Wingdings" w:hAnsi="Wingdings" w:cs="Wingdings"/>
                <w:b/>
                <w:color w:val="FFFFFF" w:themeColor="background1"/>
                <w:sz w:val="18"/>
                <w:szCs w:val="18"/>
              </w:rPr>
              <w:t>ü</w:t>
            </w:r>
            <w:r w:rsidR="00B335AE" w:rsidRPr="0085123F">
              <w:rPr>
                <w:rFonts w:ascii="Avenir Next LT Pro" w:hAnsi="Avenir Next LT Pro" w:cs="Calibri"/>
                <w:b/>
                <w:color w:val="FFFFFF" w:themeColor="background1"/>
                <w:sz w:val="18"/>
                <w:szCs w:val="18"/>
              </w:rPr>
              <w:t>)</w:t>
            </w:r>
          </w:p>
        </w:tc>
      </w:tr>
      <w:tr w:rsidR="00E80E17" w:rsidRPr="00C345C4" w14:paraId="348B36A2" w14:textId="77777777" w:rsidTr="00E13D5D">
        <w:tc>
          <w:tcPr>
            <w:tcW w:w="2315" w:type="dxa"/>
            <w:shd w:val="clear" w:color="auto" w:fill="auto"/>
          </w:tcPr>
          <w:p w14:paraId="5CEE77C3" w14:textId="615B1A44" w:rsidR="00E80E17" w:rsidRPr="00C345C4" w:rsidRDefault="008D48AE" w:rsidP="0045797A">
            <w:pPr>
              <w:rPr>
                <w:rFonts w:ascii="Avenir Next LT Pro" w:hAnsi="Avenir Next LT Pro" w:cs="Calibri"/>
              </w:rPr>
            </w:pPr>
            <w:r>
              <w:rPr>
                <w:rFonts w:ascii="Avenir Next LT Pro" w:hAnsi="Avenir Next LT Pro" w:cs="Calibri"/>
              </w:rPr>
              <w:t xml:space="preserve">Atelier de lancement de l’étude de l’étude de cadrage du projet </w:t>
            </w:r>
          </w:p>
        </w:tc>
        <w:tc>
          <w:tcPr>
            <w:tcW w:w="1219" w:type="dxa"/>
            <w:shd w:val="clear" w:color="auto" w:fill="auto"/>
          </w:tcPr>
          <w:p w14:paraId="43756056" w14:textId="4063F003" w:rsidR="00E80E17" w:rsidRPr="00C345C4" w:rsidRDefault="008D48AE" w:rsidP="0045797A">
            <w:pPr>
              <w:rPr>
                <w:rFonts w:ascii="Avenir Next LT Pro" w:hAnsi="Avenir Next LT Pro" w:cs="Calibri"/>
              </w:rPr>
            </w:pPr>
            <w:r>
              <w:rPr>
                <w:rFonts w:ascii="Avenir Next LT Pro" w:hAnsi="Avenir Next LT Pro" w:cs="Calibri"/>
              </w:rPr>
              <w:t>07 Mai 2024</w:t>
            </w:r>
          </w:p>
        </w:tc>
        <w:tc>
          <w:tcPr>
            <w:tcW w:w="2201" w:type="dxa"/>
            <w:shd w:val="clear" w:color="auto" w:fill="auto"/>
          </w:tcPr>
          <w:p w14:paraId="08FD9DAF" w14:textId="407E771A" w:rsidR="00E80E17" w:rsidRPr="00C345C4" w:rsidRDefault="008D48AE" w:rsidP="0045797A">
            <w:pPr>
              <w:rPr>
                <w:rFonts w:ascii="Avenir Next LT Pro" w:hAnsi="Avenir Next LT Pro" w:cs="Calibri"/>
              </w:rPr>
            </w:pPr>
            <w:r>
              <w:rPr>
                <w:rFonts w:ascii="Avenir Next LT Pro" w:hAnsi="Avenir Next LT Pro" w:cs="Calibri"/>
              </w:rPr>
              <w:t xml:space="preserve">Voir compte-Rendu </w:t>
            </w:r>
          </w:p>
        </w:tc>
        <w:tc>
          <w:tcPr>
            <w:tcW w:w="1828" w:type="dxa"/>
            <w:shd w:val="clear" w:color="auto" w:fill="auto"/>
          </w:tcPr>
          <w:p w14:paraId="0496FF45" w14:textId="2EB6088A" w:rsidR="00E80E17" w:rsidRPr="00C345C4" w:rsidRDefault="008D48AE" w:rsidP="00E13D5D">
            <w:pPr>
              <w:rPr>
                <w:rFonts w:ascii="Avenir Next LT Pro" w:hAnsi="Avenir Next LT Pro" w:cs="Calibri"/>
              </w:rPr>
            </w:pPr>
            <w:r>
              <w:rPr>
                <w:rFonts w:ascii="Avenir Next LT Pro" w:hAnsi="Avenir Next LT Pro" w:cs="Calibri"/>
              </w:rPr>
              <w:t xml:space="preserve">Mettre en place un cadre de coopération avec les PTF afin de renforcer les synergies </w:t>
            </w:r>
          </w:p>
        </w:tc>
        <w:tc>
          <w:tcPr>
            <w:tcW w:w="1504" w:type="dxa"/>
            <w:shd w:val="clear" w:color="auto" w:fill="auto"/>
          </w:tcPr>
          <w:p w14:paraId="2FCBB27D" w14:textId="77777777" w:rsidR="00E80E17" w:rsidRPr="00E13D5D" w:rsidRDefault="00E80E17" w:rsidP="00E13D5D">
            <w:pPr>
              <w:pStyle w:val="Paragraphedeliste"/>
              <w:numPr>
                <w:ilvl w:val="0"/>
                <w:numId w:val="48"/>
              </w:numPr>
              <w:rPr>
                <w:rFonts w:ascii="Avenir Next LT Pro" w:hAnsi="Avenir Next LT Pro" w:cs="Calibri"/>
              </w:rPr>
            </w:pPr>
          </w:p>
        </w:tc>
      </w:tr>
      <w:tr w:rsidR="00E80E17" w:rsidRPr="00C345C4" w14:paraId="02BDE3BD" w14:textId="77777777" w:rsidTr="00E13D5D">
        <w:tc>
          <w:tcPr>
            <w:tcW w:w="2315" w:type="dxa"/>
            <w:shd w:val="clear" w:color="auto" w:fill="auto"/>
          </w:tcPr>
          <w:p w14:paraId="5BBBBACB" w14:textId="4A04707F" w:rsidR="00E80E17" w:rsidRPr="00C345C4" w:rsidRDefault="008D48AE" w:rsidP="0045797A">
            <w:pPr>
              <w:rPr>
                <w:rFonts w:ascii="Avenir Next LT Pro" w:hAnsi="Avenir Next LT Pro" w:cs="Calibri"/>
              </w:rPr>
            </w:pPr>
            <w:r>
              <w:rPr>
                <w:rFonts w:ascii="Avenir Next LT Pro" w:hAnsi="Avenir Next LT Pro" w:cs="Calibri"/>
              </w:rPr>
              <w:t xml:space="preserve">Réunion d’échange avec les membres du GIBEC </w:t>
            </w:r>
          </w:p>
        </w:tc>
        <w:tc>
          <w:tcPr>
            <w:tcW w:w="1219" w:type="dxa"/>
            <w:shd w:val="clear" w:color="auto" w:fill="auto"/>
          </w:tcPr>
          <w:p w14:paraId="4BF9E4B2" w14:textId="55C18C00" w:rsidR="00E80E17" w:rsidRPr="00C345C4" w:rsidRDefault="008D48AE" w:rsidP="0045797A">
            <w:pPr>
              <w:rPr>
                <w:rFonts w:ascii="Avenir Next LT Pro" w:hAnsi="Avenir Next LT Pro" w:cs="Calibri"/>
              </w:rPr>
            </w:pPr>
            <w:r>
              <w:rPr>
                <w:rFonts w:ascii="Avenir Next LT Pro" w:hAnsi="Avenir Next LT Pro" w:cs="Calibri"/>
              </w:rPr>
              <w:t xml:space="preserve">20 Juin 2024 </w:t>
            </w:r>
          </w:p>
        </w:tc>
        <w:tc>
          <w:tcPr>
            <w:tcW w:w="2201" w:type="dxa"/>
            <w:shd w:val="clear" w:color="auto" w:fill="auto"/>
          </w:tcPr>
          <w:p w14:paraId="4CC77088" w14:textId="400796D2" w:rsidR="00E80E17" w:rsidRPr="00C345C4" w:rsidRDefault="008D48AE" w:rsidP="0045797A">
            <w:pPr>
              <w:rPr>
                <w:rFonts w:ascii="Avenir Next LT Pro" w:hAnsi="Avenir Next LT Pro" w:cs="Calibri"/>
              </w:rPr>
            </w:pPr>
            <w:r>
              <w:rPr>
                <w:rFonts w:ascii="Avenir Next LT Pro" w:hAnsi="Avenir Next LT Pro" w:cs="Calibri"/>
              </w:rPr>
              <w:t xml:space="preserve">Voir Liste de présence </w:t>
            </w:r>
          </w:p>
        </w:tc>
        <w:tc>
          <w:tcPr>
            <w:tcW w:w="1828" w:type="dxa"/>
            <w:shd w:val="clear" w:color="auto" w:fill="auto"/>
          </w:tcPr>
          <w:p w14:paraId="1A34F284" w14:textId="14D70088" w:rsidR="00E80E17" w:rsidRPr="00C345C4" w:rsidRDefault="008D48AE" w:rsidP="0045797A">
            <w:pPr>
              <w:jc w:val="center"/>
              <w:rPr>
                <w:rFonts w:ascii="Avenir Next LT Pro" w:hAnsi="Avenir Next LT Pro" w:cs="Calibri"/>
              </w:rPr>
            </w:pPr>
            <w:r>
              <w:rPr>
                <w:rFonts w:ascii="Avenir Next LT Pro" w:hAnsi="Avenir Next LT Pro" w:cs="Calibri"/>
              </w:rPr>
              <w:t xml:space="preserve">Transmettre aux partenaires la matrice d’identification des initiatives d’appui au développement du marché du carbone </w:t>
            </w:r>
          </w:p>
        </w:tc>
        <w:tc>
          <w:tcPr>
            <w:tcW w:w="1504" w:type="dxa"/>
            <w:shd w:val="clear" w:color="auto" w:fill="auto"/>
          </w:tcPr>
          <w:p w14:paraId="7C487503" w14:textId="77777777" w:rsidR="00E80E17" w:rsidRPr="00C345C4" w:rsidRDefault="00E80E17" w:rsidP="0045797A">
            <w:pPr>
              <w:rPr>
                <w:rFonts w:ascii="Avenir Next LT Pro" w:hAnsi="Avenir Next LT Pro" w:cs="Calibri"/>
              </w:rPr>
            </w:pPr>
          </w:p>
        </w:tc>
      </w:tr>
      <w:tr w:rsidR="008D48AE" w:rsidRPr="00C345C4" w14:paraId="3DCDE65D" w14:textId="77777777" w:rsidTr="008D48AE">
        <w:tc>
          <w:tcPr>
            <w:tcW w:w="2315" w:type="dxa"/>
            <w:shd w:val="clear" w:color="auto" w:fill="auto"/>
          </w:tcPr>
          <w:p w14:paraId="23728150" w14:textId="72B4F7EF" w:rsidR="008D48AE" w:rsidRDefault="008D48AE" w:rsidP="0045797A">
            <w:pPr>
              <w:rPr>
                <w:rFonts w:ascii="Avenir Next LT Pro" w:hAnsi="Avenir Next LT Pro" w:cs="Calibri"/>
              </w:rPr>
            </w:pPr>
            <w:r>
              <w:rPr>
                <w:rFonts w:ascii="Avenir Next LT Pro" w:hAnsi="Avenir Next LT Pro" w:cs="Calibri"/>
              </w:rPr>
              <w:t xml:space="preserve">Consultation des acteurs du secteur privé dans le cadre de la préparation de l’étude de cadrage </w:t>
            </w:r>
          </w:p>
        </w:tc>
        <w:tc>
          <w:tcPr>
            <w:tcW w:w="1219" w:type="dxa"/>
            <w:shd w:val="clear" w:color="auto" w:fill="auto"/>
          </w:tcPr>
          <w:p w14:paraId="7AD7AA02" w14:textId="6E08546F" w:rsidR="008D48AE" w:rsidRDefault="008D48AE" w:rsidP="0045797A">
            <w:pPr>
              <w:rPr>
                <w:rFonts w:ascii="Avenir Next LT Pro" w:hAnsi="Avenir Next LT Pro" w:cs="Calibri"/>
              </w:rPr>
            </w:pPr>
            <w:r>
              <w:rPr>
                <w:rFonts w:ascii="Avenir Next LT Pro" w:hAnsi="Avenir Next LT Pro" w:cs="Calibri"/>
              </w:rPr>
              <w:t xml:space="preserve">Du 10 au 20 juin </w:t>
            </w:r>
          </w:p>
        </w:tc>
        <w:tc>
          <w:tcPr>
            <w:tcW w:w="2201" w:type="dxa"/>
            <w:shd w:val="clear" w:color="auto" w:fill="auto"/>
          </w:tcPr>
          <w:p w14:paraId="3EA207A9" w14:textId="0A821044" w:rsidR="008D48AE" w:rsidRDefault="008D48AE" w:rsidP="0045797A">
            <w:pPr>
              <w:rPr>
                <w:rFonts w:ascii="Avenir Next LT Pro" w:hAnsi="Avenir Next LT Pro" w:cs="Calibri"/>
              </w:rPr>
            </w:pPr>
            <w:r>
              <w:rPr>
                <w:rFonts w:ascii="Avenir Next LT Pro" w:hAnsi="Avenir Next LT Pro" w:cs="Calibri"/>
              </w:rPr>
              <w:t xml:space="preserve">Voir liste des personnes consultées </w:t>
            </w:r>
          </w:p>
        </w:tc>
        <w:tc>
          <w:tcPr>
            <w:tcW w:w="1828" w:type="dxa"/>
            <w:shd w:val="clear" w:color="auto" w:fill="auto"/>
          </w:tcPr>
          <w:p w14:paraId="690CBED3" w14:textId="77777777" w:rsidR="008D48AE" w:rsidRDefault="008D48AE" w:rsidP="0045797A">
            <w:pPr>
              <w:jc w:val="center"/>
              <w:rPr>
                <w:rFonts w:ascii="Avenir Next LT Pro" w:hAnsi="Avenir Next LT Pro" w:cs="Calibri"/>
              </w:rPr>
            </w:pPr>
          </w:p>
        </w:tc>
        <w:tc>
          <w:tcPr>
            <w:tcW w:w="1504" w:type="dxa"/>
            <w:shd w:val="clear" w:color="auto" w:fill="auto"/>
          </w:tcPr>
          <w:p w14:paraId="29019C17" w14:textId="77777777" w:rsidR="008D48AE" w:rsidRPr="00E13D5D" w:rsidRDefault="008D48AE" w:rsidP="00E13D5D">
            <w:pPr>
              <w:pStyle w:val="Paragraphedeliste"/>
              <w:numPr>
                <w:ilvl w:val="0"/>
                <w:numId w:val="48"/>
              </w:numPr>
              <w:rPr>
                <w:rFonts w:ascii="Avenir Next LT Pro" w:hAnsi="Avenir Next LT Pro" w:cs="Calibri"/>
              </w:rPr>
            </w:pPr>
          </w:p>
        </w:tc>
      </w:tr>
      <w:tr w:rsidR="0016601A" w:rsidRPr="00C345C4" w14:paraId="10764BB1" w14:textId="77777777" w:rsidTr="008D48AE">
        <w:tc>
          <w:tcPr>
            <w:tcW w:w="2315" w:type="dxa"/>
            <w:shd w:val="clear" w:color="auto" w:fill="auto"/>
          </w:tcPr>
          <w:p w14:paraId="60481ED3" w14:textId="115CD92F" w:rsidR="0016601A" w:rsidRDefault="00304544" w:rsidP="0045797A">
            <w:pPr>
              <w:rPr>
                <w:rFonts w:ascii="Avenir Next LT Pro" w:hAnsi="Avenir Next LT Pro" w:cs="Calibri"/>
              </w:rPr>
            </w:pPr>
            <w:r w:rsidRPr="00E13D5D">
              <w:rPr>
                <w:rFonts w:ascii="Avenir Next LT Pro" w:hAnsi="Avenir Next LT Pro" w:cs="Calibri"/>
              </w:rPr>
              <w:t>Reunion avec Conseiller Climat du Ministre des Finances en charge du changement climatique et suivi budgétaire</w:t>
            </w:r>
          </w:p>
        </w:tc>
        <w:tc>
          <w:tcPr>
            <w:tcW w:w="1219" w:type="dxa"/>
            <w:shd w:val="clear" w:color="auto" w:fill="auto"/>
          </w:tcPr>
          <w:p w14:paraId="49D37C2A" w14:textId="68AD7460" w:rsidR="0016601A" w:rsidRDefault="00304544" w:rsidP="0045797A">
            <w:pPr>
              <w:rPr>
                <w:rFonts w:ascii="Avenir Next LT Pro" w:hAnsi="Avenir Next LT Pro" w:cs="Calibri"/>
              </w:rPr>
            </w:pPr>
            <w:r>
              <w:rPr>
                <w:rFonts w:ascii="Avenir Next LT Pro" w:hAnsi="Avenir Next LT Pro" w:cs="Calibri"/>
              </w:rPr>
              <w:t>06 Septembre 2024</w:t>
            </w:r>
          </w:p>
        </w:tc>
        <w:tc>
          <w:tcPr>
            <w:tcW w:w="2201" w:type="dxa"/>
            <w:shd w:val="clear" w:color="auto" w:fill="auto"/>
          </w:tcPr>
          <w:p w14:paraId="514F263B" w14:textId="7B13F36E" w:rsidR="0016601A" w:rsidRDefault="00304544" w:rsidP="0045797A">
            <w:pPr>
              <w:rPr>
                <w:rFonts w:ascii="Avenir Next LT Pro" w:hAnsi="Avenir Next LT Pro" w:cs="Calibri"/>
              </w:rPr>
            </w:pPr>
            <w:r>
              <w:rPr>
                <w:rFonts w:ascii="Avenir Next LT Pro" w:hAnsi="Avenir Next LT Pro" w:cs="Calibri"/>
              </w:rPr>
              <w:t xml:space="preserve">Voir compte-rendu </w:t>
            </w:r>
          </w:p>
        </w:tc>
        <w:tc>
          <w:tcPr>
            <w:tcW w:w="1828" w:type="dxa"/>
            <w:shd w:val="clear" w:color="auto" w:fill="auto"/>
          </w:tcPr>
          <w:p w14:paraId="647A9081" w14:textId="3B5AF16F" w:rsidR="0016601A" w:rsidRDefault="005C5554" w:rsidP="0045797A">
            <w:pPr>
              <w:jc w:val="center"/>
              <w:rPr>
                <w:rFonts w:ascii="Avenir Next LT Pro" w:hAnsi="Avenir Next LT Pro" w:cs="Calibri"/>
              </w:rPr>
            </w:pPr>
            <w:r>
              <w:rPr>
                <w:rFonts w:ascii="Avenir Next LT Pro" w:hAnsi="Avenir Next LT Pro" w:cs="Calibri"/>
              </w:rPr>
              <w:t xml:space="preserve">Le conseiller   climat  se rapprochera du Ministre des Finances pour recueillir son avis en vue de clarifier le nom de l’entité désignée pour participer au </w:t>
            </w:r>
            <w:r>
              <w:rPr>
                <w:rFonts w:ascii="Avenir Next LT Pro" w:hAnsi="Avenir Next LT Pro" w:cs="Calibri"/>
              </w:rPr>
              <w:lastRenderedPageBreak/>
              <w:t xml:space="preserve">projet. Aussi, il a été suggérer d’organiser une session du  </w:t>
            </w:r>
            <w:r w:rsidR="00904C15">
              <w:rPr>
                <w:rFonts w:ascii="Avenir Next LT Pro" w:hAnsi="Avenir Next LT Pro" w:cs="Calibri"/>
              </w:rPr>
              <w:t xml:space="preserve">CLEP du présent projet en urgence. </w:t>
            </w:r>
            <w:r>
              <w:rPr>
                <w:rFonts w:ascii="Avenir Next LT Pro" w:hAnsi="Avenir Next LT Pro" w:cs="Calibri"/>
              </w:rPr>
              <w:t xml:space="preserve">  </w:t>
            </w:r>
          </w:p>
        </w:tc>
        <w:tc>
          <w:tcPr>
            <w:tcW w:w="1504" w:type="dxa"/>
            <w:shd w:val="clear" w:color="auto" w:fill="auto"/>
          </w:tcPr>
          <w:p w14:paraId="4D06945B" w14:textId="77777777" w:rsidR="0016601A" w:rsidRPr="0016601A" w:rsidRDefault="0016601A">
            <w:pPr>
              <w:pStyle w:val="Paragraphedeliste"/>
              <w:numPr>
                <w:ilvl w:val="0"/>
                <w:numId w:val="48"/>
              </w:numPr>
              <w:rPr>
                <w:rFonts w:ascii="Avenir Next LT Pro" w:hAnsi="Avenir Next LT Pro" w:cs="Calibri"/>
              </w:rPr>
            </w:pPr>
          </w:p>
        </w:tc>
      </w:tr>
    </w:tbl>
    <w:p w14:paraId="76EBDB24" w14:textId="77777777" w:rsidR="00E80E17" w:rsidRPr="00C345C4" w:rsidRDefault="00E80E17" w:rsidP="00EF6E8E">
      <w:pPr>
        <w:tabs>
          <w:tab w:val="left" w:pos="4068"/>
        </w:tabs>
        <w:spacing w:after="120"/>
        <w:jc w:val="both"/>
        <w:rPr>
          <w:rFonts w:ascii="Avenir Next LT Pro" w:hAnsi="Avenir Next LT Pro" w:cs="Calibri"/>
        </w:rPr>
      </w:pPr>
    </w:p>
    <w:p w14:paraId="40B3EC36" w14:textId="77777777" w:rsidR="003135B7" w:rsidRPr="00C345C4" w:rsidRDefault="003135B7" w:rsidP="00EF6E8E">
      <w:pPr>
        <w:spacing w:after="120"/>
        <w:rPr>
          <w:rFonts w:ascii="Avenir Next LT Pro" w:hAnsi="Avenir Next LT Pro"/>
        </w:rPr>
      </w:pPr>
    </w:p>
    <w:p w14:paraId="72E51072" w14:textId="21E56E2E" w:rsidR="002C4D04" w:rsidRPr="00C345C4" w:rsidRDefault="003135B7" w:rsidP="008B3ACD">
      <w:pPr>
        <w:spacing w:after="160" w:line="259" w:lineRule="auto"/>
        <w:rPr>
          <w:rFonts w:ascii="Avenir Next LT Pro" w:eastAsiaTheme="majorEastAsia" w:hAnsi="Avenir Next LT Pro" w:cstheme="majorBidi"/>
          <w:b/>
          <w:bCs/>
          <w:color w:val="000000" w:themeColor="text1"/>
        </w:rPr>
      </w:pPr>
      <w:r w:rsidRPr="00C345C4">
        <w:rPr>
          <w:rFonts w:ascii="Avenir Next LT Pro" w:hAnsi="Avenir Next LT Pro"/>
        </w:rPr>
        <w:br w:type="page"/>
      </w:r>
    </w:p>
    <w:p w14:paraId="4EED7B2D" w14:textId="335B353C" w:rsidR="008B2EE5" w:rsidRPr="00C345C4" w:rsidRDefault="008B2EE5" w:rsidP="00A7529C">
      <w:pPr>
        <w:pStyle w:val="Titre3"/>
      </w:pPr>
      <w:bookmarkStart w:id="80" w:name="_Toc163230402"/>
      <w:r w:rsidRPr="00C345C4">
        <w:lastRenderedPageBreak/>
        <w:t xml:space="preserve">ANNEXE </w:t>
      </w:r>
      <w:r w:rsidR="008B3ACD" w:rsidRPr="00C345C4">
        <w:t>2</w:t>
      </w:r>
      <w:r w:rsidR="004206A2" w:rsidRPr="00C345C4">
        <w:t> </w:t>
      </w:r>
      <w:r w:rsidRPr="00C345C4">
        <w:t xml:space="preserve">: </w:t>
      </w:r>
      <w:r w:rsidR="0051360A" w:rsidRPr="00C345C4">
        <w:t>Analyse et p</w:t>
      </w:r>
      <w:r w:rsidR="002B6EB1" w:rsidRPr="00C345C4">
        <w:t>lan d’</w:t>
      </w:r>
      <w:r w:rsidR="00E47C74" w:rsidRPr="00C345C4">
        <w:t>a</w:t>
      </w:r>
      <w:r w:rsidR="002B6EB1" w:rsidRPr="00C345C4">
        <w:t xml:space="preserve">ction </w:t>
      </w:r>
      <w:r w:rsidR="00E47C74" w:rsidRPr="00C345C4">
        <w:t>g</w:t>
      </w:r>
      <w:r w:rsidR="002B6EB1" w:rsidRPr="00C345C4">
        <w:t>enre</w:t>
      </w:r>
      <w:bookmarkEnd w:id="80"/>
      <w:r w:rsidR="002B6EB1" w:rsidRPr="00C345C4">
        <w:t xml:space="preserve"> </w:t>
      </w:r>
    </w:p>
    <w:p w14:paraId="7419C709" w14:textId="468F6EEE" w:rsidR="008D48AE" w:rsidRPr="005D0B51" w:rsidRDefault="008D48AE" w:rsidP="008D48AE">
      <w:pPr>
        <w:widowControl w:val="0"/>
        <w:spacing w:after="0"/>
        <w:jc w:val="both"/>
        <w:rPr>
          <w:rFonts w:ascii="Avenir Next LT Pro" w:hAnsi="Avenir Next LT Pro"/>
          <w:b/>
          <w:bCs/>
          <w:lang w:eastAsia="en-GB"/>
        </w:rPr>
      </w:pPr>
      <w:r>
        <w:rPr>
          <w:rFonts w:ascii="Avenir Next LT Pro" w:hAnsi="Avenir Next LT Pro"/>
        </w:rPr>
        <w:t xml:space="preserve">La question du genre est prise en compte par le PNUD dans le cadre d’un ensemble de mesures de sauvegardes sociales et environnementales du projet. </w:t>
      </w:r>
      <w:bookmarkStart w:id="81" w:name="_Hlk149478387"/>
    </w:p>
    <w:p w14:paraId="1BF59574" w14:textId="77777777" w:rsidR="008D48AE" w:rsidRPr="005D0B51" w:rsidRDefault="008D48AE" w:rsidP="008D48AE">
      <w:pPr>
        <w:spacing w:after="0"/>
        <w:jc w:val="both"/>
        <w:rPr>
          <w:rFonts w:ascii="Avenir Next LT Pro" w:hAnsi="Avenir Next LT Pro"/>
          <w:sz w:val="20"/>
          <w:szCs w:val="20"/>
          <w:lang w:eastAsia="en-GB"/>
        </w:rPr>
      </w:pPr>
    </w:p>
    <w:p w14:paraId="1C87833F" w14:textId="74866884" w:rsidR="008D48AE" w:rsidRPr="00FB7BE6" w:rsidRDefault="008D48AE" w:rsidP="00FB7BE6">
      <w:pPr>
        <w:pStyle w:val="Paragraphedeliste"/>
        <w:widowControl w:val="0"/>
        <w:numPr>
          <w:ilvl w:val="0"/>
          <w:numId w:val="50"/>
        </w:numPr>
        <w:autoSpaceDE w:val="0"/>
        <w:autoSpaceDN w:val="0"/>
        <w:spacing w:after="0"/>
        <w:jc w:val="both"/>
        <w:rPr>
          <w:rFonts w:ascii="Avenir Next LT Pro" w:hAnsi="Avenir Next LT Pro"/>
          <w:b/>
          <w:bCs/>
          <w:lang w:eastAsia="en-GB"/>
        </w:rPr>
      </w:pPr>
      <w:r w:rsidRPr="00FB7BE6">
        <w:rPr>
          <w:rFonts w:ascii="Avenir Next LT Pro" w:hAnsi="Avenir Next LT Pro"/>
          <w:b/>
          <w:bCs/>
          <w:lang w:eastAsia="en-GB"/>
        </w:rPr>
        <w:t xml:space="preserve">Intégration du genre </w:t>
      </w:r>
    </w:p>
    <w:p w14:paraId="377331AC" w14:textId="1FD72A89" w:rsidR="008D48AE" w:rsidRPr="00FB7BE6" w:rsidRDefault="008D48AE" w:rsidP="008D48AE">
      <w:pPr>
        <w:widowControl w:val="0"/>
        <w:autoSpaceDE w:val="0"/>
        <w:autoSpaceDN w:val="0"/>
        <w:spacing w:after="0"/>
        <w:jc w:val="both"/>
        <w:rPr>
          <w:rFonts w:ascii="Avenir Next LT Pro" w:hAnsi="Avenir Next LT Pro"/>
        </w:rPr>
      </w:pPr>
      <w:r w:rsidRPr="00FB7BE6">
        <w:rPr>
          <w:rFonts w:ascii="Avenir Next LT Pro" w:hAnsi="Avenir Next LT Pro"/>
        </w:rPr>
        <w:t xml:space="preserve">Le rôle clé des femmes ainsi que celui des peuples autochtones et autres groupes marginalisés dans la dynamique de gestion durable des ressources naturelles et de lutte contre le changement climatique est apparu clairement dans les analyses des besoins pour le renforcement de la gouvernance climatique et des marchés du carbone. C’est pourquoi la prise en compte des besoins différenciés et le renforcement de leur participation dans les processus de gouvernance constituera une priorité pour les interventions du Projet. Leur participation dans toutes les composantes du Projet et à tous les niveaux de décision sera promue. </w:t>
      </w:r>
    </w:p>
    <w:p w14:paraId="5945659B" w14:textId="77777777" w:rsidR="008D48AE" w:rsidRPr="00FB7BE6" w:rsidRDefault="008D48AE" w:rsidP="008D48AE">
      <w:pPr>
        <w:widowControl w:val="0"/>
        <w:autoSpaceDE w:val="0"/>
        <w:autoSpaceDN w:val="0"/>
        <w:spacing w:after="0"/>
        <w:jc w:val="both"/>
        <w:rPr>
          <w:rFonts w:ascii="Avenir Next LT Pro" w:hAnsi="Avenir Next LT Pro"/>
        </w:rPr>
      </w:pPr>
    </w:p>
    <w:p w14:paraId="5657C825" w14:textId="77777777" w:rsidR="008D48AE" w:rsidRPr="00FB7BE6" w:rsidRDefault="008D48AE" w:rsidP="008D48AE">
      <w:pPr>
        <w:widowControl w:val="0"/>
        <w:autoSpaceDE w:val="0"/>
        <w:autoSpaceDN w:val="0"/>
        <w:spacing w:after="0"/>
        <w:jc w:val="both"/>
        <w:rPr>
          <w:rFonts w:ascii="Avenir Next LT Pro" w:hAnsi="Avenir Next LT Pro"/>
        </w:rPr>
      </w:pPr>
      <w:r w:rsidRPr="00FB7BE6">
        <w:rPr>
          <w:rFonts w:ascii="Avenir Next LT Pro" w:hAnsi="Avenir Next LT Pro"/>
        </w:rPr>
        <w:t xml:space="preserve">Pour ce faire, le Projet s’appuiera sur la </w:t>
      </w:r>
      <w:hyperlink r:id="rId36" w:history="1">
        <w:r w:rsidRPr="00FB7BE6">
          <w:rPr>
            <w:rFonts w:ascii="Avenir Next LT Pro" w:hAnsi="Avenir Next LT Pro"/>
          </w:rPr>
          <w:t>Stratégie sur l’Egalite Genre 2022-2025</w:t>
        </w:r>
      </w:hyperlink>
      <w:r w:rsidRPr="00FB7BE6">
        <w:rPr>
          <w:rFonts w:ascii="Avenir Next LT Pro" w:hAnsi="Avenir Next LT Pro"/>
        </w:rPr>
        <w:t xml:space="preserve"> du PNUD. </w:t>
      </w:r>
      <w:hyperlink r:id="rId37" w:history="1">
        <w:r w:rsidRPr="00FB7BE6">
          <w:rPr>
            <w:rFonts w:ascii="Avenir Next LT Pro" w:hAnsi="Avenir Next LT Pro"/>
          </w:rPr>
          <w:t>https://www.undp.org/fr/publications/la-strategie-pour-legalite-entre-les-hommes-et-les-femmes-2022-2025</w:t>
        </w:r>
      </w:hyperlink>
      <w:r w:rsidRPr="00FB7BE6">
        <w:rPr>
          <w:rFonts w:ascii="Avenir Next LT Pro" w:hAnsi="Avenir Next LT Pro"/>
        </w:rPr>
        <w:t xml:space="preserve">. Cette stratégie appelle à des changements structurels qui s'attaquent aux racines profondes des inégalités liées au genre et rééquilibrent le pouvoir. Cette stratégie contient des mesures de transformation institutionnelle regroupées en sept composantes interconnectées, inspirées de la certification du label égalité des genres. </w:t>
      </w:r>
    </w:p>
    <w:p w14:paraId="00A60F4F" w14:textId="77777777" w:rsidR="008D48AE" w:rsidRPr="00FB7BE6" w:rsidRDefault="008D48AE" w:rsidP="008D48AE">
      <w:pPr>
        <w:spacing w:after="0"/>
        <w:jc w:val="both"/>
        <w:rPr>
          <w:rFonts w:ascii="Avenir Next LT Pro" w:hAnsi="Avenir Next LT Pro"/>
        </w:rPr>
      </w:pPr>
    </w:p>
    <w:p w14:paraId="7DA5F155" w14:textId="77777777" w:rsidR="008D48AE" w:rsidRPr="005D0B51" w:rsidRDefault="008D48AE" w:rsidP="008D48AE">
      <w:pPr>
        <w:widowControl w:val="0"/>
        <w:spacing w:after="0"/>
        <w:jc w:val="both"/>
        <w:rPr>
          <w:rFonts w:ascii="Avenir Next LT Pro" w:hAnsi="Avenir Next LT Pro"/>
          <w:b/>
          <w:bCs/>
          <w:lang w:eastAsia="en-GB"/>
        </w:rPr>
      </w:pPr>
      <w:r w:rsidRPr="005D0B51">
        <w:rPr>
          <w:rFonts w:ascii="Avenir Next LT Pro" w:hAnsi="Avenir Next LT Pro"/>
          <w:b/>
          <w:bCs/>
          <w:lang w:eastAsia="en-GB"/>
        </w:rPr>
        <w:t>ii. Exploitation, harcèlement et abus sexuels</w:t>
      </w:r>
    </w:p>
    <w:p w14:paraId="62284D74" w14:textId="77777777" w:rsidR="008D48AE" w:rsidRPr="005D0B51" w:rsidRDefault="008D48AE" w:rsidP="008D48AE">
      <w:pPr>
        <w:spacing w:after="0"/>
        <w:jc w:val="both"/>
        <w:rPr>
          <w:rFonts w:ascii="Avenir Next LT Pro" w:hAnsi="Avenir Next LT Pro"/>
          <w:b/>
          <w:bCs/>
          <w:sz w:val="20"/>
          <w:szCs w:val="20"/>
        </w:rPr>
      </w:pPr>
    </w:p>
    <w:p w14:paraId="3F303F05" w14:textId="77777777" w:rsidR="008D48AE" w:rsidRDefault="008D48AE" w:rsidP="008D48AE">
      <w:pPr>
        <w:spacing w:after="0"/>
        <w:jc w:val="both"/>
      </w:pPr>
      <w:r w:rsidRPr="005D0B51">
        <w:t>Les Nations Unies appellent « à une tolérance zéro » pour toute forme de harcèlement sur le lieu de travail. Le Bureau du Programme des Nations Unies pour le Développement (PNUD) en RDC s’inscrit dans cet engagement en ne tolérant aucun comportement qui puisse être interprété comme harcèlement sexuel, abus sexuel ou abus d’autorité. Le PNUD reconnaît ainsi l’importance de la prévention de toute forme de harcèlement dans le milieu du travail et compte jouer un rôle important et crucial dans cette problématique. En plus d’offrir un environnement sain, il s’agit de protéger tous les employé(e)s sur la base des principes suivants : (i) le respect de l’individu, de son intégrité physique et morale ; (ii) la tolérance zéro envers toute forme de harcèlement ; (iii) et le bien-être des employées, leur sécurités et protections.</w:t>
      </w:r>
      <w:r>
        <w:t xml:space="preserve"> </w:t>
      </w:r>
      <w:hyperlink r:id="rId38" w:history="1">
        <w:r w:rsidRPr="00F6681B">
          <w:rPr>
            <w:rStyle w:val="Lienhypertexte"/>
          </w:rPr>
          <w:t>https://www.undp.org/sites/g/files/zskgke326/files/2023-03/undp-sn-Brochure-info-HAS-2023.pdf</w:t>
        </w:r>
      </w:hyperlink>
      <w:r>
        <w:t xml:space="preserve">; </w:t>
      </w:r>
      <w:hyperlink r:id="rId39" w:history="1">
        <w:r w:rsidRPr="00F6681B">
          <w:rPr>
            <w:rStyle w:val="Lienhypertexte"/>
          </w:rPr>
          <w:t>https://www.un.org/preventing-sexual-exploitation-and-abuse/fr</w:t>
        </w:r>
      </w:hyperlink>
      <w:r>
        <w:t xml:space="preserve"> </w:t>
      </w:r>
    </w:p>
    <w:p w14:paraId="38EE8187" w14:textId="77777777" w:rsidR="008D48AE" w:rsidRPr="005D0B51" w:rsidRDefault="008D48AE" w:rsidP="008D48AE">
      <w:pPr>
        <w:spacing w:after="0"/>
        <w:jc w:val="both"/>
        <w:rPr>
          <w:rFonts w:ascii="Avenir Next LT Pro" w:hAnsi="Avenir Next LT Pro"/>
          <w:b/>
          <w:bCs/>
          <w:sz w:val="20"/>
          <w:szCs w:val="20"/>
          <w:lang w:eastAsia="en-GB"/>
        </w:rPr>
      </w:pPr>
    </w:p>
    <w:p w14:paraId="30EBE24C" w14:textId="77777777" w:rsidR="008D48AE" w:rsidRPr="005D0B51" w:rsidRDefault="008D48AE" w:rsidP="008D48AE">
      <w:pPr>
        <w:widowControl w:val="0"/>
        <w:spacing w:after="0"/>
        <w:jc w:val="both"/>
        <w:rPr>
          <w:rFonts w:ascii="Avenir Next LT Pro" w:hAnsi="Avenir Next LT Pro"/>
          <w:b/>
          <w:bCs/>
          <w:lang w:eastAsia="en-GB"/>
        </w:rPr>
      </w:pPr>
      <w:r w:rsidRPr="005D0B51">
        <w:rPr>
          <w:rFonts w:ascii="Avenir Next LT Pro" w:hAnsi="Avenir Next LT Pro"/>
          <w:b/>
          <w:bCs/>
          <w:lang w:eastAsia="en-GB"/>
        </w:rPr>
        <w:t xml:space="preserve">iii. Mesures de sauvegarde de Cancún </w:t>
      </w:r>
    </w:p>
    <w:p w14:paraId="645557AC" w14:textId="77777777" w:rsidR="008D48AE" w:rsidRPr="005D0B51" w:rsidRDefault="008D48AE" w:rsidP="008D48AE">
      <w:pPr>
        <w:widowControl w:val="0"/>
        <w:spacing w:after="0"/>
        <w:jc w:val="both"/>
        <w:rPr>
          <w:rFonts w:ascii="Avenir Next LT Pro" w:hAnsi="Avenir Next LT Pro"/>
          <w:b/>
          <w:bCs/>
          <w:lang w:eastAsia="en-GB"/>
        </w:rPr>
      </w:pPr>
    </w:p>
    <w:p w14:paraId="39114810" w14:textId="77777777" w:rsidR="008D48AE" w:rsidRPr="005D0B51" w:rsidRDefault="008D48AE" w:rsidP="008D48AE">
      <w:pPr>
        <w:widowControl w:val="0"/>
        <w:spacing w:after="0"/>
        <w:jc w:val="both"/>
        <w:rPr>
          <w:rFonts w:ascii="Avenir Next LT Pro" w:hAnsi="Avenir Next LT Pro"/>
          <w:b/>
          <w:bCs/>
          <w:lang w:eastAsia="en-GB"/>
        </w:rPr>
      </w:pPr>
      <w:bookmarkStart w:id="82" w:name="_Hlk149552287"/>
      <w:r w:rsidRPr="005D0B51">
        <w:rPr>
          <w:rFonts w:asciiTheme="minorHAnsi" w:hAnsiTheme="minorHAnsi" w:cstheme="minorHAnsi"/>
          <w:iCs/>
          <w:lang w:val="fr"/>
        </w:rPr>
        <w:t xml:space="preserve">Tenant compte des missions de CAFI et de FONAREDD ainsi que des normes environnementales et sociales, le </w:t>
      </w:r>
      <w:r>
        <w:rPr>
          <w:rFonts w:asciiTheme="minorHAnsi" w:hAnsiTheme="minorHAnsi" w:cstheme="minorHAnsi"/>
          <w:iCs/>
          <w:lang w:val="fr"/>
        </w:rPr>
        <w:t>P</w:t>
      </w:r>
      <w:r w:rsidRPr="005D0B51">
        <w:rPr>
          <w:rFonts w:asciiTheme="minorHAnsi" w:hAnsiTheme="minorHAnsi" w:cstheme="minorHAnsi"/>
          <w:iCs/>
          <w:lang w:val="fr"/>
        </w:rPr>
        <w:t>rojet sera mis en œuvre en respectant les sauvegardes sociales et environnementales de CANCUN.</w:t>
      </w:r>
    </w:p>
    <w:p w14:paraId="67065AD6" w14:textId="77777777" w:rsidR="008D48AE" w:rsidRDefault="008D48AE" w:rsidP="008D48AE">
      <w:pPr>
        <w:spacing w:after="0"/>
        <w:rPr>
          <w:rFonts w:ascii="Avenir Next LT Pro" w:hAnsi="Avenir Next LT Pro"/>
          <w:b/>
          <w:bCs/>
          <w:lang w:eastAsia="en-GB"/>
        </w:rPr>
      </w:pPr>
      <w:r>
        <w:rPr>
          <w:rFonts w:ascii="Avenir Next LT Pro" w:hAnsi="Avenir Next LT Pro"/>
          <w:b/>
          <w:bCs/>
          <w:lang w:eastAsia="en-GB"/>
        </w:rPr>
        <w:br w:type="page"/>
      </w:r>
    </w:p>
    <w:p w14:paraId="79D7B974" w14:textId="77777777" w:rsidR="008D48AE" w:rsidRDefault="008D48AE" w:rsidP="008D48AE">
      <w:pPr>
        <w:widowControl w:val="0"/>
        <w:spacing w:after="0"/>
        <w:jc w:val="both"/>
        <w:rPr>
          <w:rFonts w:ascii="Avenir Next LT Pro" w:hAnsi="Avenir Next LT Pro"/>
          <w:b/>
          <w:bCs/>
          <w:lang w:eastAsia="en-GB"/>
        </w:rPr>
      </w:pPr>
    </w:p>
    <w:bookmarkEnd w:id="82"/>
    <w:p w14:paraId="63F27EB1" w14:textId="77777777" w:rsidR="008D48AE" w:rsidRDefault="008D48AE" w:rsidP="008D48AE">
      <w:pPr>
        <w:widowControl w:val="0"/>
        <w:spacing w:after="0"/>
        <w:jc w:val="both"/>
        <w:rPr>
          <w:rFonts w:ascii="Avenir Next LT Pro" w:hAnsi="Avenir Next LT Pro"/>
          <w:b/>
          <w:bCs/>
          <w:lang w:eastAsia="en-GB"/>
        </w:rPr>
      </w:pPr>
    </w:p>
    <w:p w14:paraId="68F32756" w14:textId="77777777" w:rsidR="008D48AE" w:rsidRPr="005D0B51" w:rsidRDefault="008D48AE" w:rsidP="008D48AE">
      <w:pPr>
        <w:widowControl w:val="0"/>
        <w:spacing w:after="0"/>
        <w:jc w:val="both"/>
        <w:rPr>
          <w:rFonts w:ascii="Avenir Next LT Pro" w:hAnsi="Avenir Next LT Pro"/>
          <w:b/>
          <w:bCs/>
          <w:lang w:eastAsia="en-GB"/>
        </w:rPr>
      </w:pPr>
      <w:r w:rsidRPr="005D0B51">
        <w:rPr>
          <w:rFonts w:asciiTheme="minorHAnsi" w:hAnsiTheme="minorHAnsi" w:cstheme="minorHAnsi"/>
          <w:iCs/>
          <w:lang w:val="fr"/>
        </w:rPr>
        <w:t>Tenant compte des missions de CAFI et de FONAREDD ainsi que des normes environnementales et sociales, le projet sera mis en œuvre en respectant les sauvegardes sociales et environnementales de CANCUN.</w:t>
      </w:r>
    </w:p>
    <w:p w14:paraId="533902AE" w14:textId="77777777" w:rsidR="008D48AE" w:rsidRPr="005D0B51" w:rsidRDefault="008D48AE" w:rsidP="008D48AE">
      <w:pPr>
        <w:widowControl w:val="0"/>
        <w:spacing w:after="0"/>
        <w:jc w:val="both"/>
        <w:rPr>
          <w:rFonts w:ascii="Avenir Next LT Pro" w:hAnsi="Avenir Next LT Pro"/>
          <w:b/>
          <w:bCs/>
          <w:lang w:eastAsia="en-GB"/>
        </w:rPr>
      </w:pPr>
    </w:p>
    <w:tbl>
      <w:tblPr>
        <w:tblStyle w:val="Grilledutableau"/>
        <w:tblW w:w="10720" w:type="dxa"/>
        <w:tblInd w:w="-572" w:type="dxa"/>
        <w:tblLook w:val="04A0" w:firstRow="1" w:lastRow="0" w:firstColumn="1" w:lastColumn="0" w:noHBand="0" w:noVBand="1"/>
      </w:tblPr>
      <w:tblGrid>
        <w:gridCol w:w="3261"/>
        <w:gridCol w:w="4110"/>
        <w:gridCol w:w="3349"/>
      </w:tblGrid>
      <w:tr w:rsidR="008D48AE" w:rsidRPr="005D0B51" w14:paraId="2D54E2D6" w14:textId="77777777" w:rsidTr="00B62315">
        <w:trPr>
          <w:trHeight w:val="227"/>
        </w:trPr>
        <w:tc>
          <w:tcPr>
            <w:tcW w:w="3261" w:type="dxa"/>
            <w:shd w:val="clear" w:color="auto" w:fill="3E762A" w:themeFill="accent1" w:themeFillShade="BF"/>
          </w:tcPr>
          <w:p w14:paraId="4D28B164" w14:textId="77777777" w:rsidR="008D48AE" w:rsidRPr="00706B59" w:rsidRDefault="008D48AE" w:rsidP="00B62315">
            <w:pPr>
              <w:spacing w:after="0"/>
              <w:jc w:val="center"/>
              <w:rPr>
                <w:rFonts w:asciiTheme="minorHAnsi" w:hAnsiTheme="minorHAnsi" w:cstheme="minorHAnsi"/>
                <w:b/>
                <w:bCs/>
              </w:rPr>
            </w:pPr>
            <w:r w:rsidRPr="00706B59">
              <w:rPr>
                <w:rFonts w:asciiTheme="minorHAnsi" w:hAnsiTheme="minorHAnsi" w:cstheme="minorHAnsi"/>
                <w:b/>
                <w:bCs/>
              </w:rPr>
              <w:t>Sauvegarde de Cancún</w:t>
            </w:r>
          </w:p>
        </w:tc>
        <w:tc>
          <w:tcPr>
            <w:tcW w:w="4110" w:type="dxa"/>
            <w:shd w:val="clear" w:color="auto" w:fill="3E762A" w:themeFill="accent1" w:themeFillShade="BF"/>
          </w:tcPr>
          <w:p w14:paraId="2D2A1D8D" w14:textId="77777777" w:rsidR="008D48AE" w:rsidRPr="00706B59" w:rsidRDefault="008D48AE" w:rsidP="00B62315">
            <w:pPr>
              <w:spacing w:after="0"/>
              <w:jc w:val="center"/>
              <w:rPr>
                <w:rFonts w:asciiTheme="minorHAnsi" w:hAnsiTheme="minorHAnsi" w:cstheme="minorHAnsi"/>
                <w:b/>
                <w:bCs/>
              </w:rPr>
            </w:pPr>
            <w:r w:rsidRPr="00706B59">
              <w:rPr>
                <w:rFonts w:asciiTheme="minorHAnsi" w:hAnsiTheme="minorHAnsi" w:cstheme="minorHAnsi"/>
                <w:b/>
                <w:bCs/>
              </w:rPr>
              <w:t>Prise en compte dans la mise en œuvre du projet</w:t>
            </w:r>
          </w:p>
        </w:tc>
        <w:tc>
          <w:tcPr>
            <w:tcW w:w="3349" w:type="dxa"/>
            <w:shd w:val="clear" w:color="auto" w:fill="3E762A" w:themeFill="accent1" w:themeFillShade="BF"/>
          </w:tcPr>
          <w:p w14:paraId="43BC63FE" w14:textId="77777777" w:rsidR="008D48AE" w:rsidRPr="00706B59" w:rsidRDefault="008D48AE" w:rsidP="00B62315">
            <w:pPr>
              <w:spacing w:after="0"/>
              <w:jc w:val="center"/>
              <w:rPr>
                <w:rFonts w:asciiTheme="minorHAnsi" w:hAnsiTheme="minorHAnsi" w:cstheme="minorHAnsi"/>
                <w:b/>
                <w:bCs/>
              </w:rPr>
            </w:pPr>
            <w:r w:rsidRPr="00706B59">
              <w:rPr>
                <w:rFonts w:asciiTheme="minorHAnsi" w:hAnsiTheme="minorHAnsi" w:cstheme="minorHAnsi"/>
                <w:b/>
                <w:bCs/>
              </w:rPr>
              <w:t xml:space="preserve">Description des mesures de suivi-évaluation spécifiques </w:t>
            </w:r>
          </w:p>
        </w:tc>
      </w:tr>
      <w:tr w:rsidR="008D48AE" w:rsidRPr="005D0B51" w14:paraId="4BC61BDC" w14:textId="77777777" w:rsidTr="00B62315">
        <w:trPr>
          <w:trHeight w:val="902"/>
        </w:trPr>
        <w:tc>
          <w:tcPr>
            <w:tcW w:w="3261" w:type="dxa"/>
          </w:tcPr>
          <w:p w14:paraId="2C8F043C"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 xml:space="preserve">Complémentarité et compatibilité avec les objectifs des projets forestiers nationaux et les accords internationaux </w:t>
            </w:r>
          </w:p>
        </w:tc>
        <w:tc>
          <w:tcPr>
            <w:tcW w:w="4110" w:type="dxa"/>
          </w:tcPr>
          <w:p w14:paraId="05A23922"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Ce projet s’intègre dans la dynamique globale de la mobilisation des ressources pour financer les mesures d’atténuation et d’adaptation retenues dans la CDN de la RDC</w:t>
            </w:r>
          </w:p>
        </w:tc>
        <w:tc>
          <w:tcPr>
            <w:tcW w:w="3349" w:type="dxa"/>
          </w:tcPr>
          <w:p w14:paraId="3B767DD5"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Niveau de ressources mobilisées par secteur dans le cadre des marchés du carbone</w:t>
            </w:r>
          </w:p>
        </w:tc>
      </w:tr>
      <w:tr w:rsidR="008D48AE" w:rsidRPr="005D0B51" w14:paraId="04CA7504" w14:textId="77777777" w:rsidTr="00B62315">
        <w:trPr>
          <w:trHeight w:val="60"/>
        </w:trPr>
        <w:tc>
          <w:tcPr>
            <w:tcW w:w="3261" w:type="dxa"/>
            <w:shd w:val="clear" w:color="auto" w:fill="auto"/>
          </w:tcPr>
          <w:p w14:paraId="0A27ABB4"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 xml:space="preserve">Transparence et efficacité des structures de gouvernance </w:t>
            </w:r>
          </w:p>
        </w:tc>
        <w:tc>
          <w:tcPr>
            <w:tcW w:w="4110" w:type="dxa"/>
            <w:shd w:val="clear" w:color="auto" w:fill="auto"/>
          </w:tcPr>
          <w:p w14:paraId="2EF2D7A2"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Suivi des normes et directives de CAFI en matière de gestion de projets</w:t>
            </w:r>
          </w:p>
        </w:tc>
        <w:tc>
          <w:tcPr>
            <w:tcW w:w="3349" w:type="dxa"/>
            <w:shd w:val="clear" w:color="auto" w:fill="auto"/>
          </w:tcPr>
          <w:p w14:paraId="35472104"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Production régulière des rapports liés à la mise en œuvre du projet et partage de l’information avec toutes les parties prenantes</w:t>
            </w:r>
          </w:p>
        </w:tc>
      </w:tr>
      <w:tr w:rsidR="008D48AE" w:rsidRPr="005D0B51" w14:paraId="553D2940" w14:textId="77777777" w:rsidTr="00B62315">
        <w:trPr>
          <w:trHeight w:val="60"/>
        </w:trPr>
        <w:tc>
          <w:tcPr>
            <w:tcW w:w="3261" w:type="dxa"/>
          </w:tcPr>
          <w:p w14:paraId="65F7D6C5"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Respect des connaissances et des droits des peuples autochtones</w:t>
            </w:r>
          </w:p>
        </w:tc>
        <w:tc>
          <w:tcPr>
            <w:tcW w:w="4110" w:type="dxa"/>
          </w:tcPr>
          <w:p w14:paraId="6FF725DF"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Les délégués des Peuples Autochtones seront associés à la mise en œuvre de ce projet et leurs droits seront respectés et leur savoir endogène valoriser</w:t>
            </w:r>
          </w:p>
        </w:tc>
        <w:tc>
          <w:tcPr>
            <w:tcW w:w="3349" w:type="dxa"/>
          </w:tcPr>
          <w:p w14:paraId="7774C1D6"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Nombre de réunions auxquelles les Peuples autochtones ont été associés et nombre de Peuples autochtones atteint lors des sessions de sensibilisation sur les marchés du carbone</w:t>
            </w:r>
          </w:p>
        </w:tc>
      </w:tr>
      <w:tr w:rsidR="008D48AE" w:rsidRPr="005D0B51" w14:paraId="183DFD66" w14:textId="77777777" w:rsidTr="00B62315">
        <w:trPr>
          <w:trHeight w:val="915"/>
        </w:trPr>
        <w:tc>
          <w:tcPr>
            <w:tcW w:w="3261" w:type="dxa"/>
          </w:tcPr>
          <w:p w14:paraId="2664557E"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 xml:space="preserve">Participation intégrale et effective des parties prenantes, en particulier des peuples autochtones et des communautés locales </w:t>
            </w:r>
          </w:p>
        </w:tc>
        <w:tc>
          <w:tcPr>
            <w:tcW w:w="4110" w:type="dxa"/>
          </w:tcPr>
          <w:p w14:paraId="7230830F"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Les sessions de formation et de sensibilisation seront organisées à l’intention des Peuples autochtones et des Communautés locales et leurs délégués seront représentés au sein du Comité de pilotage du projet</w:t>
            </w:r>
          </w:p>
        </w:tc>
        <w:tc>
          <w:tcPr>
            <w:tcW w:w="3349" w:type="dxa"/>
          </w:tcPr>
          <w:p w14:paraId="4A20D0CF"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Nombre de sessions organisées à l’intention des communautés locales et peuples autochtones</w:t>
            </w:r>
          </w:p>
          <w:p w14:paraId="67F76080" w14:textId="77777777" w:rsidR="008D48AE" w:rsidRPr="00706B59" w:rsidRDefault="008D48AE" w:rsidP="00B62315">
            <w:pPr>
              <w:spacing w:after="0"/>
              <w:rPr>
                <w:rFonts w:asciiTheme="minorHAnsi" w:hAnsiTheme="minorHAnsi" w:cstheme="minorHAnsi"/>
                <w:i/>
              </w:rPr>
            </w:pPr>
          </w:p>
        </w:tc>
      </w:tr>
      <w:tr w:rsidR="008D48AE" w:rsidRPr="005D0B51" w14:paraId="78466569" w14:textId="77777777" w:rsidTr="00B62315">
        <w:trPr>
          <w:trHeight w:val="1484"/>
        </w:trPr>
        <w:tc>
          <w:tcPr>
            <w:tcW w:w="3261" w:type="dxa"/>
          </w:tcPr>
          <w:p w14:paraId="1D2EDEF0"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 xml:space="preserve">Compatibilité des activités avec la préservation des forêts naturelles, de la biodiversité et des services écosystémiques /mise en place d’activités permettant des bénéfices socioéconomiques  </w:t>
            </w:r>
          </w:p>
        </w:tc>
        <w:tc>
          <w:tcPr>
            <w:tcW w:w="4110" w:type="dxa"/>
          </w:tcPr>
          <w:p w14:paraId="2A2B6F76" w14:textId="77777777" w:rsidR="008D48AE" w:rsidRPr="00706B59" w:rsidRDefault="008D48AE" w:rsidP="00B62315">
            <w:pPr>
              <w:pStyle w:val="Paragraphedeliste"/>
              <w:tabs>
                <w:tab w:val="left" w:pos="301"/>
              </w:tabs>
              <w:spacing w:after="0" w:line="240" w:lineRule="auto"/>
              <w:ind w:left="34"/>
              <w:rPr>
                <w:rFonts w:asciiTheme="minorHAnsi" w:hAnsiTheme="minorHAnsi" w:cstheme="minorHAnsi"/>
              </w:rPr>
            </w:pPr>
            <w:r w:rsidRPr="00706B59">
              <w:rPr>
                <w:rFonts w:asciiTheme="minorHAnsi" w:hAnsiTheme="minorHAnsi" w:cstheme="minorHAnsi"/>
              </w:rPr>
              <w:t>La mise en œuvre de ce projet contribuera au développement des marchés du carbone et aura une incidence positive sur la préservation de la forêt et de la biodiversité</w:t>
            </w:r>
          </w:p>
        </w:tc>
        <w:tc>
          <w:tcPr>
            <w:tcW w:w="3349" w:type="dxa"/>
          </w:tcPr>
          <w:p w14:paraId="5F5FC646"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Nombre de programme juridictionnel développé sur le territoire national</w:t>
            </w:r>
          </w:p>
        </w:tc>
      </w:tr>
      <w:tr w:rsidR="008D48AE" w:rsidRPr="005D0B51" w14:paraId="6480F25E" w14:textId="77777777" w:rsidTr="00B62315">
        <w:trPr>
          <w:trHeight w:val="60"/>
        </w:trPr>
        <w:tc>
          <w:tcPr>
            <w:tcW w:w="3261" w:type="dxa"/>
          </w:tcPr>
          <w:p w14:paraId="3FAD6242"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Mesures visant à prendre en compte les risques d’inversion</w:t>
            </w:r>
          </w:p>
        </w:tc>
        <w:tc>
          <w:tcPr>
            <w:tcW w:w="4110" w:type="dxa"/>
          </w:tcPr>
          <w:p w14:paraId="799F5437"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Prise en compte des normes de transparence et de l’intégrité environnementale du carbone dans la mise en œuvre du projet</w:t>
            </w:r>
          </w:p>
        </w:tc>
        <w:tc>
          <w:tcPr>
            <w:tcW w:w="3349" w:type="dxa"/>
          </w:tcPr>
          <w:p w14:paraId="706EC4CD"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Nombre de sessions de formation sur les marchés du carbone organisées en l’endroit des parties prenantes</w:t>
            </w:r>
          </w:p>
        </w:tc>
      </w:tr>
      <w:tr w:rsidR="008D48AE" w:rsidRPr="005D0B51" w14:paraId="2BFB632F" w14:textId="77777777" w:rsidTr="00B62315">
        <w:trPr>
          <w:trHeight w:val="480"/>
        </w:trPr>
        <w:tc>
          <w:tcPr>
            <w:tcW w:w="3261" w:type="dxa"/>
          </w:tcPr>
          <w:p w14:paraId="41DEF0C4"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Mesures pour réduire les déplacements d’émission</w:t>
            </w:r>
          </w:p>
        </w:tc>
        <w:tc>
          <w:tcPr>
            <w:tcW w:w="4110" w:type="dxa"/>
          </w:tcPr>
          <w:p w14:paraId="20C76945" w14:textId="77777777" w:rsidR="008D48AE" w:rsidRPr="00706B59" w:rsidRDefault="008D48AE" w:rsidP="00B62315">
            <w:pPr>
              <w:spacing w:after="0"/>
              <w:rPr>
                <w:rFonts w:asciiTheme="minorHAnsi" w:hAnsiTheme="minorHAnsi" w:cstheme="minorHAnsi"/>
              </w:rPr>
            </w:pPr>
            <w:r w:rsidRPr="00706B59">
              <w:rPr>
                <w:rFonts w:asciiTheme="minorHAnsi" w:hAnsiTheme="minorHAnsi" w:cstheme="minorHAnsi"/>
              </w:rPr>
              <w:t>Ce projet va promouvoir la prise en compte de l’intégrité environnementale dans le déploiement des marchés du carbone et d’éviter le double comptage par la mise en place d’un système de MRV robuste et transparent</w:t>
            </w:r>
          </w:p>
        </w:tc>
        <w:tc>
          <w:tcPr>
            <w:tcW w:w="3349" w:type="dxa"/>
          </w:tcPr>
          <w:p w14:paraId="1D1E3C48" w14:textId="77777777" w:rsidR="008D48AE" w:rsidRPr="00706B59" w:rsidRDefault="008D48AE" w:rsidP="00B62315">
            <w:pPr>
              <w:spacing w:after="0"/>
              <w:rPr>
                <w:rFonts w:asciiTheme="minorHAnsi" w:hAnsiTheme="minorHAnsi" w:cstheme="minorHAnsi"/>
                <w:iCs/>
              </w:rPr>
            </w:pPr>
            <w:r w:rsidRPr="00706B59">
              <w:rPr>
                <w:rFonts w:asciiTheme="minorHAnsi" w:hAnsiTheme="minorHAnsi" w:cstheme="minorHAnsi"/>
                <w:iCs/>
              </w:rPr>
              <w:t xml:space="preserve">Suivi régulier des émissions émises ou séquestrées </w:t>
            </w:r>
          </w:p>
        </w:tc>
      </w:tr>
    </w:tbl>
    <w:p w14:paraId="6618D16C" w14:textId="77777777" w:rsidR="008D48AE" w:rsidRDefault="008D48AE" w:rsidP="008D48AE">
      <w:pPr>
        <w:widowControl w:val="0"/>
        <w:spacing w:after="0"/>
        <w:jc w:val="both"/>
        <w:rPr>
          <w:rFonts w:ascii="Avenir Next LT Pro" w:hAnsi="Avenir Next LT Pro"/>
          <w:b/>
          <w:bCs/>
          <w:lang w:eastAsia="en-GB"/>
        </w:rPr>
      </w:pPr>
    </w:p>
    <w:p w14:paraId="612703C9" w14:textId="77777777" w:rsidR="008D48AE" w:rsidRPr="005D0B51" w:rsidRDefault="008D48AE" w:rsidP="008D48AE">
      <w:pPr>
        <w:widowControl w:val="0"/>
        <w:spacing w:after="0"/>
        <w:jc w:val="both"/>
        <w:rPr>
          <w:rFonts w:ascii="Avenir Next LT Pro" w:hAnsi="Avenir Next LT Pro"/>
          <w:b/>
          <w:bCs/>
          <w:lang w:eastAsia="en-GB"/>
        </w:rPr>
      </w:pPr>
      <w:r w:rsidRPr="005D0B51">
        <w:rPr>
          <w:rFonts w:ascii="Avenir Next LT Pro" w:hAnsi="Avenir Next LT Pro"/>
          <w:b/>
          <w:bCs/>
          <w:lang w:eastAsia="en-GB"/>
        </w:rPr>
        <w:t>iv. Gestion des plaintes</w:t>
      </w:r>
    </w:p>
    <w:p w14:paraId="30C910E9" w14:textId="77777777" w:rsidR="008D48AE" w:rsidRPr="005D0B51" w:rsidRDefault="008D48AE" w:rsidP="008D48AE">
      <w:pPr>
        <w:spacing w:after="0"/>
        <w:ind w:right="-7"/>
        <w:jc w:val="both"/>
        <w:rPr>
          <w:rFonts w:asciiTheme="minorHAnsi" w:hAnsiTheme="minorHAnsi" w:cstheme="minorHAnsi"/>
          <w:iCs/>
          <w:lang w:val="fr"/>
        </w:rPr>
      </w:pPr>
    </w:p>
    <w:p w14:paraId="2C9A7AC9" w14:textId="77777777" w:rsidR="008D48AE" w:rsidRDefault="008D48AE" w:rsidP="008D48AE">
      <w:pPr>
        <w:spacing w:after="0"/>
        <w:ind w:right="-7"/>
        <w:jc w:val="both"/>
        <w:rPr>
          <w:rFonts w:asciiTheme="minorHAnsi" w:hAnsiTheme="minorHAnsi" w:cstheme="minorHAnsi"/>
          <w:iCs/>
          <w:lang w:val="fr"/>
        </w:rPr>
      </w:pPr>
      <w:r w:rsidRPr="005D0B51">
        <w:rPr>
          <w:rFonts w:asciiTheme="minorHAnsi" w:hAnsiTheme="minorHAnsi" w:cstheme="minorHAnsi"/>
          <w:iCs/>
          <w:lang w:val="fr"/>
        </w:rPr>
        <w:lastRenderedPageBreak/>
        <w:t>Les parties prenantes seront sensibilisées à adresser toutes plaintes et dénonciations au responsable du PNUD. Celui-ci se chargera de les transmettre à qui de droit conformément aux règles de l’éthique de l’organisation. Le mécanisme de plaintes et recours ad hoc sera vulgarisé.</w:t>
      </w:r>
      <w:r>
        <w:rPr>
          <w:rFonts w:asciiTheme="minorHAnsi" w:hAnsiTheme="minorHAnsi" w:cstheme="minorHAnsi"/>
          <w:iCs/>
          <w:lang w:val="fr"/>
        </w:rPr>
        <w:t xml:space="preserve"> </w:t>
      </w:r>
    </w:p>
    <w:p w14:paraId="3D653714" w14:textId="77777777" w:rsidR="008D48AE" w:rsidRPr="005D0B51" w:rsidRDefault="00000000" w:rsidP="008D48AE">
      <w:pPr>
        <w:spacing w:after="0"/>
        <w:ind w:right="-7"/>
        <w:jc w:val="both"/>
        <w:rPr>
          <w:rFonts w:asciiTheme="minorHAnsi" w:hAnsiTheme="minorHAnsi" w:cstheme="minorHAnsi"/>
          <w:sz w:val="20"/>
          <w:szCs w:val="20"/>
        </w:rPr>
      </w:pPr>
      <w:hyperlink r:id="rId40" w:history="1">
        <w:r w:rsidR="008D48AE" w:rsidRPr="00F6681B">
          <w:rPr>
            <w:rStyle w:val="Lienhypertexte"/>
            <w:rFonts w:asciiTheme="minorHAnsi" w:hAnsiTheme="minorHAnsi" w:cstheme="minorHAnsi"/>
            <w:iCs/>
            <w:lang w:val="fr"/>
          </w:rPr>
          <w:t>https://www.undp.org/sites/g/files/zskgke326/files/publications/UNDP%20SES%202021_French.pdf</w:t>
        </w:r>
      </w:hyperlink>
      <w:r w:rsidR="008D48AE">
        <w:rPr>
          <w:rFonts w:asciiTheme="minorHAnsi" w:hAnsiTheme="minorHAnsi" w:cstheme="minorHAnsi"/>
          <w:iCs/>
          <w:lang w:val="fr"/>
        </w:rPr>
        <w:t xml:space="preserve"> </w:t>
      </w:r>
    </w:p>
    <w:p w14:paraId="6EFECDBC" w14:textId="77777777" w:rsidR="008D48AE" w:rsidRPr="005D0B51" w:rsidRDefault="008D48AE" w:rsidP="008D48AE">
      <w:pPr>
        <w:spacing w:after="0"/>
        <w:ind w:right="-7"/>
        <w:jc w:val="both"/>
        <w:rPr>
          <w:rFonts w:asciiTheme="minorHAnsi" w:hAnsiTheme="minorHAnsi" w:cstheme="minorHAnsi"/>
        </w:rPr>
      </w:pPr>
    </w:p>
    <w:p w14:paraId="40278C79" w14:textId="77777777" w:rsidR="008D48AE" w:rsidRPr="005D0B51" w:rsidRDefault="008D48AE" w:rsidP="008D48AE">
      <w:pPr>
        <w:widowControl w:val="0"/>
        <w:spacing w:after="0"/>
        <w:jc w:val="both"/>
        <w:rPr>
          <w:rFonts w:ascii="Avenir Next LT Pro" w:hAnsi="Avenir Next LT Pro"/>
          <w:b/>
          <w:bCs/>
          <w:lang w:eastAsia="en-GB"/>
        </w:rPr>
      </w:pPr>
      <w:r w:rsidRPr="005D0B51">
        <w:rPr>
          <w:rFonts w:ascii="Avenir Next LT Pro" w:hAnsi="Avenir Next LT Pro"/>
          <w:b/>
          <w:bCs/>
          <w:lang w:eastAsia="en-GB"/>
        </w:rPr>
        <w:t xml:space="preserve">v. Fraude, détournement de fonds </w:t>
      </w:r>
    </w:p>
    <w:p w14:paraId="4844DC71" w14:textId="77777777" w:rsidR="008D48AE" w:rsidRPr="005D0B51" w:rsidRDefault="008D48AE" w:rsidP="008D48AE">
      <w:pPr>
        <w:spacing w:after="0"/>
        <w:ind w:right="-7"/>
        <w:jc w:val="both"/>
        <w:rPr>
          <w:rFonts w:asciiTheme="minorHAnsi" w:hAnsiTheme="minorHAnsi" w:cstheme="minorHAnsi"/>
          <w:sz w:val="20"/>
          <w:szCs w:val="20"/>
        </w:rPr>
      </w:pPr>
    </w:p>
    <w:p w14:paraId="14C9B6C4" w14:textId="77777777" w:rsidR="008D48AE" w:rsidRPr="005D0B51" w:rsidRDefault="008D48AE" w:rsidP="008D48AE">
      <w:pPr>
        <w:spacing w:after="0"/>
        <w:ind w:right="-7"/>
        <w:jc w:val="both"/>
        <w:rPr>
          <w:rFonts w:asciiTheme="minorHAnsi" w:hAnsiTheme="minorHAnsi" w:cstheme="minorHAnsi"/>
          <w:iCs/>
          <w:lang w:val="fr"/>
        </w:rPr>
      </w:pPr>
      <w:r w:rsidRPr="005D0B51">
        <w:rPr>
          <w:rFonts w:asciiTheme="minorHAnsi" w:hAnsiTheme="minorHAnsi" w:cstheme="minorHAnsi"/>
          <w:iCs/>
          <w:lang w:val="fr"/>
        </w:rPr>
        <w:t>Les parties prenantes seront sensibilisées à saisir le responsable du PNUD au niveau local pour tout cas de fraude et/ou de détournement de fonds. Celui-ci se chargera de les transmettre à qui de droit conformément aux règles de l’éthique.</w:t>
      </w:r>
      <w:r w:rsidRPr="00151DD4">
        <w:t xml:space="preserve"> </w:t>
      </w:r>
      <w:hyperlink r:id="rId41" w:history="1">
        <w:r w:rsidRPr="00F6681B">
          <w:rPr>
            <w:rStyle w:val="Lienhypertexte"/>
            <w:rFonts w:asciiTheme="minorHAnsi" w:hAnsiTheme="minorHAnsi" w:cstheme="minorHAnsi"/>
            <w:iCs/>
            <w:lang w:val="fr"/>
          </w:rPr>
          <w:t>https://www.undp.org/fr/responsabilite/audit/bureau-de-verification-et-denquete</w:t>
        </w:r>
      </w:hyperlink>
      <w:r>
        <w:rPr>
          <w:rFonts w:asciiTheme="minorHAnsi" w:hAnsiTheme="minorHAnsi" w:cstheme="minorHAnsi"/>
          <w:iCs/>
          <w:lang w:val="fr"/>
        </w:rPr>
        <w:t xml:space="preserve"> </w:t>
      </w:r>
    </w:p>
    <w:bookmarkEnd w:id="81"/>
    <w:p w14:paraId="2FDF011B" w14:textId="19753D45" w:rsidR="00EF6E8E" w:rsidRPr="00C345C4" w:rsidRDefault="008D48AE" w:rsidP="00EF6E8E">
      <w:pPr>
        <w:spacing w:after="120"/>
        <w:rPr>
          <w:rFonts w:ascii="Avenir Next LT Pro" w:hAnsi="Avenir Next LT Pro"/>
        </w:rPr>
      </w:pPr>
      <w:r>
        <w:rPr>
          <w:rFonts w:ascii="Avenir Next LT Pro" w:hAnsi="Avenir Next LT Pro"/>
        </w:rPr>
        <w:t xml:space="preserve"> </w:t>
      </w:r>
    </w:p>
    <w:p w14:paraId="544DDB3A" w14:textId="09F6CC78" w:rsidR="00A17721" w:rsidRPr="00C345C4" w:rsidRDefault="00A17721" w:rsidP="00A17721">
      <w:pPr>
        <w:spacing w:after="160" w:line="259" w:lineRule="auto"/>
        <w:rPr>
          <w:rFonts w:ascii="Avenir Next LT Pro" w:hAnsi="Avenir Next LT Pro"/>
        </w:rPr>
      </w:pPr>
      <w:r w:rsidRPr="00C345C4">
        <w:rPr>
          <w:rFonts w:ascii="Avenir Next LT Pro" w:hAnsi="Avenir Next LT Pro"/>
        </w:rPr>
        <w:br w:type="page"/>
      </w:r>
    </w:p>
    <w:p w14:paraId="73607E9E" w14:textId="2D2ECB7E" w:rsidR="00E0202D" w:rsidRPr="00C345C4" w:rsidRDefault="002B6EB1" w:rsidP="00A7529C">
      <w:pPr>
        <w:pStyle w:val="Titre3"/>
      </w:pPr>
      <w:bookmarkStart w:id="83" w:name="_Toc163230403"/>
      <w:r w:rsidRPr="00C345C4">
        <w:lastRenderedPageBreak/>
        <w:t>ANNEXE 3</w:t>
      </w:r>
      <w:r w:rsidR="00525A95" w:rsidRPr="00C345C4">
        <w:t> </w:t>
      </w:r>
      <w:r w:rsidRPr="00C345C4">
        <w:t xml:space="preserve">: </w:t>
      </w:r>
      <w:r w:rsidR="00F42E86" w:rsidRPr="00C345C4">
        <w:t>Stratégie</w:t>
      </w:r>
      <w:r w:rsidR="004D1D4A" w:rsidRPr="00C345C4">
        <w:t xml:space="preserve"> </w:t>
      </w:r>
      <w:r w:rsidRPr="00C345C4">
        <w:t>de communication</w:t>
      </w:r>
      <w:bookmarkEnd w:id="83"/>
    </w:p>
    <w:p w14:paraId="487E2759" w14:textId="00F906FB" w:rsidR="003135B7" w:rsidRPr="00C345C4" w:rsidRDefault="00D97778" w:rsidP="00D11B01">
      <w:pPr>
        <w:rPr>
          <w:rStyle w:val="En-tte5"/>
          <w:rFonts w:ascii="Avenir Next LT Pro" w:hAnsi="Avenir Next LT Pro" w:cs="Calibri"/>
          <w:b w:val="0"/>
          <w:bCs w:val="0"/>
          <w:color w:val="3E762A" w:themeColor="accent1" w:themeShade="BF"/>
          <w:sz w:val="20"/>
          <w:szCs w:val="20"/>
        </w:rPr>
      </w:pPr>
      <w:r w:rsidRPr="00C345C4">
        <w:rPr>
          <w:rStyle w:val="En-tte5"/>
          <w:rFonts w:ascii="Avenir Next LT Pro" w:hAnsi="Avenir Next LT Pro" w:cs="Calibri"/>
          <w:b w:val="0"/>
          <w:bCs w:val="0"/>
          <w:color w:val="3E762A" w:themeColor="accent1" w:themeShade="BF"/>
          <w:sz w:val="20"/>
          <w:szCs w:val="20"/>
        </w:rPr>
        <w:t xml:space="preserve">Il est demandé aux agences de fournir </w:t>
      </w:r>
      <w:r w:rsidR="00693CC2" w:rsidRPr="00C345C4">
        <w:rPr>
          <w:rStyle w:val="En-tte5"/>
          <w:rFonts w:ascii="Avenir Next LT Pro" w:hAnsi="Avenir Next LT Pro" w:cs="Calibri"/>
          <w:b w:val="0"/>
          <w:bCs w:val="0"/>
          <w:color w:val="3E762A" w:themeColor="accent1" w:themeShade="BF"/>
          <w:sz w:val="20"/>
          <w:szCs w:val="20"/>
        </w:rPr>
        <w:t xml:space="preserve">toute </w:t>
      </w:r>
      <w:r w:rsidRPr="00C345C4">
        <w:rPr>
          <w:rStyle w:val="En-tte5"/>
          <w:rFonts w:ascii="Avenir Next LT Pro" w:hAnsi="Avenir Next LT Pro" w:cs="Calibri"/>
          <w:b w:val="0"/>
          <w:bCs w:val="0"/>
          <w:color w:val="3E762A" w:themeColor="accent1" w:themeShade="BF"/>
          <w:sz w:val="20"/>
          <w:szCs w:val="20"/>
        </w:rPr>
        <w:t>in</w:t>
      </w:r>
      <w:r w:rsidR="00FE3132" w:rsidRPr="00C345C4">
        <w:rPr>
          <w:rStyle w:val="En-tte5"/>
          <w:rFonts w:ascii="Avenir Next LT Pro" w:hAnsi="Avenir Next LT Pro" w:cs="Calibri"/>
          <w:b w:val="0"/>
          <w:bCs w:val="0"/>
          <w:color w:val="3E762A" w:themeColor="accent1" w:themeShade="BF"/>
          <w:sz w:val="20"/>
          <w:szCs w:val="20"/>
        </w:rPr>
        <w:t>formation relative aux principales activités de communication qui seront conduites dans le cadre du projet sur (i) l</w:t>
      </w:r>
      <w:r w:rsidR="003C1E70" w:rsidRPr="00C345C4">
        <w:rPr>
          <w:rStyle w:val="En-tte5"/>
          <w:rFonts w:ascii="Avenir Next LT Pro" w:hAnsi="Avenir Next LT Pro" w:cs="Calibri"/>
          <w:b w:val="0"/>
          <w:bCs w:val="0"/>
          <w:color w:val="3E762A" w:themeColor="accent1" w:themeShade="BF"/>
          <w:sz w:val="20"/>
          <w:szCs w:val="20"/>
        </w:rPr>
        <w:t xml:space="preserve">e projet en lui-même (lancement, </w:t>
      </w:r>
      <w:r w:rsidR="006A033A" w:rsidRPr="00C345C4">
        <w:rPr>
          <w:rStyle w:val="En-tte5"/>
          <w:rFonts w:ascii="Avenir Next LT Pro" w:hAnsi="Avenir Next LT Pro" w:cs="Calibri"/>
          <w:b w:val="0"/>
          <w:bCs w:val="0"/>
          <w:color w:val="3E762A" w:themeColor="accent1" w:themeShade="BF"/>
          <w:sz w:val="20"/>
          <w:szCs w:val="20"/>
        </w:rPr>
        <w:t>ateliers, clôture</w:t>
      </w:r>
      <w:r w:rsidR="003C1E70" w:rsidRPr="00C345C4">
        <w:rPr>
          <w:rStyle w:val="En-tte5"/>
          <w:rFonts w:ascii="Avenir Next LT Pro" w:hAnsi="Avenir Next LT Pro" w:cs="Calibri"/>
          <w:b w:val="0"/>
          <w:bCs w:val="0"/>
          <w:color w:val="3E762A" w:themeColor="accent1" w:themeShade="BF"/>
          <w:sz w:val="20"/>
          <w:szCs w:val="20"/>
        </w:rPr>
        <w:t>, etc.)</w:t>
      </w:r>
      <w:r w:rsidR="00820E5B" w:rsidRPr="00C345C4">
        <w:rPr>
          <w:rStyle w:val="En-tte5"/>
          <w:rFonts w:ascii="Avenir Next LT Pro" w:hAnsi="Avenir Next LT Pro" w:cs="Calibri"/>
          <w:b w:val="0"/>
          <w:bCs w:val="0"/>
          <w:color w:val="3E762A" w:themeColor="accent1" w:themeShade="BF"/>
          <w:sz w:val="20"/>
          <w:szCs w:val="20"/>
        </w:rPr>
        <w:t xml:space="preserve"> et (ii) les produits spécifiques du projet (en amont et en aval : par exemple pour l’adoption d’une stratégie nationale, la mise en place de 1</w:t>
      </w:r>
      <w:r w:rsidR="00282FA5">
        <w:rPr>
          <w:rStyle w:val="En-tte5"/>
          <w:rFonts w:ascii="Avenir Next LT Pro" w:hAnsi="Avenir Next LT Pro" w:cs="Calibri"/>
          <w:b w:val="0"/>
          <w:bCs w:val="0"/>
          <w:color w:val="3E762A" w:themeColor="accent1" w:themeShade="BF"/>
          <w:sz w:val="20"/>
          <w:szCs w:val="20"/>
        </w:rPr>
        <w:t xml:space="preserve"> </w:t>
      </w:r>
      <w:r w:rsidR="00820E5B" w:rsidRPr="00C345C4">
        <w:rPr>
          <w:rStyle w:val="En-tte5"/>
          <w:rFonts w:ascii="Avenir Next LT Pro" w:hAnsi="Avenir Next LT Pro" w:cs="Calibri"/>
          <w:b w:val="0"/>
          <w:bCs w:val="0"/>
          <w:color w:val="3E762A" w:themeColor="accent1" w:themeShade="BF"/>
          <w:sz w:val="20"/>
          <w:szCs w:val="20"/>
        </w:rPr>
        <w:t xml:space="preserve">000 ha de plantations, </w:t>
      </w:r>
      <w:r w:rsidR="00976D24" w:rsidRPr="00C345C4">
        <w:rPr>
          <w:rStyle w:val="En-tte5"/>
          <w:rFonts w:ascii="Avenir Next LT Pro" w:hAnsi="Avenir Next LT Pro" w:cs="Calibri"/>
          <w:b w:val="0"/>
          <w:bCs w:val="0"/>
          <w:color w:val="3E762A" w:themeColor="accent1" w:themeShade="BF"/>
          <w:sz w:val="20"/>
          <w:szCs w:val="20"/>
        </w:rPr>
        <w:t xml:space="preserve">l’annonce de la mise en place d’un fonds de subvention, </w:t>
      </w:r>
      <w:r w:rsidR="00F9085D" w:rsidRPr="00C345C4">
        <w:rPr>
          <w:rStyle w:val="En-tte5"/>
          <w:rFonts w:ascii="Avenir Next LT Pro" w:hAnsi="Avenir Next LT Pro" w:cs="Calibri"/>
          <w:b w:val="0"/>
          <w:bCs w:val="0"/>
          <w:color w:val="3E762A" w:themeColor="accent1" w:themeShade="BF"/>
          <w:sz w:val="20"/>
          <w:szCs w:val="20"/>
        </w:rPr>
        <w:t xml:space="preserve">etc.) </w:t>
      </w:r>
    </w:p>
    <w:p w14:paraId="242D328E" w14:textId="6C24E4B4" w:rsidR="00DC461C" w:rsidRDefault="00DC461C" w:rsidP="00DC461C">
      <w:pPr>
        <w:rPr>
          <w:rStyle w:val="Corpsdutexte"/>
          <w:rFonts w:ascii="Avenir Next LT Pro" w:hAnsi="Avenir Next LT Pro" w:cs="Calibri"/>
          <w:b/>
          <w:bCs/>
          <w:color w:val="000000" w:themeColor="text1"/>
          <w:sz w:val="20"/>
          <w:szCs w:val="20"/>
          <w:lang w:eastAsia="sl-SI"/>
        </w:rPr>
      </w:pPr>
      <w:r w:rsidRPr="00C345C4">
        <w:rPr>
          <w:rStyle w:val="Corpsdutexte"/>
          <w:rFonts w:ascii="Avenir Next LT Pro" w:hAnsi="Avenir Next LT Pro" w:cs="Calibri"/>
          <w:b/>
          <w:bCs/>
          <w:color w:val="000000" w:themeColor="text1"/>
          <w:sz w:val="20"/>
          <w:szCs w:val="20"/>
          <w:lang w:eastAsia="sl-SI"/>
        </w:rPr>
        <w:t xml:space="preserve">1. Objectifs de communication généraux </w:t>
      </w:r>
    </w:p>
    <w:p w14:paraId="229B21B2" w14:textId="2BFA4F77" w:rsidR="0037291A" w:rsidRPr="00FB7BE6" w:rsidRDefault="0037291A" w:rsidP="00FB7BE6">
      <w:pPr>
        <w:spacing w:after="0"/>
        <w:ind w:right="-7"/>
        <w:jc w:val="both"/>
        <w:rPr>
          <w:rFonts w:ascii="Avenir Next LT Pro" w:hAnsi="Avenir Next LT Pro"/>
        </w:rPr>
      </w:pPr>
      <w:r>
        <w:rPr>
          <w:rStyle w:val="Corpsdutexte"/>
          <w:rFonts w:ascii="Avenir Next LT Pro" w:hAnsi="Avenir Next LT Pro" w:cs="Calibri"/>
          <w:b/>
          <w:bCs/>
          <w:color w:val="000000" w:themeColor="text1"/>
          <w:sz w:val="20"/>
          <w:szCs w:val="20"/>
          <w:lang w:eastAsia="sl-SI"/>
        </w:rPr>
        <w:t xml:space="preserve">   </w:t>
      </w:r>
      <w:r w:rsidRPr="00FB7BE6">
        <w:rPr>
          <w:rFonts w:ascii="Avenir Next LT Pro" w:hAnsi="Avenir Next LT Pro"/>
        </w:rPr>
        <w:t xml:space="preserve">Le projet développera et mettra en œuvre un plan de communication, d’information et de sensibilisation. Toute la communication et la visibilité au niveau national et provincial sera aligné sur le plan de communication et de visibilité du FONAREDD et de CAFI et mises en œuvre par les organisations de mise en œuvre pour assurer la visibilité du FONAREDD et de CAFI et sensibiliser à la manière dont le projet contribue à la mobilisation de la finance carbone pour la mise en œuvre de la CDN. </w:t>
      </w:r>
    </w:p>
    <w:p w14:paraId="74F93B50" w14:textId="51206746" w:rsidR="00DC461C" w:rsidRPr="00C345C4" w:rsidRDefault="0037291A" w:rsidP="00DC461C">
      <w:pPr>
        <w:spacing w:after="120"/>
        <w:rPr>
          <w:rStyle w:val="Corpsdutexte"/>
          <w:rFonts w:ascii="Avenir Next LT Pro" w:hAnsi="Avenir Next LT Pro" w:cs="Calibri"/>
          <w:color w:val="000000" w:themeColor="text1"/>
          <w:sz w:val="20"/>
          <w:szCs w:val="20"/>
        </w:rPr>
      </w:pPr>
      <w:r w:rsidRPr="00FB7BE6">
        <w:rPr>
          <w:rFonts w:ascii="Avenir Next LT Pro" w:hAnsi="Avenir Next LT Pro"/>
        </w:rPr>
        <w:t>La communication et la visibilité auront deux objectifs principaux : influencer les attitudes et susciter le changement, et accroître la visibilité du travail du programme et de son donateur.</w:t>
      </w:r>
    </w:p>
    <w:p w14:paraId="18656214" w14:textId="77777777" w:rsidR="00DC461C" w:rsidRPr="00C345C4" w:rsidRDefault="00DC461C" w:rsidP="00DC461C">
      <w:pPr>
        <w:spacing w:after="120"/>
        <w:rPr>
          <w:rStyle w:val="Corpsdutexte"/>
          <w:rFonts w:ascii="Avenir Next LT Pro" w:hAnsi="Avenir Next LT Pro" w:cs="Calibri"/>
          <w:b/>
          <w:bCs/>
          <w:color w:val="000000" w:themeColor="text1"/>
          <w:sz w:val="20"/>
          <w:szCs w:val="20"/>
          <w:lang w:eastAsia="sl-SI"/>
        </w:rPr>
      </w:pPr>
      <w:r w:rsidRPr="00C345C4">
        <w:rPr>
          <w:rStyle w:val="Corpsdutexte"/>
          <w:rFonts w:ascii="Avenir Next LT Pro" w:hAnsi="Avenir Next LT Pro" w:cs="Calibri"/>
          <w:b/>
          <w:bCs/>
          <w:color w:val="000000" w:themeColor="text1"/>
          <w:sz w:val="20"/>
          <w:szCs w:val="20"/>
          <w:lang w:eastAsia="sl-SI"/>
        </w:rPr>
        <w:t>2. Public(s) ciblé(s)</w:t>
      </w:r>
    </w:p>
    <w:p w14:paraId="444BC067" w14:textId="4C1CE5C3" w:rsidR="0037291A" w:rsidRPr="000531B9" w:rsidRDefault="0037291A" w:rsidP="0037291A">
      <w:pPr>
        <w:pStyle w:val="Corpsdutexte1"/>
        <w:shd w:val="clear" w:color="auto" w:fill="auto"/>
        <w:tabs>
          <w:tab w:val="left" w:pos="830"/>
        </w:tabs>
        <w:spacing w:before="0" w:after="0" w:line="276" w:lineRule="auto"/>
        <w:ind w:firstLine="0"/>
        <w:jc w:val="both"/>
        <w:rPr>
          <w:rStyle w:val="Corpsdutexte"/>
          <w:rFonts w:ascii="Avenir Next LT Pro" w:hAnsi="Avenir Next LT Pro" w:cs="Calibri"/>
          <w:sz w:val="20"/>
          <w:szCs w:val="20"/>
          <w:lang w:val="fr-FR"/>
        </w:rPr>
      </w:pPr>
      <w:r w:rsidRPr="000531B9">
        <w:rPr>
          <w:rStyle w:val="Corpsdutexte"/>
          <w:rFonts w:ascii="Avenir Next LT Pro" w:hAnsi="Avenir Next LT Pro" w:cs="Calibri"/>
          <w:sz w:val="20"/>
          <w:szCs w:val="20"/>
          <w:lang w:val="fr-FR"/>
        </w:rPr>
        <w:t xml:space="preserve">L’approche de communication mise en avant par le projet </w:t>
      </w:r>
      <w:proofErr w:type="spellStart"/>
      <w:r w:rsidRPr="000531B9">
        <w:rPr>
          <w:rStyle w:val="Corpsdutexte"/>
          <w:rFonts w:ascii="Avenir Next LT Pro" w:hAnsi="Avenir Next LT Pro" w:cs="Calibri"/>
          <w:sz w:val="20"/>
          <w:szCs w:val="20"/>
          <w:lang w:val="fr-FR"/>
        </w:rPr>
        <w:t>à</w:t>
      </w:r>
      <w:proofErr w:type="spellEnd"/>
      <w:r w:rsidRPr="000531B9">
        <w:rPr>
          <w:rStyle w:val="Corpsdutexte"/>
          <w:rFonts w:ascii="Avenir Next LT Pro" w:hAnsi="Avenir Next LT Pro" w:cs="Calibri"/>
          <w:sz w:val="20"/>
          <w:szCs w:val="20"/>
          <w:lang w:val="fr-FR"/>
        </w:rPr>
        <w:t xml:space="preserve"> pour objectif de susciter l’intérêt et l’adhésion de diverses cibles notamment : </w:t>
      </w:r>
    </w:p>
    <w:p w14:paraId="11E74D47" w14:textId="31EFF1CB" w:rsidR="0037291A" w:rsidRPr="000531B9" w:rsidRDefault="0037291A" w:rsidP="0037291A">
      <w:pPr>
        <w:pStyle w:val="Corpsdutexte1"/>
        <w:numPr>
          <w:ilvl w:val="0"/>
          <w:numId w:val="5"/>
        </w:numPr>
        <w:shd w:val="clear" w:color="auto" w:fill="auto"/>
        <w:tabs>
          <w:tab w:val="left" w:pos="830"/>
        </w:tabs>
        <w:spacing w:before="0" w:after="0" w:line="276" w:lineRule="auto"/>
        <w:jc w:val="both"/>
        <w:rPr>
          <w:rStyle w:val="Corpsdutexte"/>
          <w:rFonts w:ascii="Avenir Next LT Pro" w:hAnsi="Avenir Next LT Pro" w:cs="Calibri"/>
          <w:sz w:val="20"/>
          <w:szCs w:val="20"/>
          <w:lang w:val="fr-FR"/>
        </w:rPr>
      </w:pPr>
      <w:r w:rsidRPr="000531B9">
        <w:rPr>
          <w:rStyle w:val="Corpsdutexte"/>
          <w:rFonts w:ascii="Avenir Next LT Pro" w:hAnsi="Avenir Next LT Pro" w:cs="Calibri"/>
          <w:sz w:val="20"/>
          <w:szCs w:val="20"/>
          <w:lang w:val="fr-FR"/>
        </w:rPr>
        <w:t xml:space="preserve">Les acteurs administratifs intervenants dans la chaine de prise de décision sur les questions abordées par le projet. Il s’agit </w:t>
      </w:r>
      <w:r w:rsidR="00C06262" w:rsidRPr="000531B9">
        <w:rPr>
          <w:rStyle w:val="Corpsdutexte"/>
          <w:rFonts w:ascii="Avenir Next LT Pro" w:hAnsi="Avenir Next LT Pro" w:cs="Calibri"/>
          <w:sz w:val="20"/>
          <w:szCs w:val="20"/>
          <w:lang w:val="fr-FR"/>
        </w:rPr>
        <w:t>des diverses administrations sectorielles</w:t>
      </w:r>
      <w:r w:rsidRPr="000531B9">
        <w:rPr>
          <w:rStyle w:val="Corpsdutexte"/>
          <w:rFonts w:ascii="Avenir Next LT Pro" w:hAnsi="Avenir Next LT Pro" w:cs="Calibri"/>
          <w:sz w:val="20"/>
          <w:szCs w:val="20"/>
          <w:lang w:val="fr-FR"/>
        </w:rPr>
        <w:t xml:space="preserve"> qui seront impliqués dans les différentes instances consultatives et de prises de décision du projet (Comité de pilotage, comité technique et autres cadre de concertation)</w:t>
      </w:r>
    </w:p>
    <w:p w14:paraId="4418480E" w14:textId="2EF7FB05" w:rsidR="0037291A" w:rsidRPr="000531B9" w:rsidRDefault="0037291A" w:rsidP="0037291A">
      <w:pPr>
        <w:pStyle w:val="Corpsdutexte1"/>
        <w:numPr>
          <w:ilvl w:val="0"/>
          <w:numId w:val="5"/>
        </w:numPr>
        <w:shd w:val="clear" w:color="auto" w:fill="auto"/>
        <w:tabs>
          <w:tab w:val="left" w:pos="830"/>
        </w:tabs>
        <w:spacing w:before="0" w:after="0" w:line="276" w:lineRule="auto"/>
        <w:jc w:val="both"/>
        <w:rPr>
          <w:rStyle w:val="Corpsdutexte"/>
          <w:rFonts w:ascii="Avenir Next LT Pro" w:hAnsi="Avenir Next LT Pro" w:cs="Calibri"/>
          <w:sz w:val="20"/>
          <w:szCs w:val="20"/>
          <w:lang w:val="fr-FR"/>
        </w:rPr>
      </w:pPr>
      <w:r w:rsidRPr="000531B9">
        <w:rPr>
          <w:rStyle w:val="Corpsdutexte"/>
          <w:rFonts w:ascii="Avenir Next LT Pro" w:hAnsi="Avenir Next LT Pro" w:cs="Calibri"/>
          <w:sz w:val="20"/>
          <w:szCs w:val="20"/>
          <w:lang w:val="fr-FR"/>
        </w:rPr>
        <w:t xml:space="preserve">Les partenaires techniques et financiers du Gouvernement de la RDC. Des communications régulières portant sur le projet et son état d’avancement seront </w:t>
      </w:r>
      <w:r w:rsidR="009E7590" w:rsidRPr="000531B9">
        <w:rPr>
          <w:rStyle w:val="Corpsdutexte"/>
          <w:rFonts w:ascii="Avenir Next LT Pro" w:hAnsi="Avenir Next LT Pro" w:cs="Calibri"/>
          <w:sz w:val="20"/>
          <w:szCs w:val="20"/>
          <w:lang w:val="fr-FR"/>
        </w:rPr>
        <w:t>faits</w:t>
      </w:r>
      <w:r w:rsidRPr="000531B9">
        <w:rPr>
          <w:rStyle w:val="Corpsdutexte"/>
          <w:rFonts w:ascii="Avenir Next LT Pro" w:hAnsi="Avenir Next LT Pro" w:cs="Calibri"/>
          <w:sz w:val="20"/>
          <w:szCs w:val="20"/>
          <w:lang w:val="fr-FR"/>
        </w:rPr>
        <w:t xml:space="preserve"> auprès des PTF membre du GIBEC. Il s’agira tout au long du projet d’identifier les potentiels complémentarités ou synergie à mettre en place </w:t>
      </w:r>
    </w:p>
    <w:p w14:paraId="6C440C49" w14:textId="1525171A" w:rsidR="0037291A" w:rsidRPr="000531B9" w:rsidRDefault="0037291A" w:rsidP="0037291A">
      <w:pPr>
        <w:pStyle w:val="Corpsdutexte1"/>
        <w:numPr>
          <w:ilvl w:val="0"/>
          <w:numId w:val="5"/>
        </w:numPr>
        <w:shd w:val="clear" w:color="auto" w:fill="auto"/>
        <w:tabs>
          <w:tab w:val="left" w:pos="830"/>
        </w:tabs>
        <w:spacing w:before="0" w:after="0" w:line="276" w:lineRule="auto"/>
        <w:jc w:val="both"/>
        <w:rPr>
          <w:rStyle w:val="Corpsdutexte"/>
          <w:rFonts w:ascii="Avenir Next LT Pro" w:hAnsi="Avenir Next LT Pro" w:cs="Calibri"/>
          <w:sz w:val="20"/>
          <w:szCs w:val="20"/>
          <w:lang w:val="fr-FR"/>
        </w:rPr>
      </w:pPr>
      <w:r w:rsidRPr="000531B9">
        <w:rPr>
          <w:rStyle w:val="Corpsdutexte"/>
          <w:rFonts w:ascii="Avenir Next LT Pro" w:hAnsi="Avenir Next LT Pro" w:cs="Calibri"/>
          <w:sz w:val="20"/>
          <w:szCs w:val="20"/>
          <w:lang w:val="fr-FR"/>
        </w:rPr>
        <w:t xml:space="preserve">Les acteurs du secteurs privés opérant dans la finance carbone, seront consultés régulièrement à travers les cadres de concertations mis en place dans le cadre du projet. </w:t>
      </w:r>
      <w:r w:rsidR="009E7590" w:rsidRPr="000531B9">
        <w:rPr>
          <w:rStyle w:val="Corpsdutexte"/>
          <w:rFonts w:ascii="Avenir Next LT Pro" w:hAnsi="Avenir Next LT Pro" w:cs="Calibri"/>
          <w:sz w:val="20"/>
          <w:szCs w:val="20"/>
          <w:lang w:val="fr-FR"/>
        </w:rPr>
        <w:t>Ils seront</w:t>
      </w:r>
      <w:r w:rsidRPr="000531B9">
        <w:rPr>
          <w:rStyle w:val="Corpsdutexte"/>
          <w:rFonts w:ascii="Avenir Next LT Pro" w:hAnsi="Avenir Next LT Pro" w:cs="Calibri"/>
          <w:sz w:val="20"/>
          <w:szCs w:val="20"/>
          <w:lang w:val="fr-FR"/>
        </w:rPr>
        <w:t xml:space="preserve"> pleinement impliqués dans les processus d’élaboration de documents techniques relatifs aux conditions cadre du marché du carbone en RDC. </w:t>
      </w:r>
    </w:p>
    <w:p w14:paraId="4F5EE3DF" w14:textId="71A37459" w:rsidR="009E7590" w:rsidRPr="000531B9" w:rsidRDefault="0037291A" w:rsidP="0037291A">
      <w:pPr>
        <w:pStyle w:val="Corpsdutexte1"/>
        <w:numPr>
          <w:ilvl w:val="0"/>
          <w:numId w:val="5"/>
        </w:numPr>
        <w:shd w:val="clear" w:color="auto" w:fill="auto"/>
        <w:tabs>
          <w:tab w:val="left" w:pos="830"/>
        </w:tabs>
        <w:spacing w:before="0" w:after="0" w:line="276" w:lineRule="auto"/>
        <w:jc w:val="both"/>
        <w:rPr>
          <w:rStyle w:val="Corpsdutexte"/>
          <w:rFonts w:ascii="Avenir Next LT Pro" w:hAnsi="Avenir Next LT Pro" w:cs="Calibri"/>
          <w:sz w:val="20"/>
          <w:szCs w:val="20"/>
          <w:lang w:val="fr-FR"/>
        </w:rPr>
      </w:pPr>
      <w:r w:rsidRPr="000531B9">
        <w:rPr>
          <w:rStyle w:val="Corpsdutexte"/>
          <w:rFonts w:ascii="Avenir Next LT Pro" w:hAnsi="Avenir Next LT Pro" w:cs="Calibri"/>
          <w:sz w:val="20"/>
          <w:szCs w:val="20"/>
          <w:lang w:val="fr-FR"/>
        </w:rPr>
        <w:t xml:space="preserve">Les populations </w:t>
      </w:r>
      <w:r w:rsidR="009E7590" w:rsidRPr="000531B9">
        <w:rPr>
          <w:rStyle w:val="Corpsdutexte"/>
          <w:rFonts w:ascii="Avenir Next LT Pro" w:hAnsi="Avenir Next LT Pro" w:cs="Calibri"/>
          <w:sz w:val="20"/>
          <w:szCs w:val="20"/>
          <w:lang w:val="fr-FR"/>
        </w:rPr>
        <w:t xml:space="preserve">de la RDC seront touchées au travers de moyens de communication de masse tel que la télévision, les pages de réseaux sociaux du PNUD, FONAREDD ou du CAFI. Le projet s’appuiera sur les organisations de la société civile pour servir de relai pour la communication du projet auprès des communautés locales et populations autochtones. </w:t>
      </w:r>
    </w:p>
    <w:p w14:paraId="7029820D" w14:textId="6454EEC7" w:rsidR="009E7590" w:rsidRPr="000531B9" w:rsidRDefault="009E7590" w:rsidP="0037291A">
      <w:pPr>
        <w:pStyle w:val="Corpsdutexte1"/>
        <w:numPr>
          <w:ilvl w:val="0"/>
          <w:numId w:val="5"/>
        </w:numPr>
        <w:shd w:val="clear" w:color="auto" w:fill="auto"/>
        <w:tabs>
          <w:tab w:val="left" w:pos="830"/>
        </w:tabs>
        <w:spacing w:before="0" w:after="0" w:line="276" w:lineRule="auto"/>
        <w:jc w:val="both"/>
        <w:rPr>
          <w:rStyle w:val="Corpsdutexte"/>
          <w:rFonts w:ascii="Avenir Next LT Pro" w:hAnsi="Avenir Next LT Pro" w:cs="Calibri"/>
          <w:sz w:val="20"/>
          <w:szCs w:val="20"/>
          <w:lang w:val="fr-FR"/>
        </w:rPr>
      </w:pPr>
      <w:r w:rsidRPr="000531B9">
        <w:rPr>
          <w:rStyle w:val="Corpsdutexte"/>
          <w:rFonts w:ascii="Avenir Next LT Pro" w:hAnsi="Avenir Next LT Pro" w:cs="Calibri"/>
          <w:sz w:val="20"/>
          <w:szCs w:val="20"/>
          <w:lang w:val="fr-FR"/>
        </w:rPr>
        <w:t>Les productions techniques du projet et autres documents de capitalisation seront diffusés à l’échelle régionale et international lors de participation aux évènements tels que les conférences, séminaire.</w:t>
      </w:r>
    </w:p>
    <w:p w14:paraId="181A90AB" w14:textId="76E6FDA9" w:rsidR="0037291A" w:rsidRPr="000531B9" w:rsidRDefault="009E7590" w:rsidP="0037291A">
      <w:pPr>
        <w:pStyle w:val="Corpsdutexte1"/>
        <w:numPr>
          <w:ilvl w:val="0"/>
          <w:numId w:val="5"/>
        </w:numPr>
        <w:shd w:val="clear" w:color="auto" w:fill="auto"/>
        <w:tabs>
          <w:tab w:val="left" w:pos="830"/>
        </w:tabs>
        <w:spacing w:before="0" w:after="0" w:line="276" w:lineRule="auto"/>
        <w:jc w:val="both"/>
        <w:rPr>
          <w:rStyle w:val="Corpsdutexte"/>
          <w:rFonts w:ascii="Avenir Next LT Pro" w:hAnsi="Avenir Next LT Pro" w:cs="Calibri"/>
          <w:sz w:val="20"/>
          <w:szCs w:val="20"/>
          <w:lang w:val="fr-FR"/>
        </w:rPr>
      </w:pPr>
      <w:r w:rsidRPr="000531B9">
        <w:rPr>
          <w:rStyle w:val="Corpsdutexte"/>
          <w:rFonts w:ascii="Avenir Next LT Pro" w:hAnsi="Avenir Next LT Pro" w:cs="Calibri"/>
          <w:sz w:val="20"/>
          <w:szCs w:val="20"/>
          <w:lang w:val="fr-FR"/>
        </w:rPr>
        <w:t xml:space="preserve">Les institutions de formation supérieure leur réseau tel que le RIFFEAC seront également ciblés dans le cadre du mécanisme de communication du projet. </w:t>
      </w:r>
    </w:p>
    <w:p w14:paraId="0FD663A0" w14:textId="77777777" w:rsidR="0037291A" w:rsidRDefault="0037291A" w:rsidP="00FB7BE6">
      <w:pPr>
        <w:pStyle w:val="Corpsdutexte1"/>
        <w:numPr>
          <w:ilvl w:val="0"/>
          <w:numId w:val="5"/>
        </w:numPr>
        <w:shd w:val="clear" w:color="auto" w:fill="auto"/>
        <w:tabs>
          <w:tab w:val="left" w:pos="830"/>
        </w:tabs>
        <w:spacing w:before="0" w:after="0" w:line="276" w:lineRule="auto"/>
        <w:jc w:val="both"/>
        <w:rPr>
          <w:rStyle w:val="Corpsdutexte"/>
          <w:rFonts w:ascii="Avenir Next LT Pro" w:hAnsi="Avenir Next LT Pro" w:cs="Calibri"/>
          <w:color w:val="3E762A" w:themeColor="accent1" w:themeShade="BF"/>
          <w:sz w:val="20"/>
          <w:szCs w:val="20"/>
          <w:lang w:val="fr-FR"/>
        </w:rPr>
      </w:pPr>
    </w:p>
    <w:p w14:paraId="73FE82AE" w14:textId="77777777" w:rsidR="00317E83" w:rsidRPr="00C345C4" w:rsidRDefault="00317E83" w:rsidP="00317E83">
      <w:pPr>
        <w:pStyle w:val="Corpsdutexte1"/>
        <w:shd w:val="clear" w:color="auto" w:fill="auto"/>
        <w:tabs>
          <w:tab w:val="left" w:pos="830"/>
        </w:tabs>
        <w:spacing w:before="0" w:after="120" w:line="276" w:lineRule="auto"/>
        <w:ind w:firstLine="0"/>
        <w:jc w:val="both"/>
        <w:rPr>
          <w:rFonts w:ascii="Avenir Next LT Pro" w:hAnsi="Avenir Next LT Pro" w:cs="Calibri"/>
          <w:color w:val="3E762A" w:themeColor="accent1" w:themeShade="BF"/>
          <w:sz w:val="20"/>
          <w:szCs w:val="20"/>
          <w:lang w:val="fr-FR"/>
        </w:rPr>
      </w:pPr>
    </w:p>
    <w:p w14:paraId="554741C0" w14:textId="7048F321" w:rsidR="00DC461C" w:rsidRDefault="00DE55C7" w:rsidP="00FB7BE6">
      <w:pPr>
        <w:pStyle w:val="Paragraphedeliste"/>
        <w:numPr>
          <w:ilvl w:val="0"/>
          <w:numId w:val="9"/>
        </w:numPr>
        <w:spacing w:after="120"/>
        <w:rPr>
          <w:rStyle w:val="Corpsdutexte"/>
          <w:rFonts w:ascii="Avenir Next LT Pro" w:eastAsiaTheme="minorHAnsi" w:hAnsi="Avenir Next LT Pro" w:cs="Calibri"/>
          <w:b/>
          <w:bCs/>
          <w:color w:val="000000" w:themeColor="text1"/>
          <w:sz w:val="20"/>
          <w:szCs w:val="20"/>
          <w:lang w:val="fr-CD" w:eastAsia="sl-SI"/>
        </w:rPr>
      </w:pPr>
      <w:r w:rsidRPr="00C345C4">
        <w:rPr>
          <w:rStyle w:val="Corpsdutexte"/>
          <w:rFonts w:ascii="Avenir Next LT Pro" w:hAnsi="Avenir Next LT Pro" w:cs="Calibri"/>
          <w:b/>
          <w:bCs/>
          <w:color w:val="000000" w:themeColor="text1"/>
          <w:sz w:val="20"/>
          <w:szCs w:val="20"/>
          <w:lang w:eastAsia="sl-SI"/>
        </w:rPr>
        <w:t>Description des principales actions de communication</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20"/>
        <w:gridCol w:w="1106"/>
        <w:gridCol w:w="1805"/>
        <w:gridCol w:w="1421"/>
        <w:gridCol w:w="2602"/>
      </w:tblGrid>
      <w:tr w:rsidR="0085123F" w:rsidRPr="0085123F" w14:paraId="1D01E739" w14:textId="77777777" w:rsidTr="0085123F">
        <w:trPr>
          <w:trHeight w:val="300"/>
        </w:trPr>
        <w:tc>
          <w:tcPr>
            <w:tcW w:w="1170" w:type="pct"/>
            <w:tcBorders>
              <w:top w:val="single" w:sz="6" w:space="0" w:color="auto"/>
              <w:left w:val="single" w:sz="6" w:space="0" w:color="auto"/>
              <w:bottom w:val="single" w:sz="6" w:space="0" w:color="auto"/>
              <w:right w:val="single" w:sz="6" w:space="0" w:color="auto"/>
            </w:tcBorders>
            <w:shd w:val="clear" w:color="auto" w:fill="3E762A" w:themeFill="accent1" w:themeFillShade="BF"/>
            <w:hideMark/>
          </w:tcPr>
          <w:p w14:paraId="01AD46EA" w14:textId="5C1DC1EF" w:rsidR="008F09CF" w:rsidRPr="0085123F" w:rsidRDefault="008F09CF" w:rsidP="008F09CF">
            <w:pPr>
              <w:spacing w:before="100" w:beforeAutospacing="1" w:after="100" w:afterAutospacing="1"/>
              <w:jc w:val="center"/>
              <w:textAlignment w:val="baseline"/>
              <w:rPr>
                <w:rFonts w:ascii="Avenir Next LT Pro" w:eastAsia="Times New Roman" w:hAnsi="Avenir Next LT Pro" w:cstheme="minorHAnsi"/>
                <w:b/>
                <w:bCs/>
                <w:color w:val="FFFFFF" w:themeColor="background1"/>
                <w:sz w:val="20"/>
                <w:szCs w:val="20"/>
                <w:lang w:eastAsia="en-GB"/>
              </w:rPr>
            </w:pPr>
            <w:r w:rsidRPr="0085123F">
              <w:rPr>
                <w:rFonts w:ascii="Avenir Next LT Pro" w:eastAsia="Times New Roman" w:hAnsi="Avenir Next LT Pro" w:cstheme="minorHAnsi"/>
                <w:b/>
                <w:bCs/>
                <w:color w:val="FFFFFF" w:themeColor="background1"/>
                <w:sz w:val="20"/>
                <w:szCs w:val="20"/>
                <w:lang w:eastAsia="en-GB"/>
              </w:rPr>
              <w:t>Description* </w:t>
            </w:r>
          </w:p>
        </w:tc>
        <w:tc>
          <w:tcPr>
            <w:tcW w:w="611" w:type="pct"/>
            <w:tcBorders>
              <w:top w:val="single" w:sz="6" w:space="0" w:color="auto"/>
              <w:left w:val="single" w:sz="6" w:space="0" w:color="auto"/>
              <w:bottom w:val="single" w:sz="6" w:space="0" w:color="auto"/>
              <w:right w:val="single" w:sz="6" w:space="0" w:color="auto"/>
            </w:tcBorders>
            <w:shd w:val="clear" w:color="auto" w:fill="3E762A" w:themeFill="accent1" w:themeFillShade="BF"/>
            <w:hideMark/>
          </w:tcPr>
          <w:p w14:paraId="6F862E23" w14:textId="3B7AD0B8" w:rsidR="008F09CF" w:rsidRPr="0085123F" w:rsidRDefault="008F09CF" w:rsidP="008F09CF">
            <w:pPr>
              <w:spacing w:before="100" w:beforeAutospacing="1" w:after="100" w:afterAutospacing="1"/>
              <w:jc w:val="center"/>
              <w:textAlignment w:val="baseline"/>
              <w:rPr>
                <w:rFonts w:ascii="Avenir Next LT Pro" w:eastAsia="Times New Roman" w:hAnsi="Avenir Next LT Pro" w:cstheme="minorHAnsi"/>
                <w:b/>
                <w:bCs/>
                <w:color w:val="FFFFFF" w:themeColor="background1"/>
                <w:sz w:val="20"/>
                <w:szCs w:val="20"/>
                <w:lang w:eastAsia="en-GB"/>
              </w:rPr>
            </w:pPr>
            <w:r w:rsidRPr="0085123F">
              <w:rPr>
                <w:rFonts w:ascii="Avenir Next LT Pro" w:eastAsia="Times New Roman" w:hAnsi="Avenir Next LT Pro" w:cstheme="minorHAnsi"/>
                <w:b/>
                <w:bCs/>
                <w:color w:val="FFFFFF" w:themeColor="background1"/>
                <w:sz w:val="20"/>
                <w:szCs w:val="20"/>
                <w:lang w:eastAsia="en-GB"/>
              </w:rPr>
              <w:t>Public cible </w:t>
            </w:r>
          </w:p>
        </w:tc>
        <w:tc>
          <w:tcPr>
            <w:tcW w:w="997" w:type="pct"/>
            <w:tcBorders>
              <w:top w:val="single" w:sz="6" w:space="0" w:color="auto"/>
              <w:left w:val="single" w:sz="6" w:space="0" w:color="auto"/>
              <w:bottom w:val="single" w:sz="6" w:space="0" w:color="auto"/>
              <w:right w:val="single" w:sz="6" w:space="0" w:color="auto"/>
            </w:tcBorders>
            <w:shd w:val="clear" w:color="auto" w:fill="3E762A" w:themeFill="accent1" w:themeFillShade="BF"/>
            <w:hideMark/>
          </w:tcPr>
          <w:p w14:paraId="09A4D83A" w14:textId="299C4F1D" w:rsidR="008F09CF" w:rsidRPr="0085123F" w:rsidRDefault="008F09CF" w:rsidP="008F09CF">
            <w:pPr>
              <w:spacing w:before="100" w:beforeAutospacing="1" w:after="100" w:afterAutospacing="1"/>
              <w:jc w:val="center"/>
              <w:textAlignment w:val="baseline"/>
              <w:rPr>
                <w:rFonts w:ascii="Avenir Next LT Pro" w:eastAsia="Times New Roman" w:hAnsi="Avenir Next LT Pro" w:cstheme="minorHAnsi"/>
                <w:b/>
                <w:bCs/>
                <w:color w:val="FFFFFF" w:themeColor="background1"/>
                <w:sz w:val="20"/>
                <w:szCs w:val="20"/>
                <w:lang w:eastAsia="en-GB"/>
              </w:rPr>
            </w:pPr>
            <w:r w:rsidRPr="0085123F">
              <w:rPr>
                <w:rFonts w:ascii="Avenir Next LT Pro" w:eastAsia="Times New Roman" w:hAnsi="Avenir Next LT Pro" w:cstheme="minorHAnsi"/>
                <w:b/>
                <w:bCs/>
                <w:color w:val="FFFFFF" w:themeColor="background1"/>
                <w:sz w:val="20"/>
                <w:szCs w:val="20"/>
                <w:lang w:eastAsia="en-GB"/>
              </w:rPr>
              <w:t>Activités et outils de communication </w:t>
            </w:r>
          </w:p>
        </w:tc>
        <w:tc>
          <w:tcPr>
            <w:tcW w:w="785" w:type="pct"/>
            <w:tcBorders>
              <w:top w:val="single" w:sz="6" w:space="0" w:color="auto"/>
              <w:left w:val="single" w:sz="6" w:space="0" w:color="auto"/>
              <w:bottom w:val="single" w:sz="6" w:space="0" w:color="auto"/>
              <w:right w:val="single" w:sz="6" w:space="0" w:color="auto"/>
            </w:tcBorders>
            <w:shd w:val="clear" w:color="auto" w:fill="3E762A" w:themeFill="accent1" w:themeFillShade="BF"/>
            <w:hideMark/>
          </w:tcPr>
          <w:p w14:paraId="1407D5A8" w14:textId="397569C6" w:rsidR="008F09CF" w:rsidRPr="0085123F" w:rsidRDefault="008F09CF" w:rsidP="008F09CF">
            <w:pPr>
              <w:spacing w:before="100" w:beforeAutospacing="1" w:after="100" w:afterAutospacing="1"/>
              <w:jc w:val="center"/>
              <w:textAlignment w:val="baseline"/>
              <w:rPr>
                <w:rFonts w:ascii="Avenir Next LT Pro" w:eastAsia="Times New Roman" w:hAnsi="Avenir Next LT Pro" w:cstheme="minorHAnsi"/>
                <w:b/>
                <w:bCs/>
                <w:color w:val="FFFFFF" w:themeColor="background1"/>
                <w:sz w:val="20"/>
                <w:szCs w:val="20"/>
                <w:lang w:eastAsia="en-GB"/>
              </w:rPr>
            </w:pPr>
            <w:r w:rsidRPr="0085123F">
              <w:rPr>
                <w:rFonts w:ascii="Avenir Next LT Pro" w:eastAsia="Times New Roman" w:hAnsi="Avenir Next LT Pro" w:cstheme="minorHAnsi"/>
                <w:b/>
                <w:bCs/>
                <w:color w:val="FFFFFF" w:themeColor="background1"/>
                <w:sz w:val="20"/>
                <w:szCs w:val="20"/>
                <w:lang w:eastAsia="en-GB"/>
              </w:rPr>
              <w:t xml:space="preserve">Responsable </w:t>
            </w:r>
          </w:p>
        </w:tc>
        <w:tc>
          <w:tcPr>
            <w:tcW w:w="1437" w:type="pct"/>
            <w:tcBorders>
              <w:top w:val="single" w:sz="6" w:space="0" w:color="auto"/>
              <w:left w:val="single" w:sz="6" w:space="0" w:color="auto"/>
              <w:bottom w:val="single" w:sz="6" w:space="0" w:color="auto"/>
              <w:right w:val="single" w:sz="6" w:space="0" w:color="auto"/>
            </w:tcBorders>
            <w:shd w:val="clear" w:color="auto" w:fill="3E762A" w:themeFill="accent1" w:themeFillShade="BF"/>
          </w:tcPr>
          <w:p w14:paraId="0B9C446F" w14:textId="77F67E28" w:rsidR="008F09CF" w:rsidRPr="0085123F" w:rsidRDefault="008F09CF" w:rsidP="008F09CF">
            <w:pPr>
              <w:spacing w:before="100" w:beforeAutospacing="1" w:after="100" w:afterAutospacing="1"/>
              <w:jc w:val="center"/>
              <w:textAlignment w:val="baseline"/>
              <w:rPr>
                <w:rFonts w:ascii="Avenir Next LT Pro" w:eastAsia="Times New Roman" w:hAnsi="Avenir Next LT Pro" w:cstheme="minorHAnsi"/>
                <w:b/>
                <w:bCs/>
                <w:color w:val="FFFFFF" w:themeColor="background1"/>
                <w:sz w:val="20"/>
                <w:szCs w:val="20"/>
                <w:lang w:eastAsia="en-GB"/>
              </w:rPr>
            </w:pPr>
            <w:r w:rsidRPr="0085123F">
              <w:rPr>
                <w:rFonts w:ascii="Avenir Next LT Pro" w:eastAsia="Times New Roman" w:hAnsi="Avenir Next LT Pro" w:cstheme="minorHAnsi"/>
                <w:b/>
                <w:bCs/>
                <w:color w:val="FFFFFF" w:themeColor="background1"/>
                <w:sz w:val="20"/>
                <w:szCs w:val="20"/>
                <w:lang w:eastAsia="en-GB"/>
              </w:rPr>
              <w:t xml:space="preserve">Période approximative de mise en </w:t>
            </w:r>
            <w:r w:rsidR="00317E83" w:rsidRPr="0085123F">
              <w:rPr>
                <w:rFonts w:ascii="Avenir Next LT Pro" w:eastAsia="Times New Roman" w:hAnsi="Avenir Next LT Pro" w:cstheme="minorHAnsi"/>
                <w:b/>
                <w:bCs/>
                <w:color w:val="FFFFFF" w:themeColor="background1"/>
                <w:sz w:val="20"/>
                <w:szCs w:val="20"/>
                <w:lang w:eastAsia="en-GB"/>
              </w:rPr>
              <w:t xml:space="preserve">œuvre </w:t>
            </w:r>
            <w:r w:rsidRPr="0085123F">
              <w:rPr>
                <w:rFonts w:ascii="Avenir Next LT Pro" w:eastAsia="Times New Roman" w:hAnsi="Avenir Next LT Pro" w:cstheme="minorHAnsi"/>
                <w:b/>
                <w:bCs/>
                <w:color w:val="FFFFFF" w:themeColor="background1"/>
                <w:sz w:val="20"/>
                <w:szCs w:val="20"/>
                <w:lang w:eastAsia="en-GB"/>
              </w:rPr>
              <w:t> </w:t>
            </w:r>
          </w:p>
        </w:tc>
      </w:tr>
      <w:tr w:rsidR="008F09CF" w:rsidRPr="0085123F" w14:paraId="33262E0A" w14:textId="08177EDE" w:rsidTr="008F09CF">
        <w:trPr>
          <w:trHeight w:val="333"/>
        </w:trPr>
        <w:tc>
          <w:tcPr>
            <w:tcW w:w="5000" w:type="pct"/>
            <w:gridSpan w:val="5"/>
            <w:tcBorders>
              <w:top w:val="single" w:sz="6" w:space="0" w:color="auto"/>
              <w:left w:val="single" w:sz="6" w:space="0" w:color="auto"/>
              <w:bottom w:val="single" w:sz="4" w:space="0" w:color="auto"/>
              <w:right w:val="single" w:sz="4" w:space="0" w:color="auto"/>
            </w:tcBorders>
            <w:shd w:val="clear" w:color="auto" w:fill="DAEFD3" w:themeFill="accent1" w:themeFillTint="33"/>
            <w:hideMark/>
          </w:tcPr>
          <w:p w14:paraId="7FF9F482" w14:textId="0085E631" w:rsidR="008F09CF" w:rsidRPr="0085123F" w:rsidRDefault="008F09CF" w:rsidP="008F09CF">
            <w:pPr>
              <w:spacing w:after="0"/>
              <w:textAlignment w:val="baseline"/>
              <w:rPr>
                <w:rFonts w:ascii="Avenir Next LT Pro" w:eastAsia="Times New Roman" w:hAnsi="Avenir Next LT Pro" w:cstheme="minorHAnsi"/>
                <w:sz w:val="20"/>
                <w:szCs w:val="20"/>
                <w:lang w:eastAsia="en-GB"/>
              </w:rPr>
            </w:pPr>
            <w:r w:rsidRPr="0085123F">
              <w:rPr>
                <w:rFonts w:ascii="Avenir Next LT Pro" w:eastAsia="Times New Roman" w:hAnsi="Avenir Next LT Pro" w:cstheme="minorHAnsi"/>
                <w:sz w:val="20"/>
                <w:szCs w:val="20"/>
                <w:lang w:eastAsia="en-GB"/>
              </w:rPr>
              <w:lastRenderedPageBreak/>
              <w:t xml:space="preserve">  Sur le projet </w:t>
            </w:r>
            <w:r w:rsidR="00317E83" w:rsidRPr="0085123F">
              <w:rPr>
                <w:rFonts w:ascii="Avenir Next LT Pro" w:eastAsia="Times New Roman" w:hAnsi="Avenir Next LT Pro" w:cstheme="minorHAnsi"/>
                <w:sz w:val="20"/>
                <w:szCs w:val="20"/>
                <w:lang w:eastAsia="en-GB"/>
              </w:rPr>
              <w:t>en général</w:t>
            </w:r>
            <w:r w:rsidRPr="0085123F">
              <w:rPr>
                <w:rFonts w:ascii="Avenir Next LT Pro" w:eastAsia="Times New Roman" w:hAnsi="Avenir Next LT Pro" w:cstheme="minorHAnsi"/>
                <w:sz w:val="20"/>
                <w:szCs w:val="20"/>
                <w:lang w:eastAsia="en-GB"/>
              </w:rPr>
              <w:t> </w:t>
            </w:r>
          </w:p>
        </w:tc>
      </w:tr>
      <w:tr w:rsidR="008F09CF" w:rsidRPr="0085123F" w14:paraId="377DEBB8" w14:textId="77777777" w:rsidTr="008F09CF">
        <w:trPr>
          <w:trHeight w:val="300"/>
        </w:trPr>
        <w:tc>
          <w:tcPr>
            <w:tcW w:w="1170" w:type="pct"/>
            <w:tcBorders>
              <w:top w:val="single" w:sz="4" w:space="0" w:color="auto"/>
              <w:left w:val="single" w:sz="6" w:space="0" w:color="auto"/>
              <w:bottom w:val="single" w:sz="6" w:space="0" w:color="auto"/>
              <w:right w:val="single" w:sz="6" w:space="0" w:color="auto"/>
            </w:tcBorders>
            <w:shd w:val="clear" w:color="auto" w:fill="auto"/>
          </w:tcPr>
          <w:p w14:paraId="7E8BE526" w14:textId="00266093" w:rsidR="008F09CF" w:rsidRPr="0085123F" w:rsidRDefault="009E7590"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Atelier de lancement </w:t>
            </w:r>
          </w:p>
        </w:tc>
        <w:tc>
          <w:tcPr>
            <w:tcW w:w="611" w:type="pct"/>
            <w:tcBorders>
              <w:top w:val="single" w:sz="4" w:space="0" w:color="auto"/>
              <w:left w:val="single" w:sz="6" w:space="0" w:color="auto"/>
              <w:bottom w:val="single" w:sz="6" w:space="0" w:color="auto"/>
              <w:right w:val="single" w:sz="6" w:space="0" w:color="auto"/>
            </w:tcBorders>
            <w:shd w:val="clear" w:color="auto" w:fill="auto"/>
          </w:tcPr>
          <w:p w14:paraId="57E2CE53" w14:textId="46F790EF" w:rsidR="008F09CF" w:rsidRPr="0085123F"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Toutes les catégories d’acteurs concernés par la question </w:t>
            </w:r>
          </w:p>
        </w:tc>
        <w:tc>
          <w:tcPr>
            <w:tcW w:w="997" w:type="pct"/>
            <w:tcBorders>
              <w:top w:val="single" w:sz="4" w:space="0" w:color="auto"/>
              <w:left w:val="single" w:sz="6" w:space="0" w:color="auto"/>
              <w:bottom w:val="single" w:sz="6" w:space="0" w:color="auto"/>
              <w:right w:val="single" w:sz="6" w:space="0" w:color="auto"/>
            </w:tcBorders>
            <w:shd w:val="clear" w:color="auto" w:fill="auto"/>
          </w:tcPr>
          <w:p w14:paraId="19FFBEC3" w14:textId="10B57AC8" w:rsidR="008F09CF"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Communiqué radio-presse </w:t>
            </w:r>
          </w:p>
          <w:p w14:paraId="3312392B" w14:textId="0D7D6797" w:rsidR="00BC40BD" w:rsidRPr="0085123F"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Production d’outils de visibilité du projet </w:t>
            </w:r>
          </w:p>
        </w:tc>
        <w:tc>
          <w:tcPr>
            <w:tcW w:w="785" w:type="pct"/>
            <w:tcBorders>
              <w:top w:val="single" w:sz="4" w:space="0" w:color="auto"/>
              <w:left w:val="single" w:sz="6" w:space="0" w:color="auto"/>
              <w:bottom w:val="single" w:sz="6" w:space="0" w:color="auto"/>
              <w:right w:val="single" w:sz="6" w:space="0" w:color="auto"/>
            </w:tcBorders>
            <w:shd w:val="clear" w:color="auto" w:fill="auto"/>
          </w:tcPr>
          <w:p w14:paraId="5D27F97E" w14:textId="6AE14E16" w:rsidR="008F09CF" w:rsidRPr="0085123F" w:rsidRDefault="009E7590"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PNUD </w:t>
            </w:r>
          </w:p>
        </w:tc>
        <w:tc>
          <w:tcPr>
            <w:tcW w:w="1437" w:type="pct"/>
            <w:tcBorders>
              <w:top w:val="single" w:sz="4" w:space="0" w:color="auto"/>
              <w:left w:val="single" w:sz="6" w:space="0" w:color="auto"/>
              <w:bottom w:val="single" w:sz="6" w:space="0" w:color="auto"/>
              <w:right w:val="single" w:sz="4" w:space="0" w:color="auto"/>
            </w:tcBorders>
            <w:shd w:val="clear" w:color="auto" w:fill="auto"/>
          </w:tcPr>
          <w:p w14:paraId="619B2C91" w14:textId="57F88662" w:rsidR="008F09CF" w:rsidRPr="0085123F"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Mois 1 </w:t>
            </w:r>
          </w:p>
        </w:tc>
      </w:tr>
      <w:tr w:rsidR="008F09CF" w:rsidRPr="0085123F" w14:paraId="5C739697" w14:textId="7605F909" w:rsidTr="008F09CF">
        <w:trPr>
          <w:trHeight w:val="300"/>
        </w:trPr>
        <w:tc>
          <w:tcPr>
            <w:tcW w:w="5000" w:type="pct"/>
            <w:gridSpan w:val="5"/>
            <w:tcBorders>
              <w:top w:val="single" w:sz="6" w:space="0" w:color="auto"/>
              <w:left w:val="single" w:sz="6" w:space="0" w:color="auto"/>
              <w:bottom w:val="single" w:sz="6" w:space="0" w:color="auto"/>
              <w:right w:val="single" w:sz="4" w:space="0" w:color="auto"/>
            </w:tcBorders>
            <w:shd w:val="clear" w:color="auto" w:fill="DAEFD3" w:themeFill="accent1" w:themeFillTint="33"/>
          </w:tcPr>
          <w:p w14:paraId="2DA63608" w14:textId="1DD0A329" w:rsidR="008F09CF" w:rsidRPr="0085123F" w:rsidRDefault="008F09CF" w:rsidP="008F09CF">
            <w:pPr>
              <w:spacing w:after="0"/>
              <w:textAlignment w:val="baseline"/>
              <w:rPr>
                <w:rFonts w:ascii="Avenir Next LT Pro" w:eastAsia="Times New Roman" w:hAnsi="Avenir Next LT Pro" w:cstheme="minorHAnsi"/>
                <w:sz w:val="20"/>
                <w:szCs w:val="20"/>
                <w:lang w:eastAsia="en-GB"/>
              </w:rPr>
            </w:pPr>
            <w:r w:rsidRPr="0085123F">
              <w:rPr>
                <w:rFonts w:ascii="Avenir Next LT Pro" w:eastAsia="Times New Roman" w:hAnsi="Avenir Next LT Pro" w:cstheme="minorHAnsi"/>
                <w:sz w:val="20"/>
                <w:szCs w:val="20"/>
                <w:lang w:eastAsia="en-GB"/>
              </w:rPr>
              <w:t xml:space="preserve">Sur les produits du projet </w:t>
            </w:r>
          </w:p>
        </w:tc>
      </w:tr>
      <w:tr w:rsidR="008F09CF" w:rsidRPr="0085123F" w14:paraId="0EA3D6EF" w14:textId="77777777" w:rsidTr="008F09CF">
        <w:trPr>
          <w:trHeight w:val="300"/>
        </w:trPr>
        <w:tc>
          <w:tcPr>
            <w:tcW w:w="1170" w:type="pct"/>
            <w:tcBorders>
              <w:top w:val="single" w:sz="6" w:space="0" w:color="auto"/>
              <w:left w:val="single" w:sz="6" w:space="0" w:color="auto"/>
              <w:bottom w:val="single" w:sz="6" w:space="0" w:color="auto"/>
              <w:right w:val="single" w:sz="6" w:space="0" w:color="auto"/>
            </w:tcBorders>
            <w:shd w:val="clear" w:color="auto" w:fill="auto"/>
          </w:tcPr>
          <w:p w14:paraId="5964F5D9" w14:textId="385877AC" w:rsidR="008F09CF" w:rsidRPr="0085123F"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Restitution de la stratégie nationale de financement de la CDN </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11385B41" w14:textId="46D1D08F" w:rsidR="008F09CF" w:rsidRPr="0085123F"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Toutes les catégories d’acteurs concernés par la question</w:t>
            </w:r>
          </w:p>
        </w:tc>
        <w:tc>
          <w:tcPr>
            <w:tcW w:w="997" w:type="pct"/>
            <w:tcBorders>
              <w:top w:val="single" w:sz="6" w:space="0" w:color="auto"/>
              <w:left w:val="single" w:sz="6" w:space="0" w:color="auto"/>
              <w:bottom w:val="single" w:sz="6" w:space="0" w:color="auto"/>
              <w:right w:val="single" w:sz="6" w:space="0" w:color="auto"/>
            </w:tcBorders>
            <w:shd w:val="clear" w:color="auto" w:fill="auto"/>
          </w:tcPr>
          <w:p w14:paraId="4A7CBE07" w14:textId="77777777" w:rsidR="00BC40BD" w:rsidRDefault="00BC40BD" w:rsidP="00BC40BD">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Communiqué radio-presse </w:t>
            </w:r>
          </w:p>
          <w:p w14:paraId="40CFAF23" w14:textId="77777777" w:rsidR="00BC40BD" w:rsidRDefault="00BC40BD" w:rsidP="00BC40BD">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Production d’outils de visibilité du projet</w:t>
            </w:r>
          </w:p>
          <w:p w14:paraId="3A1182CA" w14:textId="3C60650A" w:rsidR="00BC40BD" w:rsidRPr="0085123F" w:rsidRDefault="00BC40BD" w:rsidP="00BC40BD">
            <w:pPr>
              <w:spacing w:after="0"/>
              <w:textAlignment w:val="baseline"/>
              <w:rPr>
                <w:rFonts w:ascii="Avenir Next LT Pro" w:eastAsia="Times New Roman" w:hAnsi="Avenir Next LT Pro" w:cstheme="minorHAnsi"/>
                <w:sz w:val="20"/>
                <w:szCs w:val="20"/>
                <w:lang w:eastAsia="en-GB"/>
              </w:rPr>
            </w:pPr>
          </w:p>
        </w:tc>
        <w:tc>
          <w:tcPr>
            <w:tcW w:w="785" w:type="pct"/>
            <w:tcBorders>
              <w:top w:val="single" w:sz="6" w:space="0" w:color="auto"/>
              <w:left w:val="single" w:sz="6" w:space="0" w:color="auto"/>
              <w:bottom w:val="single" w:sz="6" w:space="0" w:color="auto"/>
              <w:right w:val="single" w:sz="6" w:space="0" w:color="auto"/>
            </w:tcBorders>
            <w:shd w:val="clear" w:color="auto" w:fill="auto"/>
          </w:tcPr>
          <w:p w14:paraId="4CD33F5F" w14:textId="6B3C4235" w:rsidR="008F09CF" w:rsidRPr="0085123F"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PNUD </w:t>
            </w:r>
          </w:p>
        </w:tc>
        <w:tc>
          <w:tcPr>
            <w:tcW w:w="1437" w:type="pct"/>
            <w:tcBorders>
              <w:top w:val="single" w:sz="6" w:space="0" w:color="auto"/>
              <w:left w:val="single" w:sz="6" w:space="0" w:color="auto"/>
              <w:bottom w:val="single" w:sz="6" w:space="0" w:color="auto"/>
              <w:right w:val="single" w:sz="6" w:space="0" w:color="auto"/>
            </w:tcBorders>
            <w:shd w:val="clear" w:color="auto" w:fill="auto"/>
          </w:tcPr>
          <w:p w14:paraId="5F32FDFF" w14:textId="16B25466" w:rsidR="008F09CF" w:rsidRPr="0085123F" w:rsidRDefault="00E031B8"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Mois 6 </w:t>
            </w:r>
          </w:p>
        </w:tc>
      </w:tr>
      <w:tr w:rsidR="00BC40BD" w:rsidRPr="0085123F" w14:paraId="2689FFC7" w14:textId="77777777" w:rsidTr="008F09CF">
        <w:trPr>
          <w:trHeight w:val="300"/>
        </w:trPr>
        <w:tc>
          <w:tcPr>
            <w:tcW w:w="1170" w:type="pct"/>
            <w:tcBorders>
              <w:top w:val="single" w:sz="6" w:space="0" w:color="auto"/>
              <w:left w:val="single" w:sz="6" w:space="0" w:color="auto"/>
              <w:bottom w:val="single" w:sz="6" w:space="0" w:color="auto"/>
              <w:right w:val="single" w:sz="6" w:space="0" w:color="auto"/>
            </w:tcBorders>
            <w:shd w:val="clear" w:color="auto" w:fill="auto"/>
          </w:tcPr>
          <w:p w14:paraId="47FCC092" w14:textId="5009FB3F" w:rsidR="00BC40BD"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Restitution de la stratégie d'accès aux marchés du carbone </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4674872B" w14:textId="07745B3D" w:rsidR="00BC40BD" w:rsidRPr="0085123F"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Toutes les catégories d’acteurs concernés par la question</w:t>
            </w:r>
          </w:p>
        </w:tc>
        <w:tc>
          <w:tcPr>
            <w:tcW w:w="997" w:type="pct"/>
            <w:tcBorders>
              <w:top w:val="single" w:sz="6" w:space="0" w:color="auto"/>
              <w:left w:val="single" w:sz="6" w:space="0" w:color="auto"/>
              <w:bottom w:val="single" w:sz="6" w:space="0" w:color="auto"/>
              <w:right w:val="single" w:sz="6" w:space="0" w:color="auto"/>
            </w:tcBorders>
            <w:shd w:val="clear" w:color="auto" w:fill="auto"/>
          </w:tcPr>
          <w:p w14:paraId="2870BBA8" w14:textId="77777777" w:rsidR="00BC40BD" w:rsidRDefault="00BC40BD" w:rsidP="00BC40BD">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Communiqué radio-presse </w:t>
            </w:r>
          </w:p>
          <w:p w14:paraId="07DBE6E3" w14:textId="77777777" w:rsidR="00BC40BD" w:rsidRDefault="00BC40BD" w:rsidP="00BC40BD">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Production d’outils de visibilité du projet</w:t>
            </w:r>
          </w:p>
          <w:p w14:paraId="5967F719" w14:textId="1F602E17" w:rsidR="00BC40BD" w:rsidRDefault="00BC40BD" w:rsidP="00BC40BD">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Document de stratégie imprimé </w:t>
            </w:r>
          </w:p>
          <w:p w14:paraId="7F724632" w14:textId="77777777" w:rsidR="00BC40BD" w:rsidRPr="0085123F" w:rsidRDefault="00BC40BD" w:rsidP="008F09CF">
            <w:pPr>
              <w:spacing w:after="0"/>
              <w:textAlignment w:val="baseline"/>
              <w:rPr>
                <w:rFonts w:ascii="Avenir Next LT Pro" w:eastAsia="Times New Roman" w:hAnsi="Avenir Next LT Pro" w:cstheme="minorHAnsi"/>
                <w:sz w:val="20"/>
                <w:szCs w:val="20"/>
                <w:lang w:eastAsia="en-GB"/>
              </w:rPr>
            </w:pPr>
          </w:p>
        </w:tc>
        <w:tc>
          <w:tcPr>
            <w:tcW w:w="785" w:type="pct"/>
            <w:tcBorders>
              <w:top w:val="single" w:sz="6" w:space="0" w:color="auto"/>
              <w:left w:val="single" w:sz="6" w:space="0" w:color="auto"/>
              <w:bottom w:val="single" w:sz="6" w:space="0" w:color="auto"/>
              <w:right w:val="single" w:sz="6" w:space="0" w:color="auto"/>
            </w:tcBorders>
            <w:shd w:val="clear" w:color="auto" w:fill="auto"/>
          </w:tcPr>
          <w:p w14:paraId="5DFBFA9A" w14:textId="68CFF80C" w:rsidR="00BC40BD" w:rsidRPr="0085123F"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PNUD </w:t>
            </w:r>
          </w:p>
        </w:tc>
        <w:tc>
          <w:tcPr>
            <w:tcW w:w="1437" w:type="pct"/>
            <w:tcBorders>
              <w:top w:val="single" w:sz="6" w:space="0" w:color="auto"/>
              <w:left w:val="single" w:sz="6" w:space="0" w:color="auto"/>
              <w:bottom w:val="single" w:sz="6" w:space="0" w:color="auto"/>
              <w:right w:val="single" w:sz="6" w:space="0" w:color="auto"/>
            </w:tcBorders>
            <w:shd w:val="clear" w:color="auto" w:fill="auto"/>
          </w:tcPr>
          <w:p w14:paraId="26C9CB53" w14:textId="5EA8280F" w:rsidR="00BC40BD" w:rsidRPr="0085123F" w:rsidRDefault="00E031B8"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Mois 5</w:t>
            </w:r>
          </w:p>
        </w:tc>
      </w:tr>
      <w:tr w:rsidR="00BC40BD" w:rsidRPr="0085123F" w14:paraId="25B5590E" w14:textId="77777777" w:rsidTr="008F09CF">
        <w:trPr>
          <w:trHeight w:val="300"/>
        </w:trPr>
        <w:tc>
          <w:tcPr>
            <w:tcW w:w="1170" w:type="pct"/>
            <w:tcBorders>
              <w:top w:val="single" w:sz="6" w:space="0" w:color="auto"/>
              <w:left w:val="single" w:sz="6" w:space="0" w:color="auto"/>
              <w:bottom w:val="single" w:sz="6" w:space="0" w:color="auto"/>
              <w:right w:val="single" w:sz="6" w:space="0" w:color="auto"/>
            </w:tcBorders>
            <w:shd w:val="clear" w:color="auto" w:fill="auto"/>
          </w:tcPr>
          <w:p w14:paraId="05FCA639" w14:textId="6CDEAF0C" w:rsidR="00BC40BD"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Communication sur le registre national carbone </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4881910E" w14:textId="78E0E7CF" w:rsidR="00BC40BD" w:rsidRPr="0085123F"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Toutes les catégories d’acteurs concernés par la question</w:t>
            </w:r>
          </w:p>
        </w:tc>
        <w:tc>
          <w:tcPr>
            <w:tcW w:w="997" w:type="pct"/>
            <w:tcBorders>
              <w:top w:val="single" w:sz="6" w:space="0" w:color="auto"/>
              <w:left w:val="single" w:sz="6" w:space="0" w:color="auto"/>
              <w:bottom w:val="single" w:sz="6" w:space="0" w:color="auto"/>
              <w:right w:val="single" w:sz="6" w:space="0" w:color="auto"/>
            </w:tcBorders>
            <w:shd w:val="clear" w:color="auto" w:fill="auto"/>
          </w:tcPr>
          <w:p w14:paraId="6301A00C" w14:textId="77777777" w:rsidR="00BC40BD"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Atelier de formation, </w:t>
            </w:r>
          </w:p>
          <w:p w14:paraId="5230B516" w14:textId="77777777" w:rsidR="00BC40BD"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Tutoriels d’utilisation, </w:t>
            </w:r>
          </w:p>
          <w:p w14:paraId="2DA69057" w14:textId="3160D751" w:rsidR="00BC40BD" w:rsidRPr="0085123F"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Manuels et guides pratiques </w:t>
            </w:r>
          </w:p>
        </w:tc>
        <w:tc>
          <w:tcPr>
            <w:tcW w:w="785" w:type="pct"/>
            <w:tcBorders>
              <w:top w:val="single" w:sz="6" w:space="0" w:color="auto"/>
              <w:left w:val="single" w:sz="6" w:space="0" w:color="auto"/>
              <w:bottom w:val="single" w:sz="6" w:space="0" w:color="auto"/>
              <w:right w:val="single" w:sz="6" w:space="0" w:color="auto"/>
            </w:tcBorders>
            <w:shd w:val="clear" w:color="auto" w:fill="auto"/>
          </w:tcPr>
          <w:p w14:paraId="69FC33AB" w14:textId="541044B8" w:rsidR="00BC40BD" w:rsidRPr="0085123F" w:rsidRDefault="00BC40BD"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PNUD </w:t>
            </w:r>
          </w:p>
        </w:tc>
        <w:tc>
          <w:tcPr>
            <w:tcW w:w="1437" w:type="pct"/>
            <w:tcBorders>
              <w:top w:val="single" w:sz="6" w:space="0" w:color="auto"/>
              <w:left w:val="single" w:sz="6" w:space="0" w:color="auto"/>
              <w:bottom w:val="single" w:sz="6" w:space="0" w:color="auto"/>
              <w:right w:val="single" w:sz="6" w:space="0" w:color="auto"/>
            </w:tcBorders>
            <w:shd w:val="clear" w:color="auto" w:fill="auto"/>
          </w:tcPr>
          <w:p w14:paraId="0B570DB4" w14:textId="2A8CE58B" w:rsidR="00BC40BD" w:rsidRPr="0085123F" w:rsidRDefault="00E031B8"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 Mois 15 </w:t>
            </w:r>
          </w:p>
        </w:tc>
      </w:tr>
      <w:tr w:rsidR="00BC40BD" w:rsidRPr="0085123F" w14:paraId="324546DE" w14:textId="77777777" w:rsidTr="008F09CF">
        <w:trPr>
          <w:trHeight w:val="300"/>
        </w:trPr>
        <w:tc>
          <w:tcPr>
            <w:tcW w:w="1170" w:type="pct"/>
            <w:tcBorders>
              <w:top w:val="single" w:sz="6" w:space="0" w:color="auto"/>
              <w:left w:val="single" w:sz="6" w:space="0" w:color="auto"/>
              <w:bottom w:val="single" w:sz="6" w:space="0" w:color="auto"/>
              <w:right w:val="single" w:sz="6" w:space="0" w:color="auto"/>
            </w:tcBorders>
            <w:shd w:val="clear" w:color="auto" w:fill="auto"/>
          </w:tcPr>
          <w:p w14:paraId="67A14163" w14:textId="6A5F11F9" w:rsidR="00BC40BD" w:rsidRDefault="00BC40BD"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Communication sur </w:t>
            </w:r>
            <w:r w:rsidR="00E031B8">
              <w:rPr>
                <w:rFonts w:ascii="Avenir Next LT Pro" w:eastAsia="Times New Roman" w:hAnsi="Avenir Next LT Pro" w:cstheme="minorHAnsi"/>
                <w:sz w:val="20"/>
                <w:szCs w:val="20"/>
                <w:lang w:eastAsia="en-GB"/>
              </w:rPr>
              <w:t xml:space="preserve">la politique nationale carbone et cadre de mise en œuvre de l’article 6 </w:t>
            </w:r>
          </w:p>
        </w:tc>
        <w:tc>
          <w:tcPr>
            <w:tcW w:w="611" w:type="pct"/>
            <w:tcBorders>
              <w:top w:val="single" w:sz="6" w:space="0" w:color="auto"/>
              <w:left w:val="single" w:sz="6" w:space="0" w:color="auto"/>
              <w:bottom w:val="single" w:sz="6" w:space="0" w:color="auto"/>
              <w:right w:val="single" w:sz="6" w:space="0" w:color="auto"/>
            </w:tcBorders>
            <w:shd w:val="clear" w:color="auto" w:fill="auto"/>
          </w:tcPr>
          <w:p w14:paraId="30564E74" w14:textId="2378B282" w:rsidR="00BC40BD" w:rsidRDefault="00E031B8" w:rsidP="008F09CF">
            <w:pPr>
              <w:spacing w:before="100" w:beforeAutospacing="1" w:after="100" w:afterAutospacing="1"/>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Toutes les catégories d’acteurs concernés par la question</w:t>
            </w:r>
          </w:p>
        </w:tc>
        <w:tc>
          <w:tcPr>
            <w:tcW w:w="997" w:type="pct"/>
            <w:tcBorders>
              <w:top w:val="single" w:sz="6" w:space="0" w:color="auto"/>
              <w:left w:val="single" w:sz="6" w:space="0" w:color="auto"/>
              <w:bottom w:val="single" w:sz="6" w:space="0" w:color="auto"/>
              <w:right w:val="single" w:sz="6" w:space="0" w:color="auto"/>
            </w:tcBorders>
            <w:shd w:val="clear" w:color="auto" w:fill="auto"/>
          </w:tcPr>
          <w:p w14:paraId="07928BBC" w14:textId="77777777" w:rsidR="00E031B8" w:rsidRDefault="00E031B8" w:rsidP="00E031B8">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Communiqué radio-presse </w:t>
            </w:r>
          </w:p>
          <w:p w14:paraId="1C07558F" w14:textId="77777777" w:rsidR="00E031B8" w:rsidRDefault="00E031B8" w:rsidP="00E031B8">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Production d’outils de visibilité du projet</w:t>
            </w:r>
          </w:p>
          <w:p w14:paraId="606A1382" w14:textId="77777777" w:rsidR="00E031B8" w:rsidRDefault="00E031B8" w:rsidP="00E031B8">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 xml:space="preserve">Document de stratégie imprimé </w:t>
            </w:r>
          </w:p>
          <w:p w14:paraId="7A0C89A9" w14:textId="77777777" w:rsidR="00BC40BD" w:rsidRDefault="00BC40BD" w:rsidP="008F09CF">
            <w:pPr>
              <w:spacing w:after="0"/>
              <w:textAlignment w:val="baseline"/>
              <w:rPr>
                <w:rFonts w:ascii="Avenir Next LT Pro" w:eastAsia="Times New Roman" w:hAnsi="Avenir Next LT Pro" w:cstheme="minorHAnsi"/>
                <w:sz w:val="20"/>
                <w:szCs w:val="20"/>
                <w:lang w:eastAsia="en-GB"/>
              </w:rPr>
            </w:pPr>
          </w:p>
        </w:tc>
        <w:tc>
          <w:tcPr>
            <w:tcW w:w="785" w:type="pct"/>
            <w:tcBorders>
              <w:top w:val="single" w:sz="6" w:space="0" w:color="auto"/>
              <w:left w:val="single" w:sz="6" w:space="0" w:color="auto"/>
              <w:bottom w:val="single" w:sz="6" w:space="0" w:color="auto"/>
              <w:right w:val="single" w:sz="6" w:space="0" w:color="auto"/>
            </w:tcBorders>
            <w:shd w:val="clear" w:color="auto" w:fill="auto"/>
          </w:tcPr>
          <w:p w14:paraId="4E0A0A36" w14:textId="77777777" w:rsidR="00BC40BD" w:rsidRDefault="00BC40BD" w:rsidP="008F09CF">
            <w:pPr>
              <w:spacing w:after="0"/>
              <w:textAlignment w:val="baseline"/>
              <w:rPr>
                <w:rFonts w:ascii="Avenir Next LT Pro" w:eastAsia="Times New Roman" w:hAnsi="Avenir Next LT Pro" w:cstheme="minorHAnsi"/>
                <w:sz w:val="20"/>
                <w:szCs w:val="20"/>
                <w:lang w:eastAsia="en-GB"/>
              </w:rPr>
            </w:pPr>
          </w:p>
        </w:tc>
        <w:tc>
          <w:tcPr>
            <w:tcW w:w="1437" w:type="pct"/>
            <w:tcBorders>
              <w:top w:val="single" w:sz="6" w:space="0" w:color="auto"/>
              <w:left w:val="single" w:sz="6" w:space="0" w:color="auto"/>
              <w:bottom w:val="single" w:sz="6" w:space="0" w:color="auto"/>
              <w:right w:val="single" w:sz="6" w:space="0" w:color="auto"/>
            </w:tcBorders>
            <w:shd w:val="clear" w:color="auto" w:fill="auto"/>
          </w:tcPr>
          <w:p w14:paraId="72369028" w14:textId="1173237D" w:rsidR="00BC40BD" w:rsidRPr="0085123F" w:rsidRDefault="00E031B8" w:rsidP="008F09CF">
            <w:pPr>
              <w:spacing w:after="0"/>
              <w:textAlignment w:val="baseline"/>
              <w:rPr>
                <w:rFonts w:ascii="Avenir Next LT Pro" w:eastAsia="Times New Roman" w:hAnsi="Avenir Next LT Pro" w:cstheme="minorHAnsi"/>
                <w:sz w:val="20"/>
                <w:szCs w:val="20"/>
                <w:lang w:eastAsia="en-GB"/>
              </w:rPr>
            </w:pPr>
            <w:r>
              <w:rPr>
                <w:rFonts w:ascii="Avenir Next LT Pro" w:eastAsia="Times New Roman" w:hAnsi="Avenir Next LT Pro" w:cstheme="minorHAnsi"/>
                <w:sz w:val="20"/>
                <w:szCs w:val="20"/>
                <w:lang w:eastAsia="en-GB"/>
              </w:rPr>
              <w:t>Mois 5</w:t>
            </w:r>
          </w:p>
        </w:tc>
      </w:tr>
    </w:tbl>
    <w:p w14:paraId="3DE21D1A" w14:textId="77FAFF1E" w:rsidR="008D23C0" w:rsidRPr="00C345C4" w:rsidRDefault="00506FB2" w:rsidP="000628A6">
      <w:pPr>
        <w:rPr>
          <w:rStyle w:val="En-tte5"/>
          <w:rFonts w:ascii="Avenir Next LT Pro" w:hAnsi="Avenir Next LT Pro" w:cs="Calibri"/>
          <w:b w:val="0"/>
          <w:bCs w:val="0"/>
          <w:i/>
          <w:iCs/>
          <w:color w:val="000000"/>
          <w:sz w:val="16"/>
          <w:szCs w:val="16"/>
        </w:rPr>
      </w:pPr>
      <w:r w:rsidRPr="00C345C4">
        <w:rPr>
          <w:rStyle w:val="En-tte5"/>
          <w:rFonts w:ascii="Avenir Next LT Pro" w:hAnsi="Avenir Next LT Pro" w:cs="Calibri"/>
          <w:b w:val="0"/>
          <w:bCs w:val="0"/>
          <w:i/>
          <w:iCs/>
          <w:color w:val="000000"/>
          <w:sz w:val="16"/>
          <w:szCs w:val="16"/>
        </w:rPr>
        <w:t>* exemple : information sur le lancement du projet et son contenu</w:t>
      </w:r>
      <w:r w:rsidR="0057420D" w:rsidRPr="00C345C4">
        <w:rPr>
          <w:rStyle w:val="En-tte5"/>
          <w:rFonts w:ascii="Avenir Next LT Pro" w:hAnsi="Avenir Next LT Pro" w:cs="Calibri"/>
          <w:b w:val="0"/>
          <w:bCs w:val="0"/>
          <w:i/>
          <w:iCs/>
          <w:color w:val="000000"/>
          <w:sz w:val="16"/>
          <w:szCs w:val="16"/>
        </w:rPr>
        <w:t xml:space="preserve"> (projet </w:t>
      </w:r>
      <w:r w:rsidR="009324FB" w:rsidRPr="00C345C4">
        <w:rPr>
          <w:rStyle w:val="En-tte5"/>
          <w:rFonts w:ascii="Avenir Next LT Pro" w:hAnsi="Avenir Next LT Pro" w:cs="Calibri"/>
          <w:b w:val="0"/>
          <w:bCs w:val="0"/>
          <w:i/>
          <w:iCs/>
          <w:color w:val="000000"/>
          <w:sz w:val="16"/>
          <w:szCs w:val="16"/>
        </w:rPr>
        <w:t>général</w:t>
      </w:r>
      <w:r w:rsidR="0057420D" w:rsidRPr="00C345C4">
        <w:rPr>
          <w:rStyle w:val="En-tte5"/>
          <w:rFonts w:ascii="Avenir Next LT Pro" w:hAnsi="Avenir Next LT Pro" w:cs="Calibri"/>
          <w:b w:val="0"/>
          <w:bCs w:val="0"/>
          <w:i/>
          <w:iCs/>
          <w:color w:val="000000"/>
          <w:sz w:val="16"/>
          <w:szCs w:val="16"/>
        </w:rPr>
        <w:t xml:space="preserve">), information sur </w:t>
      </w:r>
      <w:r w:rsidR="0045143A" w:rsidRPr="00C345C4">
        <w:rPr>
          <w:rStyle w:val="En-tte5"/>
          <w:rFonts w:ascii="Avenir Next LT Pro" w:hAnsi="Avenir Next LT Pro" w:cs="Calibri"/>
          <w:b w:val="0"/>
          <w:bCs w:val="0"/>
          <w:i/>
          <w:iCs/>
          <w:color w:val="000000"/>
          <w:sz w:val="16"/>
          <w:szCs w:val="16"/>
        </w:rPr>
        <w:t>l</w:t>
      </w:r>
      <w:r w:rsidR="003D74E7" w:rsidRPr="00C345C4">
        <w:rPr>
          <w:rStyle w:val="En-tte5"/>
          <w:rFonts w:ascii="Avenir Next LT Pro" w:hAnsi="Avenir Next LT Pro" w:cs="Calibri"/>
          <w:b w:val="0"/>
          <w:bCs w:val="0"/>
          <w:i/>
          <w:iCs/>
          <w:color w:val="000000"/>
          <w:sz w:val="16"/>
          <w:szCs w:val="16"/>
        </w:rPr>
        <w:t>’</w:t>
      </w:r>
      <w:r w:rsidR="009324FB" w:rsidRPr="00C345C4">
        <w:rPr>
          <w:rStyle w:val="En-tte5"/>
          <w:rFonts w:ascii="Avenir Next LT Pro" w:hAnsi="Avenir Next LT Pro" w:cs="Calibri"/>
          <w:b w:val="0"/>
          <w:bCs w:val="0"/>
          <w:i/>
          <w:iCs/>
          <w:color w:val="000000"/>
          <w:sz w:val="16"/>
          <w:szCs w:val="16"/>
        </w:rPr>
        <w:t>accès</w:t>
      </w:r>
      <w:r w:rsidR="003D74E7" w:rsidRPr="00C345C4">
        <w:rPr>
          <w:rStyle w:val="En-tte5"/>
          <w:rFonts w:ascii="Avenir Next LT Pro" w:hAnsi="Avenir Next LT Pro" w:cs="Calibri"/>
          <w:b w:val="0"/>
          <w:bCs w:val="0"/>
          <w:i/>
          <w:iCs/>
          <w:color w:val="000000"/>
          <w:sz w:val="16"/>
          <w:szCs w:val="16"/>
        </w:rPr>
        <w:t xml:space="preserve"> au</w:t>
      </w:r>
      <w:r w:rsidR="009324FB" w:rsidRPr="00C345C4">
        <w:rPr>
          <w:rStyle w:val="En-tte5"/>
          <w:rFonts w:ascii="Avenir Next LT Pro" w:hAnsi="Avenir Next LT Pro" w:cs="Calibri"/>
          <w:b w:val="0"/>
          <w:bCs w:val="0"/>
          <w:i/>
          <w:iCs/>
          <w:color w:val="000000"/>
          <w:sz w:val="16"/>
          <w:szCs w:val="16"/>
        </w:rPr>
        <w:t>x</w:t>
      </w:r>
      <w:r w:rsidR="003D74E7" w:rsidRPr="00C345C4">
        <w:rPr>
          <w:rStyle w:val="En-tte5"/>
          <w:rFonts w:ascii="Avenir Next LT Pro" w:hAnsi="Avenir Next LT Pro" w:cs="Calibri"/>
          <w:b w:val="0"/>
          <w:bCs w:val="0"/>
          <w:i/>
          <w:iCs/>
          <w:color w:val="000000"/>
          <w:sz w:val="16"/>
          <w:szCs w:val="16"/>
        </w:rPr>
        <w:t xml:space="preserve"> services tel que le planning familial, le conseil agricole, les intrants agricoles, etc. </w:t>
      </w:r>
      <w:r w:rsidR="008E0881" w:rsidRPr="00C345C4">
        <w:rPr>
          <w:rStyle w:val="En-tte5"/>
          <w:rFonts w:ascii="Avenir Next LT Pro" w:hAnsi="Avenir Next LT Pro" w:cs="Calibri"/>
          <w:b w:val="0"/>
          <w:bCs w:val="0"/>
          <w:i/>
          <w:iCs/>
          <w:color w:val="000000"/>
          <w:sz w:val="16"/>
          <w:szCs w:val="16"/>
        </w:rPr>
        <w:t>(produit du projet).</w:t>
      </w:r>
    </w:p>
    <w:p w14:paraId="5E24FEE0" w14:textId="77777777" w:rsidR="000234FF" w:rsidRPr="00C345C4" w:rsidRDefault="000234FF" w:rsidP="00EF6E8E">
      <w:pPr>
        <w:pStyle w:val="Corpsdutexte51"/>
        <w:shd w:val="clear" w:color="auto" w:fill="auto"/>
        <w:spacing w:before="0" w:after="120" w:line="276" w:lineRule="auto"/>
        <w:ind w:firstLine="0"/>
        <w:rPr>
          <w:rStyle w:val="Corpsdutexte"/>
          <w:rFonts w:ascii="Avenir Next LT Pro" w:hAnsi="Avenir Next LT Pro" w:cs="Calibri"/>
          <w:b/>
          <w:bCs/>
          <w:i w:val="0"/>
          <w:iCs w:val="0"/>
          <w:color w:val="3E762A" w:themeColor="accent1" w:themeShade="BF"/>
          <w:sz w:val="20"/>
          <w:szCs w:val="20"/>
          <w:lang w:val="fr-FR" w:eastAsia="sl-SI"/>
        </w:rPr>
      </w:pPr>
    </w:p>
    <w:p w14:paraId="5BA01E18" w14:textId="3DA8F57B" w:rsidR="003E67C5" w:rsidRPr="00C345C4" w:rsidRDefault="009324FB" w:rsidP="00525A95">
      <w:pPr>
        <w:pStyle w:val="Corpsdutexte1"/>
        <w:shd w:val="clear" w:color="auto" w:fill="auto"/>
        <w:tabs>
          <w:tab w:val="left" w:pos="830"/>
        </w:tabs>
        <w:spacing w:before="0" w:after="120" w:line="276" w:lineRule="auto"/>
        <w:ind w:firstLine="0"/>
        <w:jc w:val="both"/>
        <w:rPr>
          <w:rStyle w:val="Corpsdutexte"/>
          <w:rFonts w:ascii="Avenir Next LT Pro" w:hAnsi="Avenir Next LT Pro" w:cs="Calibri"/>
          <w:b/>
          <w:bCs/>
          <w:color w:val="000000"/>
          <w:sz w:val="20"/>
          <w:szCs w:val="20"/>
          <w:lang w:val="fr-FR" w:eastAsia="sl-SI"/>
        </w:rPr>
      </w:pPr>
      <w:r w:rsidRPr="00C345C4">
        <w:rPr>
          <w:rStyle w:val="Corpsdutexte"/>
          <w:rFonts w:ascii="Avenir Next LT Pro" w:hAnsi="Avenir Next LT Pro" w:cs="Calibri"/>
          <w:b/>
          <w:bCs/>
          <w:color w:val="000000"/>
          <w:sz w:val="20"/>
          <w:szCs w:val="20"/>
          <w:lang w:val="fr-FR" w:eastAsia="sl-SI"/>
        </w:rPr>
        <w:t>4.</w:t>
      </w:r>
      <w:r w:rsidR="00510B75" w:rsidRPr="00C345C4">
        <w:rPr>
          <w:rStyle w:val="Corpsdutexte"/>
          <w:rFonts w:ascii="Avenir Next LT Pro" w:hAnsi="Avenir Next LT Pro" w:cs="Calibri"/>
          <w:b/>
          <w:bCs/>
          <w:color w:val="000000"/>
          <w:sz w:val="20"/>
          <w:szCs w:val="20"/>
          <w:lang w:val="fr-FR" w:eastAsia="sl-SI"/>
        </w:rPr>
        <w:t xml:space="preserve"> Descri</w:t>
      </w:r>
      <w:r w:rsidR="00181793" w:rsidRPr="00C345C4">
        <w:rPr>
          <w:rStyle w:val="Corpsdutexte"/>
          <w:rFonts w:ascii="Avenir Next LT Pro" w:hAnsi="Avenir Next LT Pro" w:cs="Calibri"/>
          <w:b/>
          <w:bCs/>
          <w:color w:val="000000"/>
          <w:sz w:val="20"/>
          <w:szCs w:val="20"/>
          <w:lang w:val="fr-FR" w:eastAsia="sl-SI"/>
        </w:rPr>
        <w:t>ption des moyens alloues</w:t>
      </w:r>
      <w:r w:rsidR="00F925AC" w:rsidRPr="00C345C4">
        <w:rPr>
          <w:rStyle w:val="Corpsdutexte"/>
          <w:rFonts w:ascii="Avenir Next LT Pro" w:hAnsi="Avenir Next LT Pro" w:cs="Calibri"/>
          <w:b/>
          <w:bCs/>
          <w:color w:val="000000"/>
          <w:sz w:val="20"/>
          <w:szCs w:val="20"/>
          <w:lang w:val="fr-FR" w:eastAsia="sl-SI"/>
        </w:rPr>
        <w:t>, arrangements de mise en œuvre</w:t>
      </w:r>
      <w:r w:rsidR="00181793" w:rsidRPr="00C345C4">
        <w:rPr>
          <w:rStyle w:val="Corpsdutexte"/>
          <w:rFonts w:ascii="Avenir Next LT Pro" w:hAnsi="Avenir Next LT Pro" w:cs="Calibri"/>
          <w:b/>
          <w:bCs/>
          <w:color w:val="000000"/>
          <w:sz w:val="20"/>
          <w:szCs w:val="20"/>
          <w:lang w:val="fr-FR" w:eastAsia="sl-SI"/>
        </w:rPr>
        <w:t xml:space="preserve"> et </w:t>
      </w:r>
      <w:r w:rsidR="003E67C5" w:rsidRPr="00C345C4">
        <w:rPr>
          <w:rStyle w:val="Corpsdutexte"/>
          <w:rFonts w:ascii="Avenir Next LT Pro" w:hAnsi="Avenir Next LT Pro" w:cs="Calibri"/>
          <w:b/>
          <w:bCs/>
          <w:color w:val="000000"/>
          <w:sz w:val="20"/>
          <w:szCs w:val="20"/>
          <w:lang w:val="fr-FR" w:eastAsia="sl-SI"/>
        </w:rPr>
        <w:t>estimation</w:t>
      </w:r>
      <w:r w:rsidR="00F925AC" w:rsidRPr="00C345C4">
        <w:rPr>
          <w:rStyle w:val="Corpsdutexte"/>
          <w:rFonts w:ascii="Avenir Next LT Pro" w:hAnsi="Avenir Next LT Pro" w:cs="Calibri"/>
          <w:b/>
          <w:bCs/>
          <w:color w:val="000000"/>
          <w:sz w:val="20"/>
          <w:szCs w:val="20"/>
          <w:lang w:val="fr-FR" w:eastAsia="sl-SI"/>
        </w:rPr>
        <w:t xml:space="preserve"> du</w:t>
      </w:r>
      <w:r w:rsidR="00181793" w:rsidRPr="00C345C4">
        <w:rPr>
          <w:rStyle w:val="Corpsdutexte"/>
          <w:rFonts w:ascii="Avenir Next LT Pro" w:hAnsi="Avenir Next LT Pro" w:cs="Calibri"/>
          <w:b/>
          <w:bCs/>
          <w:color w:val="000000"/>
          <w:sz w:val="20"/>
          <w:szCs w:val="20"/>
          <w:lang w:val="fr-FR" w:eastAsia="sl-SI"/>
        </w:rPr>
        <w:t xml:space="preserve"> budg</w:t>
      </w:r>
      <w:r w:rsidR="003E67C5" w:rsidRPr="00C345C4">
        <w:rPr>
          <w:rStyle w:val="Corpsdutexte"/>
          <w:rFonts w:ascii="Avenir Next LT Pro" w:hAnsi="Avenir Next LT Pro" w:cs="Calibri"/>
          <w:b/>
          <w:bCs/>
          <w:color w:val="000000"/>
          <w:sz w:val="20"/>
          <w:szCs w:val="20"/>
          <w:lang w:val="fr-FR" w:eastAsia="sl-SI"/>
        </w:rPr>
        <w:t xml:space="preserve">et nécessaire </w:t>
      </w:r>
    </w:p>
    <w:p w14:paraId="5F112BE3" w14:textId="51694E0F" w:rsidR="003135B7" w:rsidRPr="00C345C4" w:rsidRDefault="00F925AC" w:rsidP="00525A95">
      <w:pPr>
        <w:pStyle w:val="Corpsdutexte1"/>
        <w:shd w:val="clear" w:color="auto" w:fill="auto"/>
        <w:tabs>
          <w:tab w:val="left" w:pos="830"/>
        </w:tabs>
        <w:spacing w:before="0" w:after="120" w:line="276" w:lineRule="auto"/>
        <w:ind w:firstLine="0"/>
        <w:jc w:val="both"/>
        <w:rPr>
          <w:rStyle w:val="Corpsdutexte"/>
          <w:rFonts w:ascii="Avenir Next LT Pro" w:hAnsi="Avenir Next LT Pro" w:cs="Calibri"/>
          <w:color w:val="3E762A" w:themeColor="accent1" w:themeShade="BF"/>
          <w:sz w:val="20"/>
          <w:szCs w:val="20"/>
          <w:lang w:val="fr-FR" w:eastAsia="sl-SI"/>
        </w:rPr>
      </w:pPr>
      <w:r w:rsidRPr="00C345C4">
        <w:rPr>
          <w:rStyle w:val="Corpsdutexte"/>
          <w:rFonts w:ascii="Avenir Next LT Pro" w:hAnsi="Avenir Next LT Pro" w:cs="Calibri"/>
          <w:color w:val="3E762A" w:themeColor="accent1" w:themeShade="BF"/>
          <w:sz w:val="20"/>
          <w:szCs w:val="20"/>
          <w:lang w:val="fr-FR" w:eastAsia="sl-SI"/>
        </w:rPr>
        <w:t>Cette section doit décrire :</w:t>
      </w:r>
    </w:p>
    <w:p w14:paraId="4FE47A01" w14:textId="5C14B4DA" w:rsidR="00F925AC" w:rsidRPr="00C345C4" w:rsidRDefault="00F925AC" w:rsidP="00487A95">
      <w:pPr>
        <w:pStyle w:val="Corpsdutexte1"/>
        <w:numPr>
          <w:ilvl w:val="0"/>
          <w:numId w:val="5"/>
        </w:numPr>
        <w:shd w:val="clear" w:color="auto" w:fill="auto"/>
        <w:tabs>
          <w:tab w:val="left" w:pos="830"/>
        </w:tabs>
        <w:spacing w:before="0" w:after="0" w:line="276" w:lineRule="auto"/>
        <w:ind w:left="850" w:hanging="425"/>
        <w:jc w:val="both"/>
        <w:rPr>
          <w:rStyle w:val="Corpsdutexte"/>
          <w:rFonts w:ascii="Avenir Next LT Pro" w:hAnsi="Avenir Next LT Pro" w:cs="Calibri"/>
          <w:color w:val="3E762A" w:themeColor="accent1" w:themeShade="BF"/>
          <w:sz w:val="20"/>
          <w:szCs w:val="20"/>
          <w:lang w:val="fr-FR" w:eastAsia="sl-SI"/>
        </w:rPr>
      </w:pPr>
      <w:r w:rsidRPr="00C345C4">
        <w:rPr>
          <w:rStyle w:val="Corpsdutexte"/>
          <w:rFonts w:ascii="Avenir Next LT Pro" w:hAnsi="Avenir Next LT Pro" w:cs="Calibri"/>
          <w:color w:val="3E762A" w:themeColor="accent1" w:themeShade="BF"/>
          <w:sz w:val="20"/>
          <w:szCs w:val="20"/>
          <w:lang w:val="fr-FR" w:eastAsia="sl-SI"/>
        </w:rPr>
        <w:t>Le partage des responsabilités dans la mise en œuvre de la stratégie (rôle du ministère de tutelle, agence, autres)</w:t>
      </w:r>
      <w:r w:rsidR="00612762" w:rsidRPr="00C345C4">
        <w:rPr>
          <w:rStyle w:val="Corpsdutexte"/>
          <w:rFonts w:ascii="Avenir Next LT Pro" w:hAnsi="Avenir Next LT Pro" w:cs="Calibri"/>
          <w:color w:val="3E762A" w:themeColor="accent1" w:themeShade="BF"/>
          <w:sz w:val="20"/>
          <w:szCs w:val="20"/>
          <w:lang w:val="fr-FR" w:eastAsia="sl-SI"/>
        </w:rPr>
        <w:t>.</w:t>
      </w:r>
    </w:p>
    <w:p w14:paraId="3FF19E8C" w14:textId="71A34B42" w:rsidR="001C5748" w:rsidRPr="00FB7BE6" w:rsidRDefault="00F925AC" w:rsidP="00FB7BE6">
      <w:pPr>
        <w:pStyle w:val="Corpsdutexte1"/>
        <w:shd w:val="clear" w:color="auto" w:fill="auto"/>
        <w:tabs>
          <w:tab w:val="left" w:pos="830"/>
        </w:tabs>
        <w:spacing w:before="0" w:after="0" w:line="276" w:lineRule="auto"/>
        <w:ind w:left="850" w:firstLine="0"/>
        <w:jc w:val="both"/>
        <w:rPr>
          <w:rFonts w:ascii="Avenir Next LT Pro" w:hAnsi="Avenir Next LT Pro"/>
        </w:rPr>
      </w:pPr>
      <w:r w:rsidRPr="00C345C4">
        <w:rPr>
          <w:rStyle w:val="Corpsdutexte"/>
          <w:rFonts w:ascii="Avenir Next LT Pro" w:hAnsi="Avenir Next LT Pro" w:cs="Calibri"/>
          <w:color w:val="3E762A" w:themeColor="accent1" w:themeShade="BF"/>
          <w:sz w:val="20"/>
          <w:szCs w:val="20"/>
          <w:lang w:val="fr-FR" w:eastAsia="sl-SI"/>
        </w:rPr>
        <w:t xml:space="preserve">Décrire les moyens qui seront mobilisés et les besoins budgétaires associés. </w:t>
      </w:r>
      <w:r w:rsidRPr="00C345C4">
        <w:rPr>
          <w:rStyle w:val="Corpsdutexte"/>
          <w:rFonts w:ascii="Avenir Next LT Pro" w:hAnsi="Avenir Next LT Pro" w:cs="Calibri"/>
          <w:b/>
          <w:bCs/>
          <w:color w:val="3E762A" w:themeColor="accent1" w:themeShade="BF"/>
          <w:sz w:val="20"/>
          <w:szCs w:val="20"/>
          <w:lang w:val="fr-FR" w:eastAsia="sl-SI"/>
        </w:rPr>
        <w:t>Ceux-ci devront être repris dans le budget du projet</w:t>
      </w:r>
      <w:r w:rsidRPr="00C345C4">
        <w:rPr>
          <w:rStyle w:val="Corpsdutexte"/>
          <w:rFonts w:ascii="Avenir Next LT Pro" w:hAnsi="Avenir Next LT Pro" w:cs="Calibri"/>
          <w:color w:val="3E762A" w:themeColor="accent1" w:themeShade="BF"/>
          <w:sz w:val="20"/>
          <w:szCs w:val="20"/>
          <w:lang w:val="fr-FR" w:eastAsia="sl-SI"/>
        </w:rPr>
        <w:t>.</w:t>
      </w:r>
      <w:r w:rsidR="001C5748" w:rsidRPr="00FB7BE6">
        <w:rPr>
          <w:rFonts w:ascii="Avenir Next LT Pro" w:hAnsi="Avenir Next LT Pro"/>
        </w:rPr>
        <w:t xml:space="preserve">Le présent projet repose essentiellement sur une approche d’assistance technique apportée aux Ministères clés en charge des questions de CDN et de marchés du carbone. Le ministère de l’Environnement et du développement durable et le Ministère des finances représentent les institutions clés qui interviendront dans la mise en </w:t>
      </w:r>
      <w:r w:rsidR="001C5748" w:rsidRPr="00FB7BE6">
        <w:rPr>
          <w:rFonts w:ascii="Avenir Next LT Pro" w:hAnsi="Avenir Next LT Pro"/>
        </w:rPr>
        <w:lastRenderedPageBreak/>
        <w:t xml:space="preserve">œuvre du projet. </w:t>
      </w:r>
    </w:p>
    <w:tbl>
      <w:tblPr>
        <w:tblStyle w:val="Grilledutableau"/>
        <w:tblW w:w="9944" w:type="dxa"/>
        <w:tblLook w:val="0000" w:firstRow="0" w:lastRow="0" w:firstColumn="0" w:lastColumn="0" w:noHBand="0" w:noVBand="0"/>
      </w:tblPr>
      <w:tblGrid>
        <w:gridCol w:w="3070"/>
        <w:gridCol w:w="3804"/>
        <w:gridCol w:w="3070"/>
      </w:tblGrid>
      <w:tr w:rsidR="001C5748" w:rsidRPr="002C27A4" w14:paraId="12D40883" w14:textId="77777777" w:rsidTr="00B62315">
        <w:tc>
          <w:tcPr>
            <w:tcW w:w="3070" w:type="dxa"/>
          </w:tcPr>
          <w:p w14:paraId="335C28B7" w14:textId="77777777" w:rsidR="001C5748" w:rsidRPr="002C27A4" w:rsidRDefault="001C5748" w:rsidP="00B62315">
            <w:pPr>
              <w:spacing w:after="160" w:line="259" w:lineRule="auto"/>
              <w:rPr>
                <w:rFonts w:ascii="Avenir Next LT Pro" w:hAnsi="Avenir Next LT Pro"/>
              </w:rPr>
            </w:pPr>
            <w:r w:rsidRPr="002C27A4">
              <w:rPr>
                <w:rFonts w:ascii="Avenir Next LT Pro" w:hAnsi="Avenir Next LT Pro"/>
              </w:rPr>
              <w:t xml:space="preserve">Parties prenantes au projet </w:t>
            </w:r>
          </w:p>
        </w:tc>
        <w:tc>
          <w:tcPr>
            <w:tcW w:w="3804" w:type="dxa"/>
          </w:tcPr>
          <w:p w14:paraId="7192D5BC" w14:textId="77777777" w:rsidR="001C5748" w:rsidRPr="002C27A4" w:rsidRDefault="001C5748" w:rsidP="00B62315">
            <w:pPr>
              <w:spacing w:after="160" w:line="259" w:lineRule="auto"/>
              <w:rPr>
                <w:rFonts w:ascii="Avenir Next LT Pro" w:hAnsi="Avenir Next LT Pro"/>
              </w:rPr>
            </w:pPr>
            <w:r w:rsidRPr="002C27A4">
              <w:rPr>
                <w:rFonts w:ascii="Avenir Next LT Pro" w:hAnsi="Avenir Next LT Pro"/>
              </w:rPr>
              <w:t xml:space="preserve">Rôle </w:t>
            </w:r>
          </w:p>
        </w:tc>
        <w:tc>
          <w:tcPr>
            <w:tcW w:w="3070" w:type="dxa"/>
          </w:tcPr>
          <w:p w14:paraId="291E84A9" w14:textId="2AF5F608" w:rsidR="001C5748" w:rsidRPr="002C27A4" w:rsidRDefault="00A66F15" w:rsidP="00B62315">
            <w:pPr>
              <w:spacing w:after="160" w:line="259" w:lineRule="auto"/>
              <w:rPr>
                <w:rFonts w:ascii="Avenir Next LT Pro" w:hAnsi="Avenir Next LT Pro"/>
              </w:rPr>
            </w:pPr>
            <w:r w:rsidRPr="002C27A4">
              <w:rPr>
                <w:rFonts w:ascii="Avenir Next LT Pro" w:hAnsi="Avenir Next LT Pro"/>
              </w:rPr>
              <w:t xml:space="preserve">Budget alloué </w:t>
            </w:r>
            <w:r w:rsidR="00A20753" w:rsidRPr="002C27A4">
              <w:rPr>
                <w:rFonts w:ascii="Avenir Next LT Pro" w:hAnsi="Avenir Next LT Pro"/>
              </w:rPr>
              <w:t xml:space="preserve"> $US </w:t>
            </w:r>
          </w:p>
        </w:tc>
      </w:tr>
      <w:tr w:rsidR="001C5748" w:rsidRPr="002C27A4" w14:paraId="330FD4C9" w14:textId="77777777" w:rsidTr="00B62315">
        <w:tc>
          <w:tcPr>
            <w:tcW w:w="3070" w:type="dxa"/>
          </w:tcPr>
          <w:p w14:paraId="6B573725" w14:textId="77777777" w:rsidR="001C5748" w:rsidRPr="002C27A4" w:rsidRDefault="001C5748" w:rsidP="00B62315">
            <w:pPr>
              <w:spacing w:after="160" w:line="259" w:lineRule="auto"/>
              <w:rPr>
                <w:rFonts w:ascii="Avenir Next LT Pro" w:hAnsi="Avenir Next LT Pro"/>
              </w:rPr>
            </w:pPr>
            <w:r w:rsidRPr="002C27A4">
              <w:rPr>
                <w:rFonts w:ascii="Avenir Next LT Pro" w:hAnsi="Avenir Next LT Pro"/>
              </w:rPr>
              <w:t>MINEDD</w:t>
            </w:r>
          </w:p>
        </w:tc>
        <w:tc>
          <w:tcPr>
            <w:tcW w:w="3804" w:type="dxa"/>
          </w:tcPr>
          <w:p w14:paraId="0BEB7111" w14:textId="77777777" w:rsidR="001C5748" w:rsidRPr="002C27A4" w:rsidRDefault="001C5748" w:rsidP="00B62315">
            <w:pPr>
              <w:spacing w:after="160" w:line="259" w:lineRule="auto"/>
              <w:rPr>
                <w:rFonts w:ascii="Avenir Next LT Pro" w:hAnsi="Avenir Next LT Pro"/>
              </w:rPr>
            </w:pPr>
            <w:r w:rsidRPr="002C27A4">
              <w:rPr>
                <w:rFonts w:ascii="Avenir Next LT Pro" w:hAnsi="Avenir Next LT Pro"/>
              </w:rPr>
              <w:t xml:space="preserve">En sa qualité de tutelle de l’ARMCA et du CNEDD, le MINEDD assurera la présidence du comité de pilotage du présent projet afin de s’assurer que le projet avance conformément à ses attentes. Il assurera la validation des livrables clés tels que les documents de stratégies pour le financement de la CDN et celui relatif à l’accès aux marchés du carbone. Aussi, la politique nationale sur le cadre de mise en œuvre de l’article 6 de l’accord de Paris sera piloté par le MINEDD à travers ses organes techniques. </w:t>
            </w:r>
          </w:p>
        </w:tc>
        <w:tc>
          <w:tcPr>
            <w:tcW w:w="3070" w:type="dxa"/>
          </w:tcPr>
          <w:p w14:paraId="4E333C77" w14:textId="77777777" w:rsidR="00A5592E" w:rsidRPr="002C27A4" w:rsidRDefault="00A20753" w:rsidP="00B62315">
            <w:pPr>
              <w:spacing w:after="160" w:line="259" w:lineRule="auto"/>
              <w:rPr>
                <w:rFonts w:ascii="Avenir Next LT Pro" w:hAnsi="Avenir Next LT Pro"/>
              </w:rPr>
            </w:pPr>
            <w:r w:rsidRPr="002C27A4">
              <w:rPr>
                <w:rFonts w:ascii="Avenir Next LT Pro" w:hAnsi="Avenir Next LT Pro"/>
              </w:rPr>
              <w:t>518,000 (MEDD/CDD)</w:t>
            </w:r>
          </w:p>
          <w:p w14:paraId="625D5EEF" w14:textId="5CCF8EF9" w:rsidR="001C5748" w:rsidRPr="002C27A4" w:rsidRDefault="00A5592E" w:rsidP="00B62315">
            <w:pPr>
              <w:spacing w:after="160" w:line="259" w:lineRule="auto"/>
              <w:rPr>
                <w:rFonts w:ascii="Avenir Next LT Pro" w:hAnsi="Avenir Next LT Pro"/>
              </w:rPr>
            </w:pPr>
            <w:r w:rsidRPr="002C27A4">
              <w:rPr>
                <w:rFonts w:ascii="Avenir Next LT Pro" w:hAnsi="Avenir Next LT Pro"/>
              </w:rPr>
              <w:t>1,029,012 (MEDD/ARMCA)</w:t>
            </w:r>
            <w:r w:rsidR="00A20753" w:rsidRPr="002C27A4">
              <w:rPr>
                <w:rFonts w:ascii="Avenir Next LT Pro" w:hAnsi="Avenir Next LT Pro"/>
              </w:rPr>
              <w:t>  </w:t>
            </w:r>
          </w:p>
        </w:tc>
      </w:tr>
      <w:tr w:rsidR="001C5748" w:rsidRPr="002C27A4" w14:paraId="7400603E" w14:textId="77777777" w:rsidTr="00B62315">
        <w:tc>
          <w:tcPr>
            <w:tcW w:w="3070" w:type="dxa"/>
          </w:tcPr>
          <w:p w14:paraId="0162F452" w14:textId="77777777" w:rsidR="001C5748" w:rsidRPr="002C27A4" w:rsidRDefault="001C5748" w:rsidP="00B62315">
            <w:pPr>
              <w:spacing w:after="160" w:line="259" w:lineRule="auto"/>
              <w:rPr>
                <w:rFonts w:ascii="Avenir Next LT Pro" w:hAnsi="Avenir Next LT Pro"/>
              </w:rPr>
            </w:pPr>
            <w:proofErr w:type="spellStart"/>
            <w:r w:rsidRPr="002C27A4">
              <w:rPr>
                <w:rFonts w:ascii="Avenir Next LT Pro" w:hAnsi="Avenir Next LT Pro"/>
              </w:rPr>
              <w:t>Minfi</w:t>
            </w:r>
            <w:proofErr w:type="spellEnd"/>
            <w:r w:rsidRPr="002C27A4">
              <w:rPr>
                <w:rFonts w:ascii="Avenir Next LT Pro" w:hAnsi="Avenir Next LT Pro"/>
              </w:rPr>
              <w:t xml:space="preserve"> </w:t>
            </w:r>
          </w:p>
        </w:tc>
        <w:tc>
          <w:tcPr>
            <w:tcW w:w="3804" w:type="dxa"/>
          </w:tcPr>
          <w:p w14:paraId="4C43A456" w14:textId="1AB8E931" w:rsidR="001C5748" w:rsidRPr="002C27A4" w:rsidRDefault="001C5748" w:rsidP="00B62315">
            <w:pPr>
              <w:spacing w:after="160" w:line="259" w:lineRule="auto"/>
              <w:rPr>
                <w:rFonts w:ascii="Avenir Next LT Pro" w:hAnsi="Avenir Next LT Pro"/>
              </w:rPr>
            </w:pPr>
            <w:r w:rsidRPr="002C27A4">
              <w:rPr>
                <w:rFonts w:ascii="Avenir Next LT Pro" w:hAnsi="Avenir Next LT Pro"/>
              </w:rPr>
              <w:t>Le Ministère des Finance jouera est un membre consultatif du comité de pilotage et supervisera les discussions sur les sujets relatifs aux flux financiers de l’action de climatique en RDC</w:t>
            </w:r>
            <w:r w:rsidR="00A20753" w:rsidRPr="002C27A4">
              <w:rPr>
                <w:rFonts w:ascii="Avenir Next LT Pro" w:hAnsi="Avenir Next LT Pro"/>
              </w:rPr>
              <w:t xml:space="preserve"> .  </w:t>
            </w:r>
          </w:p>
        </w:tc>
        <w:tc>
          <w:tcPr>
            <w:tcW w:w="3070" w:type="dxa"/>
          </w:tcPr>
          <w:p w14:paraId="5A045A13" w14:textId="0FEBA432" w:rsidR="001C5748" w:rsidRPr="002C27A4" w:rsidRDefault="00A20753" w:rsidP="00B62315">
            <w:pPr>
              <w:spacing w:after="160" w:line="259" w:lineRule="auto"/>
              <w:rPr>
                <w:rFonts w:ascii="Avenir Next LT Pro" w:hAnsi="Avenir Next LT Pro"/>
              </w:rPr>
            </w:pPr>
            <w:r w:rsidRPr="002C27A4">
              <w:rPr>
                <w:rFonts w:ascii="Avenir Next LT Pro" w:hAnsi="Avenir Next LT Pro"/>
              </w:rPr>
              <w:t>161,000</w:t>
            </w:r>
          </w:p>
        </w:tc>
      </w:tr>
    </w:tbl>
    <w:p w14:paraId="4D792674" w14:textId="77777777" w:rsidR="001C5748" w:rsidRPr="002C27A4" w:rsidRDefault="001C5748" w:rsidP="001C5748">
      <w:pPr>
        <w:pStyle w:val="Paragraphedeliste"/>
        <w:numPr>
          <w:ilvl w:val="0"/>
          <w:numId w:val="5"/>
        </w:numPr>
        <w:spacing w:after="160" w:line="259" w:lineRule="auto"/>
        <w:rPr>
          <w:rFonts w:ascii="Avenir Next LT Pro" w:hAnsi="Avenir Next LT Pro"/>
        </w:rPr>
      </w:pPr>
    </w:p>
    <w:p w14:paraId="3096DA63" w14:textId="77777777" w:rsidR="00E031B8" w:rsidRDefault="00E031B8">
      <w:pPr>
        <w:spacing w:after="160" w:line="259" w:lineRule="auto"/>
        <w:rPr>
          <w:rFonts w:ascii="Avenir Next LT Pro" w:hAnsi="Avenir Next LT Pro"/>
          <w:highlight w:val="yellow"/>
        </w:rPr>
      </w:pPr>
    </w:p>
    <w:p w14:paraId="3A35DD6A" w14:textId="77777777" w:rsidR="00E031B8" w:rsidRDefault="00E031B8">
      <w:pPr>
        <w:spacing w:after="160" w:line="259" w:lineRule="auto"/>
        <w:rPr>
          <w:rFonts w:ascii="Avenir Next LT Pro" w:hAnsi="Avenir Next LT Pro"/>
          <w:highlight w:val="yellow"/>
        </w:rPr>
      </w:pPr>
    </w:p>
    <w:p w14:paraId="606E2883" w14:textId="77777777" w:rsidR="002F3D5B" w:rsidRDefault="002F3D5B" w:rsidP="00A7529C">
      <w:pPr>
        <w:pStyle w:val="Titre3"/>
        <w:sectPr w:rsidR="002F3D5B" w:rsidSect="00861E2D">
          <w:pgSz w:w="11906" w:h="16838"/>
          <w:pgMar w:top="1418" w:right="1418" w:bottom="1418" w:left="1418" w:header="709" w:footer="709" w:gutter="0"/>
          <w:cols w:space="708"/>
          <w:docGrid w:linePitch="360"/>
        </w:sectPr>
      </w:pPr>
      <w:bookmarkStart w:id="84" w:name="_Toc163230404"/>
    </w:p>
    <w:p w14:paraId="151D8F0D" w14:textId="46C7E036" w:rsidR="008B3ACD" w:rsidRPr="00C345C4" w:rsidRDefault="008B3ACD" w:rsidP="00A7529C">
      <w:pPr>
        <w:pStyle w:val="Titre3"/>
      </w:pPr>
      <w:r w:rsidRPr="00C345C4">
        <w:lastRenderedPageBreak/>
        <w:t>ANNEXE 4 : Plan d’approvisionnement / Passation de marché</w:t>
      </w:r>
      <w:bookmarkEnd w:id="84"/>
    </w:p>
    <w:p w14:paraId="763E0102" w14:textId="77777777" w:rsidR="00475557" w:rsidRDefault="00475557" w:rsidP="00E03200">
      <w:pPr>
        <w:rPr>
          <w:rFonts w:ascii="Avenir Next LT Pro" w:hAnsi="Avenir Next LT Pro"/>
          <w:lang w:eastAsia="fr-FR"/>
        </w:rPr>
      </w:pPr>
    </w:p>
    <w:p w14:paraId="7ECCC8EA" w14:textId="77777777" w:rsidR="00475557" w:rsidRDefault="00475557" w:rsidP="00E03200">
      <w:pPr>
        <w:rPr>
          <w:rFonts w:ascii="Avenir Next LT Pro" w:hAnsi="Avenir Next LT Pro"/>
          <w:lang w:eastAsia="fr-FR"/>
        </w:rPr>
      </w:pPr>
    </w:p>
    <w:tbl>
      <w:tblPr>
        <w:tblW w:w="138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887"/>
        <w:gridCol w:w="3214"/>
        <w:gridCol w:w="1449"/>
        <w:gridCol w:w="2194"/>
        <w:gridCol w:w="2110"/>
        <w:gridCol w:w="1610"/>
        <w:gridCol w:w="1366"/>
      </w:tblGrid>
      <w:tr w:rsidR="00475557" w:rsidRPr="001F0433" w14:paraId="23CF1587" w14:textId="77777777" w:rsidTr="00594690">
        <w:trPr>
          <w:trHeight w:val="697"/>
          <w:jc w:val="center"/>
        </w:trPr>
        <w:tc>
          <w:tcPr>
            <w:tcW w:w="13830" w:type="dxa"/>
            <w:gridSpan w:val="7"/>
            <w:vAlign w:val="center"/>
          </w:tcPr>
          <w:p w14:paraId="4F0C3EB9" w14:textId="77777777" w:rsidR="00475557" w:rsidRPr="001F0433" w:rsidRDefault="00475557" w:rsidP="00594690">
            <w:pPr>
              <w:spacing w:after="0"/>
              <w:rPr>
                <w:rFonts w:eastAsia="Times New Roman" w:cs="Calibri"/>
                <w:b/>
                <w:bCs/>
                <w:lang w:eastAsia="fr-CD"/>
              </w:rPr>
            </w:pPr>
            <w:r w:rsidRPr="001F0433">
              <w:rPr>
                <w:rFonts w:eastAsia="Times New Roman" w:cs="Calibri"/>
                <w:b/>
                <w:bCs/>
                <w:lang w:eastAsia="fr-CD"/>
              </w:rPr>
              <w:t>Plan d’approvisionnement</w:t>
            </w:r>
          </w:p>
        </w:tc>
      </w:tr>
      <w:tr w:rsidR="00475557" w:rsidRPr="001F0433" w14:paraId="14462532" w14:textId="77777777" w:rsidTr="00594690">
        <w:trPr>
          <w:trHeight w:val="2034"/>
          <w:jc w:val="center"/>
        </w:trPr>
        <w:tc>
          <w:tcPr>
            <w:tcW w:w="1887" w:type="dxa"/>
            <w:shd w:val="clear" w:color="auto" w:fill="D9D9D9" w:themeFill="background1" w:themeFillShade="D9"/>
            <w:vAlign w:val="center"/>
          </w:tcPr>
          <w:p w14:paraId="5A79991C" w14:textId="77777777" w:rsidR="00475557" w:rsidRPr="001F0433" w:rsidRDefault="00475557" w:rsidP="00594690">
            <w:pPr>
              <w:spacing w:after="0"/>
              <w:rPr>
                <w:rFonts w:eastAsia="Times New Roman" w:cs="Calibri"/>
                <w:b/>
                <w:bCs/>
                <w:lang w:val="fr-CD" w:eastAsia="fr-CD"/>
              </w:rPr>
            </w:pPr>
            <w:r w:rsidRPr="001F0433">
              <w:rPr>
                <w:rFonts w:eastAsia="Times New Roman" w:cs="Calibri"/>
                <w:b/>
                <w:bCs/>
                <w:lang w:eastAsia="fr-CD"/>
              </w:rPr>
              <w:t xml:space="preserve">ELEMENT </w:t>
            </w:r>
          </w:p>
        </w:tc>
        <w:tc>
          <w:tcPr>
            <w:tcW w:w="3214" w:type="dxa"/>
            <w:shd w:val="clear" w:color="auto" w:fill="D9D9D9" w:themeFill="background1" w:themeFillShade="D9"/>
            <w:vAlign w:val="center"/>
          </w:tcPr>
          <w:p w14:paraId="05F3A270" w14:textId="77777777" w:rsidR="00475557" w:rsidRPr="001F0433" w:rsidRDefault="00475557" w:rsidP="00594690">
            <w:pPr>
              <w:spacing w:after="0"/>
              <w:rPr>
                <w:rFonts w:eastAsia="Times New Roman" w:cs="Calibri"/>
                <w:b/>
                <w:bCs/>
                <w:lang w:val="fr-CD" w:eastAsia="fr-CD"/>
              </w:rPr>
            </w:pPr>
            <w:r w:rsidRPr="001F0433">
              <w:rPr>
                <w:rFonts w:eastAsia="Times New Roman" w:cs="Calibri"/>
                <w:b/>
                <w:bCs/>
                <w:lang w:eastAsia="fr-CD"/>
              </w:rPr>
              <w:t>DESCRIPTION DE L’ELEMENT</w:t>
            </w:r>
          </w:p>
        </w:tc>
        <w:tc>
          <w:tcPr>
            <w:tcW w:w="1449" w:type="dxa"/>
            <w:shd w:val="clear" w:color="auto" w:fill="D9D9D9" w:themeFill="background1" w:themeFillShade="D9"/>
            <w:vAlign w:val="center"/>
          </w:tcPr>
          <w:p w14:paraId="6EAB5F4D" w14:textId="77777777" w:rsidR="00475557" w:rsidRPr="001F0433" w:rsidRDefault="00475557" w:rsidP="00594690">
            <w:pPr>
              <w:spacing w:after="0"/>
              <w:rPr>
                <w:rFonts w:eastAsia="Times New Roman" w:cs="Calibri"/>
                <w:b/>
                <w:bCs/>
                <w:lang w:val="fr-CD" w:eastAsia="fr-CD"/>
              </w:rPr>
            </w:pPr>
            <w:r w:rsidRPr="001F0433">
              <w:rPr>
                <w:rFonts w:eastAsia="Times New Roman" w:cs="Calibri"/>
                <w:b/>
                <w:bCs/>
                <w:lang w:eastAsia="fr-CD"/>
              </w:rPr>
              <w:t xml:space="preserve">COÛT ESTIME </w:t>
            </w:r>
            <w:r w:rsidRPr="001F0433">
              <w:rPr>
                <w:rFonts w:eastAsia="Times New Roman" w:cs="Calibri"/>
                <w:lang w:eastAsia="fr-CD"/>
              </w:rPr>
              <w:t>(US $)</w:t>
            </w:r>
          </w:p>
        </w:tc>
        <w:tc>
          <w:tcPr>
            <w:tcW w:w="2194" w:type="dxa"/>
            <w:shd w:val="clear" w:color="auto" w:fill="D9D9D9" w:themeFill="background1" w:themeFillShade="D9"/>
            <w:vAlign w:val="center"/>
          </w:tcPr>
          <w:p w14:paraId="3F740B27" w14:textId="77777777" w:rsidR="00475557" w:rsidRPr="001F0433" w:rsidRDefault="00475557" w:rsidP="00594690">
            <w:pPr>
              <w:spacing w:after="0"/>
              <w:rPr>
                <w:rFonts w:eastAsia="Times New Roman" w:cs="Calibri"/>
                <w:b/>
                <w:bCs/>
                <w:lang w:val="fr-CD" w:eastAsia="fr-CD"/>
              </w:rPr>
            </w:pPr>
            <w:r w:rsidRPr="001F0433">
              <w:rPr>
                <w:rFonts w:eastAsia="Times New Roman" w:cs="Calibri"/>
                <w:b/>
                <w:bCs/>
                <w:lang w:eastAsia="fr-CD"/>
              </w:rPr>
              <w:t>METHODE D’APPROVISIONNE-MENT</w:t>
            </w:r>
          </w:p>
        </w:tc>
        <w:tc>
          <w:tcPr>
            <w:tcW w:w="2110" w:type="dxa"/>
            <w:shd w:val="clear" w:color="auto" w:fill="D9D9D9" w:themeFill="background1" w:themeFillShade="D9"/>
            <w:vAlign w:val="center"/>
          </w:tcPr>
          <w:p w14:paraId="61DCAC82" w14:textId="77777777" w:rsidR="00475557" w:rsidRPr="001F0433" w:rsidRDefault="00475557" w:rsidP="00594690">
            <w:pPr>
              <w:spacing w:after="0"/>
              <w:jc w:val="center"/>
              <w:rPr>
                <w:rFonts w:eastAsia="Times New Roman" w:cs="Calibri"/>
                <w:b/>
                <w:bCs/>
                <w:lang w:eastAsia="fr-CD"/>
              </w:rPr>
            </w:pPr>
            <w:r w:rsidRPr="001F0433">
              <w:rPr>
                <w:rFonts w:eastAsia="Times New Roman" w:cs="Calibri"/>
                <w:b/>
                <w:bCs/>
                <w:lang w:eastAsia="fr-CD"/>
              </w:rPr>
              <w:t>PLAFONDS</w:t>
            </w:r>
          </w:p>
          <w:p w14:paraId="69D2F328" w14:textId="77777777" w:rsidR="00475557" w:rsidRPr="001F0433" w:rsidRDefault="00475557" w:rsidP="00594690">
            <w:pPr>
              <w:spacing w:after="0"/>
              <w:jc w:val="center"/>
              <w:rPr>
                <w:rFonts w:eastAsia="Times New Roman" w:cs="Calibri"/>
                <w:i/>
                <w:iCs/>
                <w:lang w:eastAsia="fr-CD"/>
              </w:rPr>
            </w:pPr>
            <w:r w:rsidRPr="001F0433">
              <w:rPr>
                <w:rFonts w:eastAsia="Times New Roman" w:cs="Calibri"/>
                <w:i/>
                <w:iCs/>
                <w:lang w:eastAsia="fr-CD"/>
              </w:rPr>
              <w:t>(valeur monétaire min-max pour laquelle la méthode d’approvisionnement indiquée doit être utilisée)</w:t>
            </w:r>
          </w:p>
        </w:tc>
        <w:tc>
          <w:tcPr>
            <w:tcW w:w="1610" w:type="dxa"/>
            <w:shd w:val="clear" w:color="auto" w:fill="D9D9D9" w:themeFill="background1" w:themeFillShade="D9"/>
            <w:vAlign w:val="center"/>
          </w:tcPr>
          <w:p w14:paraId="5CC73001" w14:textId="77777777" w:rsidR="00475557" w:rsidRPr="001F0433" w:rsidRDefault="00475557" w:rsidP="00594690">
            <w:pPr>
              <w:spacing w:after="0"/>
              <w:rPr>
                <w:rFonts w:eastAsia="Times New Roman" w:cs="Calibri"/>
                <w:b/>
                <w:bCs/>
                <w:lang w:val="fr-CD" w:eastAsia="fr-CD"/>
              </w:rPr>
            </w:pPr>
            <w:r w:rsidRPr="001F0433">
              <w:rPr>
                <w:rFonts w:eastAsia="Times New Roman" w:cs="Calibri"/>
                <w:b/>
                <w:bCs/>
                <w:lang w:eastAsia="fr-CD"/>
              </w:rPr>
              <w:t>DATE ESTIMEE DE DEPART</w:t>
            </w:r>
          </w:p>
        </w:tc>
        <w:tc>
          <w:tcPr>
            <w:tcW w:w="1366" w:type="dxa"/>
            <w:shd w:val="clear" w:color="auto" w:fill="D9D9D9" w:themeFill="background1" w:themeFillShade="D9"/>
            <w:vAlign w:val="center"/>
          </w:tcPr>
          <w:p w14:paraId="60897479" w14:textId="77777777" w:rsidR="00475557" w:rsidRPr="001F0433" w:rsidRDefault="00475557" w:rsidP="00594690">
            <w:pPr>
              <w:spacing w:after="0"/>
              <w:rPr>
                <w:rFonts w:eastAsia="Times New Roman" w:cs="Calibri"/>
                <w:b/>
                <w:bCs/>
                <w:lang w:val="fr-CD" w:eastAsia="fr-CD"/>
              </w:rPr>
            </w:pPr>
            <w:r w:rsidRPr="001F0433">
              <w:rPr>
                <w:rFonts w:eastAsia="Times New Roman" w:cs="Calibri"/>
                <w:b/>
                <w:bCs/>
                <w:lang w:eastAsia="fr-CD"/>
              </w:rPr>
              <w:t>DATE PREVUE POUR LE CONTRAT</w:t>
            </w:r>
          </w:p>
        </w:tc>
      </w:tr>
      <w:tr w:rsidR="00475557" w:rsidRPr="001F0433" w14:paraId="3F5EE82C" w14:textId="77777777" w:rsidTr="00594690">
        <w:trPr>
          <w:trHeight w:val="486"/>
          <w:jc w:val="center"/>
        </w:trPr>
        <w:tc>
          <w:tcPr>
            <w:tcW w:w="13830" w:type="dxa"/>
            <w:gridSpan w:val="7"/>
            <w:vAlign w:val="center"/>
          </w:tcPr>
          <w:p w14:paraId="620D9D78" w14:textId="77777777" w:rsidR="00475557" w:rsidRPr="001F0433" w:rsidRDefault="00475557" w:rsidP="00594690">
            <w:pPr>
              <w:spacing w:after="0"/>
              <w:rPr>
                <w:rFonts w:eastAsia="Times New Roman" w:cs="Calibri"/>
                <w:b/>
                <w:bCs/>
                <w:lang w:eastAsia="fr-CD"/>
              </w:rPr>
            </w:pPr>
            <w:r w:rsidRPr="001F0433">
              <w:rPr>
                <w:rFonts w:eastAsia="Times New Roman" w:cs="Calibri"/>
                <w:b/>
                <w:bCs/>
                <w:lang w:eastAsia="fr-CD"/>
              </w:rPr>
              <w:t>Biens et services autres que des consultations</w:t>
            </w:r>
          </w:p>
        </w:tc>
      </w:tr>
      <w:tr w:rsidR="00475557" w:rsidRPr="001F0433" w14:paraId="79260219" w14:textId="77777777" w:rsidTr="00594690">
        <w:trPr>
          <w:trHeight w:val="580"/>
          <w:jc w:val="center"/>
        </w:trPr>
        <w:tc>
          <w:tcPr>
            <w:tcW w:w="1887" w:type="dxa"/>
            <w:shd w:val="clear" w:color="auto" w:fill="auto"/>
            <w:vAlign w:val="center"/>
            <w:hideMark/>
          </w:tcPr>
          <w:p w14:paraId="36FDC92F" w14:textId="77777777" w:rsidR="00475557" w:rsidRPr="001F0433" w:rsidRDefault="00475557" w:rsidP="00594690">
            <w:pPr>
              <w:spacing w:after="0"/>
              <w:rPr>
                <w:rFonts w:eastAsia="Times New Roman" w:cs="Calibri"/>
                <w:lang w:val="fr-CD" w:eastAsia="fr-CD"/>
              </w:rPr>
            </w:pPr>
            <w:r w:rsidRPr="001F0433">
              <w:rPr>
                <w:rFonts w:eastAsia="Times New Roman" w:cs="Calibri"/>
                <w:lang w:eastAsia="fr-CD"/>
              </w:rPr>
              <w:t xml:space="preserve">Contrat de service </w:t>
            </w:r>
          </w:p>
        </w:tc>
        <w:tc>
          <w:tcPr>
            <w:tcW w:w="3214" w:type="dxa"/>
            <w:shd w:val="clear" w:color="auto" w:fill="auto"/>
            <w:vAlign w:val="center"/>
            <w:hideMark/>
          </w:tcPr>
          <w:p w14:paraId="411BEAD0" w14:textId="77777777" w:rsidR="00475557" w:rsidRPr="001F0433" w:rsidRDefault="00475557" w:rsidP="00594690">
            <w:pPr>
              <w:spacing w:after="0"/>
              <w:rPr>
                <w:rFonts w:eastAsia="Times New Roman" w:cs="Calibri"/>
                <w:lang w:val="fr-CD" w:eastAsia="fr-CD"/>
              </w:rPr>
            </w:pPr>
            <w:r w:rsidRPr="001F0433">
              <w:rPr>
                <w:rFonts w:eastAsia="Times New Roman" w:cs="Calibri"/>
                <w:lang w:val="fr-CD" w:eastAsia="fr-CD"/>
              </w:rPr>
              <w:t>Coordonnateurs du projet</w:t>
            </w:r>
          </w:p>
        </w:tc>
        <w:tc>
          <w:tcPr>
            <w:tcW w:w="1449" w:type="dxa"/>
            <w:shd w:val="clear" w:color="000000" w:fill="FFFFFF"/>
            <w:vAlign w:val="center"/>
            <w:hideMark/>
          </w:tcPr>
          <w:p w14:paraId="670C0620" w14:textId="77777777" w:rsidR="00475557" w:rsidRPr="001F0433" w:rsidRDefault="00475557" w:rsidP="00594690">
            <w:pPr>
              <w:spacing w:after="0"/>
              <w:jc w:val="center"/>
              <w:rPr>
                <w:rFonts w:eastAsia="Times New Roman" w:cs="Calibri"/>
                <w:lang w:val="fr-CD" w:eastAsia="fr-CD"/>
              </w:rPr>
            </w:pPr>
            <w:r w:rsidRPr="001F0433">
              <w:rPr>
                <w:rFonts w:eastAsia="Times New Roman" w:cs="Calibri"/>
                <w:lang w:eastAsia="fr-CD"/>
              </w:rPr>
              <w:t>230 400,00</w:t>
            </w:r>
          </w:p>
        </w:tc>
        <w:tc>
          <w:tcPr>
            <w:tcW w:w="2194" w:type="dxa"/>
            <w:shd w:val="clear" w:color="auto" w:fill="auto"/>
            <w:vAlign w:val="center"/>
            <w:hideMark/>
          </w:tcPr>
          <w:p w14:paraId="5353EE4A" w14:textId="77777777" w:rsidR="00475557" w:rsidRPr="001F0433" w:rsidRDefault="00475557" w:rsidP="00594690">
            <w:pPr>
              <w:spacing w:after="0"/>
              <w:rPr>
                <w:rFonts w:eastAsia="Times New Roman" w:cs="Calibri"/>
                <w:lang w:val="fr-CD" w:eastAsia="fr-CD"/>
              </w:rPr>
            </w:pPr>
            <w:r w:rsidRPr="001F0433">
              <w:rPr>
                <w:rFonts w:eastAsia="Times New Roman" w:cs="Calibri"/>
                <w:lang w:eastAsia="fr-CD"/>
              </w:rPr>
              <w:t>Etude documentaire – sources concurrentielles</w:t>
            </w:r>
          </w:p>
        </w:tc>
        <w:tc>
          <w:tcPr>
            <w:tcW w:w="2110" w:type="dxa"/>
            <w:shd w:val="clear" w:color="auto" w:fill="auto"/>
            <w:vAlign w:val="center"/>
            <w:hideMark/>
          </w:tcPr>
          <w:p w14:paraId="55E95F9A" w14:textId="77777777" w:rsidR="00475557" w:rsidRPr="001F0433" w:rsidRDefault="00475557" w:rsidP="00594690">
            <w:pPr>
              <w:spacing w:after="0"/>
              <w:rPr>
                <w:rFonts w:eastAsia="Times New Roman" w:cs="Calibri"/>
                <w:lang w:val="fr-CD" w:eastAsia="fr-CD"/>
              </w:rPr>
            </w:pPr>
            <w:r w:rsidRPr="001F0433">
              <w:rPr>
                <w:rFonts w:eastAsia="Times New Roman" w:cs="Calibri"/>
                <w:lang w:val="fr-CD" w:eastAsia="fr-CD"/>
              </w:rPr>
              <w:t> </w:t>
            </w:r>
          </w:p>
        </w:tc>
        <w:tc>
          <w:tcPr>
            <w:tcW w:w="1610" w:type="dxa"/>
            <w:shd w:val="clear" w:color="auto" w:fill="auto"/>
            <w:vAlign w:val="center"/>
            <w:hideMark/>
          </w:tcPr>
          <w:p w14:paraId="75058529" w14:textId="77777777" w:rsidR="00475557" w:rsidRPr="001F0433" w:rsidRDefault="00475557" w:rsidP="00594690">
            <w:pPr>
              <w:spacing w:after="0"/>
              <w:jc w:val="center"/>
              <w:rPr>
                <w:rFonts w:eastAsia="Times New Roman" w:cs="Calibri"/>
                <w:lang w:val="fr-CD" w:eastAsia="fr-CD"/>
              </w:rPr>
            </w:pPr>
            <w:r w:rsidRPr="001F0433">
              <w:rPr>
                <w:rFonts w:eastAsia="Times New Roman" w:cs="Calibri"/>
                <w:lang w:eastAsia="fr-CD"/>
              </w:rPr>
              <w:t>nov-24</w:t>
            </w:r>
          </w:p>
        </w:tc>
        <w:tc>
          <w:tcPr>
            <w:tcW w:w="1366" w:type="dxa"/>
            <w:shd w:val="clear" w:color="auto" w:fill="auto"/>
            <w:vAlign w:val="center"/>
            <w:hideMark/>
          </w:tcPr>
          <w:p w14:paraId="6FD27D83" w14:textId="77777777" w:rsidR="00475557" w:rsidRPr="001F0433" w:rsidRDefault="00475557" w:rsidP="00594690">
            <w:pPr>
              <w:spacing w:after="0"/>
              <w:jc w:val="center"/>
              <w:rPr>
                <w:rFonts w:eastAsia="Times New Roman" w:cs="Calibri"/>
                <w:lang w:val="fr-CD" w:eastAsia="fr-CD"/>
              </w:rPr>
            </w:pPr>
            <w:r w:rsidRPr="001F0433">
              <w:rPr>
                <w:rFonts w:eastAsia="Times New Roman" w:cs="Calibri"/>
                <w:lang w:eastAsia="fr-CD"/>
              </w:rPr>
              <w:t>oct-27</w:t>
            </w:r>
          </w:p>
        </w:tc>
      </w:tr>
      <w:tr w:rsidR="00475557" w:rsidRPr="001F0433" w14:paraId="49B2229F" w14:textId="77777777" w:rsidTr="00594690">
        <w:trPr>
          <w:trHeight w:val="580"/>
          <w:jc w:val="center"/>
        </w:trPr>
        <w:tc>
          <w:tcPr>
            <w:tcW w:w="1887" w:type="dxa"/>
            <w:shd w:val="clear" w:color="auto" w:fill="auto"/>
            <w:vAlign w:val="center"/>
            <w:hideMark/>
          </w:tcPr>
          <w:p w14:paraId="422B6E7F" w14:textId="77777777" w:rsidR="00475557" w:rsidRPr="001F0433" w:rsidRDefault="00475557" w:rsidP="00594690">
            <w:pPr>
              <w:spacing w:after="0"/>
              <w:rPr>
                <w:rFonts w:eastAsia="Times New Roman" w:cs="Calibri"/>
                <w:lang w:val="fr-CD" w:eastAsia="fr-CD"/>
              </w:rPr>
            </w:pPr>
            <w:r w:rsidRPr="001F0433">
              <w:rPr>
                <w:rFonts w:eastAsia="Times New Roman" w:cs="Calibri"/>
                <w:lang w:eastAsia="fr-CD"/>
              </w:rPr>
              <w:t>Contrat de service</w:t>
            </w:r>
          </w:p>
        </w:tc>
        <w:tc>
          <w:tcPr>
            <w:tcW w:w="3214" w:type="dxa"/>
            <w:shd w:val="clear" w:color="auto" w:fill="auto"/>
            <w:vAlign w:val="center"/>
            <w:hideMark/>
          </w:tcPr>
          <w:p w14:paraId="173AC9E4" w14:textId="77777777" w:rsidR="00475557" w:rsidRPr="001F0433" w:rsidRDefault="00475557" w:rsidP="00594690">
            <w:pPr>
              <w:spacing w:after="0"/>
              <w:rPr>
                <w:rFonts w:eastAsia="Times New Roman" w:cs="Calibri"/>
                <w:lang w:val="fr-CD" w:eastAsia="fr-CD"/>
              </w:rPr>
            </w:pPr>
            <w:r w:rsidRPr="001F0433">
              <w:rPr>
                <w:rFonts w:eastAsia="Times New Roman" w:cs="Calibri"/>
                <w:lang w:val="fr-CD" w:eastAsia="fr-CD"/>
              </w:rPr>
              <w:t xml:space="preserve">Comptables/Associés </w:t>
            </w:r>
            <w:proofErr w:type="spellStart"/>
            <w:r w:rsidRPr="001F0433">
              <w:rPr>
                <w:rFonts w:eastAsia="Times New Roman" w:cs="Calibri"/>
                <w:lang w:val="fr-CD" w:eastAsia="fr-CD"/>
              </w:rPr>
              <w:t>Admin&amp;Fin</w:t>
            </w:r>
            <w:proofErr w:type="spellEnd"/>
          </w:p>
        </w:tc>
        <w:tc>
          <w:tcPr>
            <w:tcW w:w="1449" w:type="dxa"/>
            <w:shd w:val="clear" w:color="000000" w:fill="FFFFFF"/>
            <w:vAlign w:val="center"/>
            <w:hideMark/>
          </w:tcPr>
          <w:p w14:paraId="455FFBCE" w14:textId="77777777" w:rsidR="00475557" w:rsidRPr="001F0433" w:rsidRDefault="00475557" w:rsidP="00594690">
            <w:pPr>
              <w:spacing w:after="0"/>
              <w:jc w:val="center"/>
              <w:rPr>
                <w:rFonts w:eastAsia="Times New Roman" w:cs="Calibri"/>
                <w:lang w:val="fr-CD" w:eastAsia="fr-CD"/>
              </w:rPr>
            </w:pPr>
            <w:r w:rsidRPr="001F0433">
              <w:rPr>
                <w:rFonts w:eastAsia="Times New Roman" w:cs="Calibri"/>
                <w:lang w:eastAsia="fr-CD"/>
              </w:rPr>
              <w:t>108 000,00</w:t>
            </w:r>
          </w:p>
        </w:tc>
        <w:tc>
          <w:tcPr>
            <w:tcW w:w="2194" w:type="dxa"/>
            <w:shd w:val="clear" w:color="auto" w:fill="auto"/>
            <w:vAlign w:val="center"/>
            <w:hideMark/>
          </w:tcPr>
          <w:p w14:paraId="0E4BEEB9" w14:textId="77777777" w:rsidR="00475557" w:rsidRPr="001F0433" w:rsidRDefault="00475557" w:rsidP="00594690">
            <w:pPr>
              <w:spacing w:after="0"/>
              <w:rPr>
                <w:rFonts w:eastAsia="Times New Roman" w:cs="Calibri"/>
                <w:lang w:val="fr-CD" w:eastAsia="fr-CD"/>
              </w:rPr>
            </w:pPr>
            <w:r w:rsidRPr="001F0433">
              <w:rPr>
                <w:rFonts w:eastAsia="Times New Roman" w:cs="Calibri"/>
                <w:lang w:eastAsia="fr-CD"/>
              </w:rPr>
              <w:t>Etude documentaire – sources concurrentielles</w:t>
            </w:r>
          </w:p>
        </w:tc>
        <w:tc>
          <w:tcPr>
            <w:tcW w:w="2110" w:type="dxa"/>
            <w:shd w:val="clear" w:color="auto" w:fill="auto"/>
            <w:vAlign w:val="center"/>
            <w:hideMark/>
          </w:tcPr>
          <w:p w14:paraId="1211DD5E" w14:textId="77777777" w:rsidR="00475557" w:rsidRPr="001F0433" w:rsidRDefault="00475557" w:rsidP="00594690">
            <w:pPr>
              <w:spacing w:after="0"/>
              <w:rPr>
                <w:rFonts w:eastAsia="Times New Roman" w:cs="Calibri"/>
                <w:lang w:val="fr-CD" w:eastAsia="fr-CD"/>
              </w:rPr>
            </w:pPr>
            <w:r w:rsidRPr="001F0433">
              <w:rPr>
                <w:rFonts w:eastAsia="Times New Roman" w:cs="Calibri"/>
                <w:lang w:val="fr-CD" w:eastAsia="fr-CD"/>
              </w:rPr>
              <w:t> </w:t>
            </w:r>
          </w:p>
        </w:tc>
        <w:tc>
          <w:tcPr>
            <w:tcW w:w="1610" w:type="dxa"/>
            <w:shd w:val="clear" w:color="auto" w:fill="auto"/>
            <w:vAlign w:val="center"/>
            <w:hideMark/>
          </w:tcPr>
          <w:p w14:paraId="52660E6D" w14:textId="77777777" w:rsidR="00475557" w:rsidRPr="001F0433" w:rsidRDefault="00475557" w:rsidP="00594690">
            <w:pPr>
              <w:spacing w:after="0"/>
              <w:jc w:val="center"/>
              <w:rPr>
                <w:rFonts w:eastAsia="Times New Roman" w:cs="Calibri"/>
                <w:lang w:val="fr-CD" w:eastAsia="fr-CD"/>
              </w:rPr>
            </w:pPr>
            <w:r w:rsidRPr="001F0433">
              <w:rPr>
                <w:rFonts w:eastAsia="Times New Roman" w:cs="Calibri"/>
                <w:lang w:eastAsia="fr-CD"/>
              </w:rPr>
              <w:t>nov-24</w:t>
            </w:r>
          </w:p>
        </w:tc>
        <w:tc>
          <w:tcPr>
            <w:tcW w:w="1366" w:type="dxa"/>
            <w:shd w:val="clear" w:color="auto" w:fill="auto"/>
            <w:vAlign w:val="center"/>
            <w:hideMark/>
          </w:tcPr>
          <w:p w14:paraId="30445D0A" w14:textId="77777777" w:rsidR="00475557" w:rsidRPr="001F0433" w:rsidRDefault="00475557" w:rsidP="00594690">
            <w:pPr>
              <w:spacing w:after="0"/>
              <w:jc w:val="center"/>
              <w:rPr>
                <w:rFonts w:eastAsia="Times New Roman" w:cs="Calibri"/>
                <w:lang w:val="fr-CD" w:eastAsia="fr-CD"/>
              </w:rPr>
            </w:pPr>
            <w:r w:rsidRPr="001F0433">
              <w:rPr>
                <w:rFonts w:eastAsia="Times New Roman" w:cs="Calibri"/>
                <w:lang w:eastAsia="fr-CD"/>
              </w:rPr>
              <w:t>oct-27</w:t>
            </w:r>
          </w:p>
        </w:tc>
      </w:tr>
      <w:tr w:rsidR="00475557" w:rsidRPr="001F0433" w14:paraId="11CFB22E" w14:textId="77777777" w:rsidTr="00594690">
        <w:trPr>
          <w:trHeight w:val="580"/>
          <w:jc w:val="center"/>
        </w:trPr>
        <w:tc>
          <w:tcPr>
            <w:tcW w:w="5101" w:type="dxa"/>
            <w:gridSpan w:val="2"/>
            <w:shd w:val="clear" w:color="auto" w:fill="auto"/>
            <w:vAlign w:val="center"/>
          </w:tcPr>
          <w:p w14:paraId="51E70D5F" w14:textId="77777777" w:rsidR="00475557" w:rsidRPr="001F0433" w:rsidRDefault="00475557" w:rsidP="00594690">
            <w:pPr>
              <w:spacing w:after="0"/>
              <w:rPr>
                <w:rFonts w:eastAsia="Times New Roman" w:cs="Calibri"/>
                <w:lang w:val="fr-CD" w:eastAsia="fr-CD"/>
              </w:rPr>
            </w:pPr>
            <w:r w:rsidRPr="001F0433">
              <w:rPr>
                <w:rFonts w:eastAsia="Times New Roman" w:cs="Calibri"/>
                <w:b/>
                <w:bCs/>
                <w:lang w:eastAsia="fr-CD"/>
              </w:rPr>
              <w:t>TOTAL (US $)</w:t>
            </w:r>
          </w:p>
        </w:tc>
        <w:tc>
          <w:tcPr>
            <w:tcW w:w="1449" w:type="dxa"/>
            <w:shd w:val="clear" w:color="000000" w:fill="FFFFFF"/>
            <w:vAlign w:val="center"/>
          </w:tcPr>
          <w:p w14:paraId="27F8C6A9" w14:textId="77777777" w:rsidR="00475557" w:rsidRPr="001F0433" w:rsidRDefault="00475557" w:rsidP="00594690">
            <w:pPr>
              <w:spacing w:after="0"/>
              <w:jc w:val="center"/>
              <w:rPr>
                <w:rFonts w:eastAsia="Times New Roman" w:cs="Calibri"/>
                <w:lang w:val="fr-CD" w:eastAsia="fr-CD"/>
              </w:rPr>
            </w:pPr>
            <w:r w:rsidRPr="001F0433">
              <w:rPr>
                <w:rFonts w:eastAsia="Times New Roman" w:cs="Calibri"/>
                <w:b/>
                <w:bCs/>
                <w:lang w:eastAsia="fr-CD"/>
              </w:rPr>
              <w:t>338 400,00</w:t>
            </w:r>
          </w:p>
        </w:tc>
        <w:tc>
          <w:tcPr>
            <w:tcW w:w="2194" w:type="dxa"/>
            <w:shd w:val="clear" w:color="auto" w:fill="auto"/>
            <w:vAlign w:val="center"/>
          </w:tcPr>
          <w:p w14:paraId="0DEA105F" w14:textId="77777777" w:rsidR="00475557" w:rsidRPr="001F0433" w:rsidRDefault="00475557" w:rsidP="00594690">
            <w:pPr>
              <w:spacing w:after="0"/>
              <w:rPr>
                <w:rFonts w:eastAsia="Times New Roman" w:cs="Calibri"/>
                <w:lang w:val="fr-CD" w:eastAsia="fr-CD"/>
              </w:rPr>
            </w:pPr>
          </w:p>
        </w:tc>
        <w:tc>
          <w:tcPr>
            <w:tcW w:w="2110" w:type="dxa"/>
            <w:shd w:val="clear" w:color="auto" w:fill="auto"/>
            <w:vAlign w:val="center"/>
          </w:tcPr>
          <w:p w14:paraId="6782D138" w14:textId="77777777" w:rsidR="00475557" w:rsidRPr="001F0433" w:rsidRDefault="00475557" w:rsidP="00594690">
            <w:pPr>
              <w:spacing w:after="0"/>
              <w:jc w:val="center"/>
              <w:rPr>
                <w:rFonts w:eastAsia="Times New Roman" w:cs="Calibri"/>
                <w:lang w:val="fr-CD" w:eastAsia="fr-CD"/>
              </w:rPr>
            </w:pPr>
          </w:p>
        </w:tc>
        <w:tc>
          <w:tcPr>
            <w:tcW w:w="1610" w:type="dxa"/>
            <w:shd w:val="clear" w:color="auto" w:fill="auto"/>
            <w:vAlign w:val="center"/>
          </w:tcPr>
          <w:p w14:paraId="20A140D7" w14:textId="77777777" w:rsidR="00475557" w:rsidRPr="001F0433" w:rsidRDefault="00475557" w:rsidP="00594690">
            <w:pPr>
              <w:spacing w:after="0"/>
              <w:jc w:val="center"/>
              <w:rPr>
                <w:rFonts w:eastAsia="Times New Roman" w:cs="Calibri"/>
                <w:lang w:val="fr-CD" w:eastAsia="fr-CD"/>
              </w:rPr>
            </w:pPr>
          </w:p>
        </w:tc>
        <w:tc>
          <w:tcPr>
            <w:tcW w:w="1366" w:type="dxa"/>
            <w:shd w:val="clear" w:color="auto" w:fill="auto"/>
            <w:vAlign w:val="center"/>
          </w:tcPr>
          <w:p w14:paraId="6541365E" w14:textId="77777777" w:rsidR="00475557" w:rsidRPr="001F0433" w:rsidRDefault="00475557" w:rsidP="00594690">
            <w:pPr>
              <w:spacing w:after="0"/>
              <w:jc w:val="center"/>
              <w:rPr>
                <w:rFonts w:eastAsia="Times New Roman" w:cs="Calibri"/>
                <w:lang w:val="fr-CD" w:eastAsia="fr-CD"/>
              </w:rPr>
            </w:pPr>
          </w:p>
        </w:tc>
      </w:tr>
    </w:tbl>
    <w:p w14:paraId="0DE971BE" w14:textId="77777777" w:rsidR="002F3D5B" w:rsidRDefault="002F3D5B" w:rsidP="00A7529C">
      <w:pPr>
        <w:pStyle w:val="Titre3"/>
      </w:pPr>
      <w:bookmarkStart w:id="85" w:name="_Toc163230405"/>
    </w:p>
    <w:p w14:paraId="66BDBA0E" w14:textId="77777777" w:rsidR="002F3D5B" w:rsidRDefault="002F3D5B" w:rsidP="00A7529C">
      <w:pPr>
        <w:pStyle w:val="Titre3"/>
      </w:pPr>
    </w:p>
    <w:p w14:paraId="31ADC75C" w14:textId="77777777" w:rsidR="003A51CF" w:rsidRDefault="003A51CF" w:rsidP="00A7529C">
      <w:pPr>
        <w:pStyle w:val="Titre3"/>
        <w:sectPr w:rsidR="003A51CF" w:rsidSect="003A51CF">
          <w:pgSz w:w="16838" w:h="11906" w:orient="landscape"/>
          <w:pgMar w:top="1080" w:right="1440" w:bottom="1080" w:left="1440" w:header="706" w:footer="706" w:gutter="0"/>
          <w:cols w:space="708"/>
          <w:docGrid w:linePitch="360"/>
        </w:sectPr>
      </w:pPr>
    </w:p>
    <w:p w14:paraId="2FBB807A" w14:textId="093CB022" w:rsidR="00500E1C" w:rsidRPr="00C345C4" w:rsidRDefault="00500E1C" w:rsidP="00A7529C">
      <w:pPr>
        <w:pStyle w:val="Titre3"/>
      </w:pPr>
      <w:r w:rsidRPr="00C345C4">
        <w:lastRenderedPageBreak/>
        <w:t xml:space="preserve">ANNEXE </w:t>
      </w:r>
      <w:r w:rsidR="00011DF8" w:rsidRPr="00C345C4">
        <w:t>5</w:t>
      </w:r>
      <w:r w:rsidR="002C77BE">
        <w:t xml:space="preserve"> </w:t>
      </w:r>
      <w:r w:rsidRPr="00C345C4">
        <w:t xml:space="preserve">: Termes de référence </w:t>
      </w:r>
      <w:r w:rsidR="00011DF8" w:rsidRPr="00C345C4">
        <w:t xml:space="preserve">pour le recrutement des experts clés de l’Unité de </w:t>
      </w:r>
      <w:r w:rsidR="0008151C" w:rsidRPr="00C345C4">
        <w:t>G</w:t>
      </w:r>
      <w:r w:rsidR="00011DF8" w:rsidRPr="00C345C4">
        <w:t xml:space="preserve">estion du </w:t>
      </w:r>
      <w:r w:rsidR="0008151C" w:rsidRPr="00C345C4">
        <w:t>P</w:t>
      </w:r>
      <w:r w:rsidR="00011DF8" w:rsidRPr="00C345C4">
        <w:t>rojet (version</w:t>
      </w:r>
      <w:r w:rsidR="0091503F" w:rsidRPr="00C345C4">
        <w:t>s</w:t>
      </w:r>
      <w:r w:rsidR="00011DF8" w:rsidRPr="00C345C4">
        <w:t xml:space="preserve"> provisoire</w:t>
      </w:r>
      <w:r w:rsidR="0091503F" w:rsidRPr="00C345C4">
        <w:t>s</w:t>
      </w:r>
      <w:r w:rsidR="00011DF8" w:rsidRPr="00C345C4">
        <w:t xml:space="preserve"> ou définitive</w:t>
      </w:r>
      <w:r w:rsidR="0091503F" w:rsidRPr="00C345C4">
        <w:t>s</w:t>
      </w:r>
      <w:r w:rsidR="00011DF8" w:rsidRPr="00C345C4">
        <w:t>)</w:t>
      </w:r>
      <w:bookmarkEnd w:id="85"/>
    </w:p>
    <w:p w14:paraId="74506D93" w14:textId="77777777" w:rsidR="00C0091E" w:rsidRDefault="00C0091E" w:rsidP="0017778E">
      <w:pPr>
        <w:spacing w:after="0"/>
        <w:jc w:val="both"/>
        <w:rPr>
          <w:rFonts w:ascii="Avenir Next LT Pro" w:hAnsi="Avenir Next LT Pro" w:cs="Arial"/>
          <w:bCs/>
          <w:iCs/>
          <w:noProof/>
          <w:lang w:val="fr-CH" w:eastAsia="zh-CN"/>
        </w:rPr>
      </w:pPr>
    </w:p>
    <w:p w14:paraId="7BB592B2" w14:textId="453A9AC6" w:rsidR="00F4315C" w:rsidRPr="003858C7" w:rsidRDefault="003858C7" w:rsidP="0017778E">
      <w:pPr>
        <w:spacing w:after="0"/>
        <w:jc w:val="both"/>
        <w:rPr>
          <w:rFonts w:ascii="Avenir Next LT Pro" w:hAnsi="Avenir Next LT Pro" w:cs="Arial"/>
          <w:bCs/>
          <w:iCs/>
          <w:noProof/>
          <w:lang w:val="fr-CH" w:eastAsia="zh-CN"/>
        </w:rPr>
      </w:pPr>
      <w:r>
        <w:rPr>
          <w:rFonts w:ascii="Avenir Next LT Pro" w:hAnsi="Avenir Next LT Pro" w:cs="Arial"/>
          <w:bCs/>
          <w:iCs/>
          <w:noProof/>
          <w:lang w:val="fr-CH" w:eastAsia="zh-CN"/>
        </w:rPr>
        <w:t>C</w:t>
      </w:r>
      <w:r w:rsidR="00595F19" w:rsidRPr="003858C7">
        <w:rPr>
          <w:rFonts w:ascii="Avenir Next LT Pro" w:hAnsi="Avenir Next LT Pro" w:cs="Arial"/>
          <w:bCs/>
          <w:iCs/>
          <w:noProof/>
          <w:lang w:val="fr-CH" w:eastAsia="zh-CN"/>
        </w:rPr>
        <w:t>es termes de références génériques ci-dessous sont donnés à titre indicatif</w:t>
      </w:r>
      <w:r w:rsidR="00FC3F6E" w:rsidRPr="003858C7">
        <w:rPr>
          <w:rFonts w:ascii="Avenir Next LT Pro" w:hAnsi="Avenir Next LT Pro" w:cs="Arial"/>
          <w:bCs/>
          <w:iCs/>
          <w:noProof/>
          <w:lang w:val="fr-CH" w:eastAsia="zh-CN"/>
        </w:rPr>
        <w:t>s et devront être adaptés par le partenaire</w:t>
      </w:r>
    </w:p>
    <w:p w14:paraId="7FC99E5C" w14:textId="77777777" w:rsidR="00F4315C" w:rsidRPr="003858C7" w:rsidRDefault="00F4315C" w:rsidP="0017778E">
      <w:pPr>
        <w:spacing w:after="0"/>
        <w:jc w:val="both"/>
        <w:rPr>
          <w:rFonts w:ascii="Avenir Next LT Pro" w:hAnsi="Avenir Next LT Pro" w:cs="Arial"/>
          <w:b/>
          <w:iCs/>
          <w:noProof/>
          <w:lang w:val="fr-CH" w:eastAsia="zh-CN"/>
        </w:rPr>
      </w:pPr>
    </w:p>
    <w:p w14:paraId="46FBA0CB" w14:textId="5A103103" w:rsidR="003C5133" w:rsidRPr="00CF58C9" w:rsidRDefault="003C5133" w:rsidP="00B0540D">
      <w:pPr>
        <w:spacing w:after="120"/>
        <w:jc w:val="both"/>
        <w:rPr>
          <w:rFonts w:ascii="Avenir Next LT Pro" w:hAnsi="Avenir Next LT Pro" w:cs="Arial"/>
          <w:b/>
          <w:iCs/>
          <w:noProof/>
          <w:lang w:val="fr-CH" w:eastAsia="zh-CN"/>
        </w:rPr>
      </w:pPr>
      <w:r w:rsidRPr="003C5133">
        <w:rPr>
          <w:rFonts w:ascii="Avenir Next LT Pro" w:hAnsi="Avenir Next LT Pro" w:cs="Arial"/>
          <w:b/>
          <w:iCs/>
          <w:noProof/>
          <w:lang w:eastAsia="zh-CN"/>
        </w:rPr>
        <w:t>Chef</w:t>
      </w:r>
      <w:r w:rsidR="00CF58C9">
        <w:rPr>
          <w:rFonts w:ascii="Avenir Next LT Pro" w:hAnsi="Avenir Next LT Pro" w:cs="Arial"/>
          <w:b/>
          <w:iCs/>
          <w:noProof/>
          <w:lang w:eastAsia="zh-CN"/>
        </w:rPr>
        <w:t>(fe)</w:t>
      </w:r>
      <w:r w:rsidRPr="003C5133">
        <w:rPr>
          <w:rFonts w:ascii="Avenir Next LT Pro" w:hAnsi="Avenir Next LT Pro" w:cs="Arial"/>
          <w:b/>
          <w:iCs/>
          <w:noProof/>
          <w:lang w:eastAsia="zh-CN"/>
        </w:rPr>
        <w:t xml:space="preserve"> de projet</w:t>
      </w:r>
    </w:p>
    <w:p w14:paraId="43B79D6E" w14:textId="2F161201" w:rsidR="00FC7538" w:rsidRPr="002B1082" w:rsidRDefault="00EF7511" w:rsidP="00FC7538">
      <w:pPr>
        <w:spacing w:after="0"/>
        <w:jc w:val="both"/>
        <w:rPr>
          <w:rFonts w:ascii="Avenir Next LT Pro" w:hAnsi="Avenir Next LT Pro" w:cs="Arial"/>
          <w:noProof/>
          <w:u w:val="single"/>
          <w:lang w:val="fr-CH" w:eastAsia="zh-CN"/>
        </w:rPr>
      </w:pPr>
      <w:r w:rsidRPr="002B1082">
        <w:rPr>
          <w:rFonts w:ascii="Avenir Next LT Pro" w:hAnsi="Avenir Next LT Pro" w:cs="Arial"/>
          <w:noProof/>
          <w:u w:val="single"/>
          <w:lang w:val="fr-CH" w:eastAsia="zh-CN"/>
        </w:rPr>
        <w:t>Généralités</w:t>
      </w:r>
    </w:p>
    <w:p w14:paraId="3C003C57" w14:textId="25BCCFED" w:rsidR="002B1082" w:rsidRPr="002B1082" w:rsidRDefault="002B1082">
      <w:pPr>
        <w:spacing w:after="0"/>
        <w:jc w:val="both"/>
        <w:rPr>
          <w:rFonts w:ascii="Avenir Next LT Pro" w:hAnsi="Avenir Next LT Pro" w:cs="Arial"/>
          <w:noProof/>
          <w:lang w:val="fr-CH" w:eastAsia="zh-CN"/>
        </w:rPr>
      </w:pPr>
      <w:r w:rsidRPr="00692E50">
        <w:rPr>
          <w:rFonts w:ascii="Avenir Next LT Pro" w:hAnsi="Avenir Next LT Pro" w:cs="Arial"/>
          <w:noProof/>
          <w:lang w:eastAsia="zh-CN"/>
        </w:rPr>
        <w:t>Le</w:t>
      </w:r>
      <w:r w:rsidR="00CF58C9">
        <w:rPr>
          <w:rFonts w:ascii="Avenir Next LT Pro" w:hAnsi="Avenir Next LT Pro" w:cs="Arial"/>
          <w:noProof/>
          <w:lang w:eastAsia="zh-CN"/>
        </w:rPr>
        <w:t>/la</w:t>
      </w:r>
      <w:r w:rsidRPr="00692E50">
        <w:rPr>
          <w:rFonts w:ascii="Avenir Next LT Pro" w:hAnsi="Avenir Next LT Pro" w:cs="Arial"/>
          <w:noProof/>
          <w:lang w:eastAsia="zh-CN"/>
        </w:rPr>
        <w:t xml:space="preserve"> chef</w:t>
      </w:r>
      <w:r w:rsidR="00CF58C9">
        <w:rPr>
          <w:rFonts w:ascii="Avenir Next LT Pro" w:hAnsi="Avenir Next LT Pro" w:cs="Arial"/>
          <w:noProof/>
          <w:lang w:eastAsia="zh-CN"/>
        </w:rPr>
        <w:t>(fe)</w:t>
      </w:r>
      <w:r w:rsidRPr="00692E50">
        <w:rPr>
          <w:rFonts w:ascii="Avenir Next LT Pro" w:hAnsi="Avenir Next LT Pro" w:cs="Arial"/>
          <w:noProof/>
          <w:lang w:eastAsia="zh-CN"/>
        </w:rPr>
        <w:t xml:space="preserve"> de projet</w:t>
      </w:r>
      <w:r w:rsidR="00CF58C9">
        <w:rPr>
          <w:rFonts w:ascii="Avenir Next LT Pro" w:hAnsi="Avenir Next LT Pro" w:cs="Arial"/>
          <w:noProof/>
          <w:lang w:eastAsia="zh-CN"/>
        </w:rPr>
        <w:t xml:space="preserve"> </w:t>
      </w:r>
      <w:r w:rsidRPr="00692E50">
        <w:rPr>
          <w:rFonts w:ascii="Avenir Next LT Pro" w:hAnsi="Avenir Next LT Pro" w:cs="Arial"/>
          <w:noProof/>
          <w:lang w:eastAsia="zh-CN"/>
        </w:rPr>
        <w:t xml:space="preserve">sera nommé par le partenaire de mise en œuvre du projet. Le chef de projet sera responsable de la gestion globale du projet, y compris la mobilisation de toutes les contributions au projet, la supervision du personnel du projet, des consultants et des sous-traitants. </w:t>
      </w:r>
    </w:p>
    <w:p w14:paraId="6D3C97AD" w14:textId="069353C2" w:rsidR="00F4315C" w:rsidRPr="002B1082" w:rsidRDefault="00F4315C" w:rsidP="0017778E">
      <w:pPr>
        <w:spacing w:after="0"/>
        <w:jc w:val="both"/>
        <w:rPr>
          <w:rFonts w:ascii="Avenir Next LT Pro" w:hAnsi="Avenir Next LT Pro" w:cs="Arial"/>
          <w:noProof/>
          <w:lang w:val="fr-CH" w:eastAsia="zh-CN"/>
        </w:rPr>
      </w:pPr>
    </w:p>
    <w:p w14:paraId="1649E07E" w14:textId="77777777" w:rsidR="004232D8" w:rsidRPr="00692E50" w:rsidRDefault="004232D8">
      <w:pPr>
        <w:spacing w:after="0"/>
        <w:jc w:val="both"/>
        <w:rPr>
          <w:rFonts w:ascii="Avenir Next LT Pro" w:hAnsi="Avenir Next LT Pro" w:cs="Arial"/>
          <w:noProof/>
          <w:u w:val="single"/>
          <w:lang w:eastAsia="zh-CN"/>
        </w:rPr>
      </w:pPr>
      <w:r w:rsidRPr="00692E50">
        <w:rPr>
          <w:rFonts w:ascii="Avenir Next LT Pro" w:hAnsi="Avenir Next LT Pro" w:cs="Arial"/>
          <w:noProof/>
          <w:u w:val="single"/>
          <w:lang w:eastAsia="zh-CN"/>
        </w:rPr>
        <w:t>Tâches et responsabilités</w:t>
      </w:r>
    </w:p>
    <w:p w14:paraId="3EE1CC0A" w14:textId="77777777" w:rsidR="004232D8" w:rsidRPr="00B40771" w:rsidRDefault="004232D8"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B40771">
        <w:rPr>
          <w:rFonts w:ascii="Avenir Next LT Pro" w:eastAsia="Times New Roman" w:hAnsi="Avenir Next LT Pro" w:cstheme="minorHAnsi"/>
          <w:color w:val="000000"/>
          <w:lang w:val="fr-CH"/>
        </w:rPr>
        <w:t>Gérer la conduite globale du projet.</w:t>
      </w:r>
    </w:p>
    <w:p w14:paraId="775D7731" w14:textId="77777777" w:rsidR="004232D8" w:rsidRPr="00B40771" w:rsidRDefault="004232D8"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B40771">
        <w:rPr>
          <w:rFonts w:ascii="Avenir Next LT Pro" w:eastAsia="Times New Roman" w:hAnsi="Avenir Next LT Pro" w:cstheme="minorHAnsi"/>
          <w:color w:val="000000"/>
          <w:lang w:val="fr-CH"/>
        </w:rPr>
        <w:t>Planifier les activités du projet et suivre les progrès par rapport au plan de travail approuvé.</w:t>
      </w:r>
    </w:p>
    <w:p w14:paraId="57B291A7" w14:textId="6E37FE10" w:rsidR="004232D8" w:rsidRPr="00B40771" w:rsidRDefault="004232D8"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B40771">
        <w:rPr>
          <w:rFonts w:ascii="Avenir Next LT Pro" w:eastAsia="Times New Roman" w:hAnsi="Avenir Next LT Pro" w:cstheme="minorHAnsi"/>
          <w:color w:val="000000"/>
          <w:lang w:val="fr-CH"/>
        </w:rPr>
        <w:t xml:space="preserve">Exécuter les activités en gérant le personnel, les biens et les services, la formation et les </w:t>
      </w:r>
      <w:r w:rsidR="00B40771">
        <w:rPr>
          <w:rFonts w:ascii="Avenir Next LT Pro" w:eastAsia="Times New Roman" w:hAnsi="Avenir Next LT Pro" w:cstheme="minorHAnsi"/>
          <w:color w:val="000000"/>
          <w:lang w:val="fr-CH"/>
        </w:rPr>
        <w:t>dons</w:t>
      </w:r>
      <w:r w:rsidRPr="00B40771">
        <w:rPr>
          <w:rFonts w:ascii="Avenir Next LT Pro" w:eastAsia="Times New Roman" w:hAnsi="Avenir Next LT Pro" w:cstheme="minorHAnsi"/>
          <w:color w:val="000000"/>
          <w:lang w:val="fr-CH"/>
        </w:rPr>
        <w:t xml:space="preserve">, y compris la rédaction des termes de référence et des spécifications de travail, et superviser le travail de tous les </w:t>
      </w:r>
      <w:r w:rsidR="00C2628C">
        <w:rPr>
          <w:rFonts w:ascii="Avenir Next LT Pro" w:eastAsia="Times New Roman" w:hAnsi="Avenir Next LT Pro" w:cstheme="minorHAnsi"/>
          <w:color w:val="000000"/>
          <w:lang w:val="fr-CH"/>
        </w:rPr>
        <w:t>contractants</w:t>
      </w:r>
      <w:r w:rsidRPr="00B40771">
        <w:rPr>
          <w:rFonts w:ascii="Avenir Next LT Pro" w:eastAsia="Times New Roman" w:hAnsi="Avenir Next LT Pro" w:cstheme="minorHAnsi"/>
          <w:color w:val="000000"/>
          <w:lang w:val="fr-CH"/>
        </w:rPr>
        <w:t>.</w:t>
      </w:r>
    </w:p>
    <w:p w14:paraId="683CB14D" w14:textId="77777777" w:rsidR="00321255" w:rsidRPr="0031395D" w:rsidRDefault="00321255"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Pr>
          <w:rFonts w:ascii="Avenir Next LT Pro" w:eastAsia="Times New Roman" w:hAnsi="Avenir Next LT Pro" w:cstheme="minorHAnsi"/>
          <w:color w:val="000000"/>
          <w:lang w:val="fr-CH"/>
        </w:rPr>
        <w:t>Faire le suivi</w:t>
      </w:r>
      <w:r w:rsidRPr="0031395D">
        <w:rPr>
          <w:rFonts w:ascii="Avenir Next LT Pro" w:eastAsia="Times New Roman" w:hAnsi="Avenir Next LT Pro" w:cstheme="minorHAnsi"/>
          <w:color w:val="000000"/>
          <w:lang w:val="fr-CH"/>
        </w:rPr>
        <w:t xml:space="preserve"> </w:t>
      </w:r>
      <w:r>
        <w:rPr>
          <w:rFonts w:ascii="Avenir Next LT Pro" w:eastAsia="Times New Roman" w:hAnsi="Avenir Next LT Pro" w:cstheme="minorHAnsi"/>
          <w:color w:val="000000"/>
          <w:lang w:val="fr-CH"/>
        </w:rPr>
        <w:t>d</w:t>
      </w:r>
      <w:r w:rsidRPr="0031395D">
        <w:rPr>
          <w:rFonts w:ascii="Avenir Next LT Pro" w:eastAsia="Times New Roman" w:hAnsi="Avenir Next LT Pro" w:cstheme="minorHAnsi"/>
          <w:color w:val="000000"/>
          <w:lang w:val="fr-CH"/>
        </w:rPr>
        <w:t>es événements tels que déterminés dans le plan de suivi du projet et mett</w:t>
      </w:r>
      <w:r>
        <w:rPr>
          <w:rFonts w:ascii="Avenir Next LT Pro" w:eastAsia="Times New Roman" w:hAnsi="Avenir Next LT Pro" w:cstheme="minorHAnsi"/>
          <w:color w:val="000000"/>
          <w:lang w:val="fr-CH"/>
        </w:rPr>
        <w:t>re</w:t>
      </w:r>
      <w:r w:rsidRPr="0031395D">
        <w:rPr>
          <w:rFonts w:ascii="Avenir Next LT Pro" w:eastAsia="Times New Roman" w:hAnsi="Avenir Next LT Pro" w:cstheme="minorHAnsi"/>
          <w:color w:val="000000"/>
          <w:lang w:val="fr-CH"/>
        </w:rPr>
        <w:t xml:space="preserve"> à jour le plan au besoin.</w:t>
      </w:r>
    </w:p>
    <w:p w14:paraId="7B6ABCF2" w14:textId="77777777" w:rsidR="00321255" w:rsidRPr="0031395D" w:rsidRDefault="00321255"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31395D">
        <w:rPr>
          <w:rFonts w:ascii="Avenir Next LT Pro" w:eastAsia="Times New Roman" w:hAnsi="Avenir Next LT Pro" w:cstheme="minorHAnsi"/>
          <w:color w:val="000000"/>
          <w:lang w:val="fr-CH"/>
        </w:rPr>
        <w:t>Fournir un soutien pour la réalisation des évaluations requises par CAFI (ou FONAREDD en RDC), les contrôles ponctuels</w:t>
      </w:r>
      <w:r>
        <w:rPr>
          <w:rFonts w:ascii="Avenir Next LT Pro" w:eastAsia="Times New Roman" w:hAnsi="Avenir Next LT Pro" w:cstheme="minorHAnsi"/>
          <w:color w:val="000000"/>
          <w:lang w:val="fr-CH"/>
        </w:rPr>
        <w:t xml:space="preserve"> (</w:t>
      </w:r>
      <w:r w:rsidRPr="00001CBD">
        <w:rPr>
          <w:rFonts w:ascii="Avenir Next LT Pro" w:eastAsia="Times New Roman" w:hAnsi="Avenir Next LT Pro" w:cstheme="minorHAnsi"/>
          <w:color w:val="000000"/>
          <w:lang w:val="fr-CH"/>
        </w:rPr>
        <w:t>spot checks</w:t>
      </w:r>
      <w:r>
        <w:rPr>
          <w:rFonts w:ascii="Avenir Next LT Pro" w:eastAsia="Times New Roman" w:hAnsi="Avenir Next LT Pro" w:cstheme="minorHAnsi"/>
          <w:color w:val="000000"/>
          <w:lang w:val="fr-CH"/>
        </w:rPr>
        <w:t>)</w:t>
      </w:r>
      <w:r w:rsidRPr="0031395D">
        <w:rPr>
          <w:rFonts w:ascii="Avenir Next LT Pro" w:eastAsia="Times New Roman" w:hAnsi="Avenir Next LT Pro" w:cstheme="minorHAnsi"/>
          <w:color w:val="000000"/>
          <w:lang w:val="fr-CH"/>
        </w:rPr>
        <w:t xml:space="preserve"> et les audits.</w:t>
      </w:r>
    </w:p>
    <w:p w14:paraId="48DF9849" w14:textId="77777777" w:rsidR="00321255" w:rsidRPr="00063F54" w:rsidRDefault="00321255"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063F54">
        <w:rPr>
          <w:rFonts w:ascii="Avenir Next LT Pro" w:eastAsia="Times New Roman" w:hAnsi="Avenir Next LT Pro" w:cstheme="minorHAnsi"/>
          <w:color w:val="000000"/>
          <w:lang w:val="fr-CH"/>
        </w:rPr>
        <w:t>Gérer les demandes de mise à disposition de ressources financières.</w:t>
      </w:r>
    </w:p>
    <w:p w14:paraId="4055F868" w14:textId="77777777" w:rsidR="00DD08C8" w:rsidRPr="00063F54" w:rsidRDefault="00DD08C8"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Pr>
          <w:rFonts w:ascii="Avenir Next LT Pro" w:eastAsia="Times New Roman" w:hAnsi="Avenir Next LT Pro" w:cstheme="minorHAnsi"/>
          <w:color w:val="000000"/>
          <w:lang w:val="fr-CH"/>
        </w:rPr>
        <w:t>Faire le suivi</w:t>
      </w:r>
      <w:r w:rsidRPr="00063F54">
        <w:rPr>
          <w:rFonts w:ascii="Avenir Next LT Pro" w:eastAsia="Times New Roman" w:hAnsi="Avenir Next LT Pro" w:cstheme="minorHAnsi"/>
          <w:color w:val="000000"/>
          <w:lang w:val="fr-CH"/>
        </w:rPr>
        <w:t xml:space="preserve"> </w:t>
      </w:r>
      <w:r>
        <w:rPr>
          <w:rFonts w:ascii="Avenir Next LT Pro" w:eastAsia="Times New Roman" w:hAnsi="Avenir Next LT Pro" w:cstheme="minorHAnsi"/>
          <w:color w:val="000000"/>
          <w:lang w:val="fr-CH"/>
        </w:rPr>
        <w:t>d</w:t>
      </w:r>
      <w:r w:rsidRPr="00063F54">
        <w:rPr>
          <w:rFonts w:ascii="Avenir Next LT Pro" w:eastAsia="Times New Roman" w:hAnsi="Avenir Next LT Pro" w:cstheme="minorHAnsi"/>
          <w:color w:val="000000"/>
          <w:lang w:val="fr-CH"/>
        </w:rPr>
        <w:t xml:space="preserve">es ressources financières et </w:t>
      </w:r>
      <w:r>
        <w:rPr>
          <w:rFonts w:ascii="Avenir Next LT Pro" w:eastAsia="Times New Roman" w:hAnsi="Avenir Next LT Pro" w:cstheme="minorHAnsi"/>
          <w:color w:val="000000"/>
          <w:lang w:val="fr-CH"/>
        </w:rPr>
        <w:t xml:space="preserve">de </w:t>
      </w:r>
      <w:r w:rsidRPr="00063F54">
        <w:rPr>
          <w:rFonts w:ascii="Avenir Next LT Pro" w:eastAsia="Times New Roman" w:hAnsi="Avenir Next LT Pro" w:cstheme="minorHAnsi"/>
          <w:color w:val="000000"/>
          <w:lang w:val="fr-CH"/>
        </w:rPr>
        <w:t>la comptabilité pour s'assurer de l'exactitude et de la fiabilité des rapports financiers.</w:t>
      </w:r>
    </w:p>
    <w:p w14:paraId="3D278C91" w14:textId="77777777" w:rsidR="00DD08C8" w:rsidRPr="00063F54" w:rsidRDefault="00DD08C8"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Pr>
          <w:rFonts w:ascii="Avenir Next LT Pro" w:eastAsia="Times New Roman" w:hAnsi="Avenir Next LT Pro" w:cstheme="minorHAnsi"/>
          <w:color w:val="000000"/>
          <w:lang w:val="fr-CH"/>
        </w:rPr>
        <w:t>Faire le suivi</w:t>
      </w:r>
      <w:r w:rsidRPr="00063F54">
        <w:rPr>
          <w:rFonts w:ascii="Avenir Next LT Pro" w:eastAsia="Times New Roman" w:hAnsi="Avenir Next LT Pro" w:cstheme="minorHAnsi"/>
          <w:color w:val="000000"/>
          <w:lang w:val="fr-CH"/>
        </w:rPr>
        <w:t xml:space="preserve"> </w:t>
      </w:r>
      <w:r>
        <w:rPr>
          <w:rFonts w:ascii="Avenir Next LT Pro" w:eastAsia="Times New Roman" w:hAnsi="Avenir Next LT Pro" w:cstheme="minorHAnsi"/>
          <w:color w:val="000000"/>
          <w:lang w:val="fr-CH"/>
        </w:rPr>
        <w:t>d</w:t>
      </w:r>
      <w:r w:rsidRPr="00063F54">
        <w:rPr>
          <w:rFonts w:ascii="Avenir Next LT Pro" w:eastAsia="Times New Roman" w:hAnsi="Avenir Next LT Pro" w:cstheme="minorHAnsi"/>
          <w:color w:val="000000"/>
          <w:lang w:val="fr-CH"/>
        </w:rPr>
        <w:t xml:space="preserve">es progrès, </w:t>
      </w:r>
      <w:r>
        <w:rPr>
          <w:rFonts w:ascii="Avenir Next LT Pro" w:eastAsia="Times New Roman" w:hAnsi="Avenir Next LT Pro" w:cstheme="minorHAnsi"/>
          <w:color w:val="000000"/>
          <w:lang w:val="fr-CH"/>
        </w:rPr>
        <w:t>des</w:t>
      </w:r>
      <w:r w:rsidRPr="00063F54">
        <w:rPr>
          <w:rFonts w:ascii="Avenir Next LT Pro" w:eastAsia="Times New Roman" w:hAnsi="Avenir Next LT Pro" w:cstheme="minorHAnsi"/>
          <w:color w:val="000000"/>
          <w:lang w:val="fr-CH"/>
        </w:rPr>
        <w:t xml:space="preserve"> écarts du plan et apporte</w:t>
      </w:r>
      <w:r>
        <w:rPr>
          <w:rFonts w:ascii="Avenir Next LT Pro" w:eastAsia="Times New Roman" w:hAnsi="Avenir Next LT Pro" w:cstheme="minorHAnsi"/>
          <w:color w:val="000000"/>
          <w:lang w:val="fr-CH"/>
        </w:rPr>
        <w:t>r</w:t>
      </w:r>
      <w:r w:rsidRPr="00063F54">
        <w:rPr>
          <w:rFonts w:ascii="Avenir Next LT Pro" w:eastAsia="Times New Roman" w:hAnsi="Avenir Next LT Pro" w:cstheme="minorHAnsi"/>
          <w:color w:val="000000"/>
          <w:lang w:val="fr-CH"/>
        </w:rPr>
        <w:t xml:space="preserve"> </w:t>
      </w:r>
      <w:r>
        <w:rPr>
          <w:rFonts w:ascii="Avenir Next LT Pro" w:eastAsia="Times New Roman" w:hAnsi="Avenir Next LT Pro" w:cstheme="minorHAnsi"/>
          <w:color w:val="000000"/>
          <w:lang w:val="fr-CH"/>
        </w:rPr>
        <w:t>l</w:t>
      </w:r>
      <w:r w:rsidRPr="00063F54">
        <w:rPr>
          <w:rFonts w:ascii="Avenir Next LT Pro" w:eastAsia="Times New Roman" w:hAnsi="Avenir Next LT Pro" w:cstheme="minorHAnsi"/>
          <w:color w:val="000000"/>
          <w:lang w:val="fr-CH"/>
        </w:rPr>
        <w:t xml:space="preserve">es corrections </w:t>
      </w:r>
      <w:r>
        <w:rPr>
          <w:rFonts w:ascii="Avenir Next LT Pro" w:eastAsia="Times New Roman" w:hAnsi="Avenir Next LT Pro" w:cstheme="minorHAnsi"/>
          <w:color w:val="000000"/>
          <w:lang w:val="fr-CH"/>
        </w:rPr>
        <w:t>d’orientations</w:t>
      </w:r>
      <w:r w:rsidRPr="00063F54">
        <w:rPr>
          <w:rFonts w:ascii="Avenir Next LT Pro" w:eastAsia="Times New Roman" w:hAnsi="Avenir Next LT Pro" w:cstheme="minorHAnsi"/>
          <w:color w:val="000000"/>
          <w:lang w:val="fr-CH"/>
        </w:rPr>
        <w:t xml:space="preserve"> si nécessaire dans les limites des tolérances convenues par le conseil </w:t>
      </w:r>
      <w:r>
        <w:rPr>
          <w:rFonts w:ascii="Avenir Next LT Pro" w:eastAsia="Times New Roman" w:hAnsi="Avenir Next LT Pro" w:cstheme="minorHAnsi"/>
          <w:color w:val="000000"/>
          <w:lang w:val="fr-CH"/>
        </w:rPr>
        <w:t>de pilotage</w:t>
      </w:r>
      <w:r w:rsidRPr="00063F54">
        <w:rPr>
          <w:rFonts w:ascii="Avenir Next LT Pro" w:eastAsia="Times New Roman" w:hAnsi="Avenir Next LT Pro" w:cstheme="minorHAnsi"/>
          <w:color w:val="000000"/>
          <w:lang w:val="fr-CH"/>
        </w:rPr>
        <w:t xml:space="preserve"> du projet pour obtenir </w:t>
      </w:r>
      <w:r>
        <w:rPr>
          <w:rFonts w:ascii="Avenir Next LT Pro" w:eastAsia="Times New Roman" w:hAnsi="Avenir Next LT Pro" w:cstheme="minorHAnsi"/>
          <w:color w:val="000000"/>
          <w:lang w:val="fr-CH"/>
        </w:rPr>
        <w:t>l</w:t>
      </w:r>
      <w:r w:rsidRPr="00063F54">
        <w:rPr>
          <w:rFonts w:ascii="Avenir Next LT Pro" w:eastAsia="Times New Roman" w:hAnsi="Avenir Next LT Pro" w:cstheme="minorHAnsi"/>
          <w:color w:val="000000"/>
          <w:lang w:val="fr-CH"/>
        </w:rPr>
        <w:t>es résultats.</w:t>
      </w:r>
    </w:p>
    <w:p w14:paraId="3B886418" w14:textId="62367E50" w:rsidR="00421EC2" w:rsidRPr="00063F54" w:rsidRDefault="00C65920"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Pr>
          <w:rFonts w:ascii="Avenir Next LT Pro" w:eastAsia="Times New Roman" w:hAnsi="Avenir Next LT Pro" w:cstheme="minorHAnsi"/>
          <w:color w:val="000000"/>
          <w:lang w:val="fr-CH"/>
        </w:rPr>
        <w:t>S’a</w:t>
      </w:r>
      <w:r w:rsidR="00421EC2" w:rsidRPr="00063F54">
        <w:rPr>
          <w:rFonts w:ascii="Avenir Next LT Pro" w:eastAsia="Times New Roman" w:hAnsi="Avenir Next LT Pro" w:cstheme="minorHAnsi"/>
          <w:color w:val="000000"/>
          <w:lang w:val="fr-CH"/>
        </w:rPr>
        <w:t>ssure</w:t>
      </w:r>
      <w:r>
        <w:rPr>
          <w:rFonts w:ascii="Avenir Next LT Pro" w:eastAsia="Times New Roman" w:hAnsi="Avenir Next LT Pro" w:cstheme="minorHAnsi"/>
          <w:color w:val="000000"/>
          <w:lang w:val="fr-CH"/>
        </w:rPr>
        <w:t>r</w:t>
      </w:r>
      <w:r w:rsidR="00421EC2" w:rsidRPr="00063F54">
        <w:rPr>
          <w:rFonts w:ascii="Avenir Next LT Pro" w:eastAsia="Times New Roman" w:hAnsi="Avenir Next LT Pro" w:cstheme="minorHAnsi"/>
          <w:color w:val="000000"/>
          <w:lang w:val="fr-CH"/>
        </w:rPr>
        <w:t xml:space="preserve"> que les changements sont contrôlés et que les problèmes sont résolus.</w:t>
      </w:r>
    </w:p>
    <w:p w14:paraId="7A74B83E" w14:textId="10CE308F" w:rsidR="00421EC2" w:rsidRPr="009E084E" w:rsidRDefault="00421EC2"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9E084E">
        <w:rPr>
          <w:rFonts w:ascii="Avenir Next LT Pro" w:eastAsia="Times New Roman" w:hAnsi="Avenir Next LT Pro" w:cstheme="minorHAnsi"/>
          <w:color w:val="000000"/>
          <w:lang w:val="fr-CH"/>
        </w:rPr>
        <w:t xml:space="preserve">Rendre compte régulièrement de l'état d'avancement au conseil </w:t>
      </w:r>
      <w:r w:rsidR="00E46F4F">
        <w:rPr>
          <w:rFonts w:ascii="Avenir Next LT Pro" w:eastAsia="Times New Roman" w:hAnsi="Avenir Next LT Pro" w:cstheme="minorHAnsi"/>
          <w:color w:val="000000"/>
          <w:lang w:val="fr-CH"/>
        </w:rPr>
        <w:t>de pilotage</w:t>
      </w:r>
      <w:r w:rsidRPr="009E084E">
        <w:rPr>
          <w:rFonts w:ascii="Avenir Next LT Pro" w:eastAsia="Times New Roman" w:hAnsi="Avenir Next LT Pro" w:cstheme="minorHAnsi"/>
          <w:color w:val="000000"/>
          <w:lang w:val="fr-CH"/>
        </w:rPr>
        <w:t xml:space="preserve"> du projet, comme convenu avec celui-ci, y compris les mesures à prendre pour relever les défis et saisir les opportunités.</w:t>
      </w:r>
    </w:p>
    <w:p w14:paraId="6ACD2652" w14:textId="77777777" w:rsidR="00421EC2" w:rsidRPr="009E084E" w:rsidRDefault="00421EC2"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9E084E">
        <w:rPr>
          <w:rFonts w:ascii="Avenir Next LT Pro" w:eastAsia="Times New Roman" w:hAnsi="Avenir Next LT Pro" w:cstheme="minorHAnsi"/>
          <w:color w:val="000000"/>
          <w:lang w:val="fr-CH"/>
        </w:rPr>
        <w:t>Préparer et soumettre des rapports financiers.</w:t>
      </w:r>
    </w:p>
    <w:p w14:paraId="5B44051C" w14:textId="120C41B2" w:rsidR="00421EC2" w:rsidRPr="009E084E" w:rsidRDefault="00421EC2"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9E084E">
        <w:rPr>
          <w:rFonts w:ascii="Avenir Next LT Pro" w:eastAsia="Times New Roman" w:hAnsi="Avenir Next LT Pro" w:cstheme="minorHAnsi"/>
          <w:color w:val="000000"/>
          <w:lang w:val="fr-CH"/>
        </w:rPr>
        <w:t xml:space="preserve">Gérer et surveiller les risques du projet </w:t>
      </w:r>
      <w:r w:rsidR="00E163DA" w:rsidRPr="009E084E">
        <w:rPr>
          <w:rFonts w:ascii="Avenir Next LT Pro" w:eastAsia="Times New Roman" w:hAnsi="Avenir Next LT Pro" w:cstheme="minorHAnsi"/>
          <w:color w:val="000000"/>
          <w:lang w:val="fr-CH"/>
        </w:rPr>
        <w:t xml:space="preserve">initialement identifiés </w:t>
      </w:r>
      <w:r w:rsidRPr="009E084E">
        <w:rPr>
          <w:rFonts w:ascii="Avenir Next LT Pro" w:eastAsia="Times New Roman" w:hAnsi="Avenir Next LT Pro" w:cstheme="minorHAnsi"/>
          <w:color w:val="000000"/>
          <w:lang w:val="fr-CH"/>
        </w:rPr>
        <w:t>– y co</w:t>
      </w:r>
      <w:r w:rsidR="00D34BBD">
        <w:rPr>
          <w:rFonts w:ascii="Avenir Next LT Pro" w:eastAsia="Times New Roman" w:hAnsi="Avenir Next LT Pro" w:cstheme="minorHAnsi"/>
          <w:color w:val="000000"/>
          <w:lang w:val="fr-CH"/>
        </w:rPr>
        <w:t>43</w:t>
      </w:r>
      <w:r w:rsidRPr="009E084E">
        <w:rPr>
          <w:rFonts w:ascii="Avenir Next LT Pro" w:eastAsia="Times New Roman" w:hAnsi="Avenir Next LT Pro" w:cstheme="minorHAnsi"/>
          <w:color w:val="000000"/>
          <w:lang w:val="fr-CH"/>
        </w:rPr>
        <w:t xml:space="preserve">mpris les risques sociaux et environnementaux –et soumettre les nouveaux risques au comité de projet pour examen et décision sur les actions possibles </w:t>
      </w:r>
      <w:r w:rsidR="00E163DA">
        <w:rPr>
          <w:rFonts w:ascii="Avenir Next LT Pro" w:eastAsia="Times New Roman" w:hAnsi="Avenir Next LT Pro" w:cstheme="minorHAnsi"/>
          <w:color w:val="000000"/>
          <w:lang w:val="fr-CH"/>
        </w:rPr>
        <w:t>tel que</w:t>
      </w:r>
      <w:r w:rsidRPr="009E084E">
        <w:rPr>
          <w:rFonts w:ascii="Avenir Next LT Pro" w:eastAsia="Times New Roman" w:hAnsi="Avenir Next LT Pro" w:cstheme="minorHAnsi"/>
          <w:color w:val="000000"/>
          <w:lang w:val="fr-CH"/>
        </w:rPr>
        <w:t xml:space="preserve"> nécessaire ; mettre à jour l'état de ces risques en tenant à jour le registre des risques du projet ;</w:t>
      </w:r>
    </w:p>
    <w:p w14:paraId="4597A94F" w14:textId="77777777" w:rsidR="002B197A" w:rsidRPr="009B25F3" w:rsidRDefault="002B197A"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8066D6">
        <w:rPr>
          <w:rFonts w:ascii="Avenir Next LT Pro" w:eastAsia="Times New Roman" w:hAnsi="Avenir Next LT Pro" w:cstheme="minorHAnsi"/>
          <w:color w:val="000000"/>
          <w:lang w:val="fr-CH"/>
        </w:rPr>
        <w:t xml:space="preserve">Capturer les </w:t>
      </w:r>
      <w:r w:rsidRPr="009B25F3">
        <w:rPr>
          <w:rFonts w:ascii="Avenir Next LT Pro" w:eastAsia="Times New Roman" w:hAnsi="Avenir Next LT Pro" w:cstheme="minorHAnsi"/>
          <w:color w:val="000000"/>
          <w:lang w:val="fr-CH"/>
        </w:rPr>
        <w:t>leçons apprises lors de la mise en œuvre du projet.</w:t>
      </w:r>
    </w:p>
    <w:p w14:paraId="66471DB4" w14:textId="77777777" w:rsidR="002B197A" w:rsidRPr="009B25F3" w:rsidRDefault="002B197A"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9B25F3">
        <w:rPr>
          <w:rFonts w:ascii="Avenir Next LT Pro" w:eastAsia="Times New Roman" w:hAnsi="Avenir Next LT Pro" w:cstheme="minorHAnsi"/>
          <w:color w:val="000000"/>
          <w:lang w:val="fr-CH"/>
        </w:rPr>
        <w:t>Préparer au besoin des révisions au plan de travail pluriannuel, ainsi que des plans annuels et trimestriels tel que nécessaire.</w:t>
      </w:r>
    </w:p>
    <w:p w14:paraId="514B72B5" w14:textId="77777777" w:rsidR="002B197A" w:rsidRPr="009B25F3" w:rsidRDefault="002B197A" w:rsidP="00487A95">
      <w:pPr>
        <w:pStyle w:val="Paragraphedeliste"/>
        <w:numPr>
          <w:ilvl w:val="0"/>
          <w:numId w:val="36"/>
        </w:numPr>
        <w:spacing w:after="0" w:line="240" w:lineRule="auto"/>
        <w:ind w:left="360"/>
        <w:contextualSpacing w:val="0"/>
        <w:jc w:val="both"/>
        <w:rPr>
          <w:rFonts w:ascii="Avenir Next LT Pro" w:hAnsi="Avenir Next LT Pro"/>
          <w:lang w:val="fr-CH"/>
        </w:rPr>
      </w:pPr>
      <w:r w:rsidRPr="009B25F3">
        <w:rPr>
          <w:rFonts w:ascii="Avenir Next LT Pro" w:hAnsi="Avenir Next LT Pro"/>
          <w:lang w:val="fr-CH"/>
        </w:rPr>
        <w:t xml:space="preserve">Préparer le rapport initial au plus tard un mois après l'atelier de lancement. </w:t>
      </w:r>
    </w:p>
    <w:p w14:paraId="5460BF92" w14:textId="77777777" w:rsidR="00043E96" w:rsidRPr="009B25F3" w:rsidRDefault="00043E96"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9B25F3">
        <w:rPr>
          <w:rFonts w:ascii="Avenir Next LT Pro" w:eastAsia="Times New Roman" w:hAnsi="Avenir Next LT Pro" w:cstheme="minorHAnsi"/>
          <w:color w:val="000000"/>
          <w:lang w:val="fr-CH"/>
        </w:rPr>
        <w:t xml:space="preserve">Veiller à ce que les indicateurs inclus dans le cadre des résultats du projet fassent l'objet d'un suivi annuel avant la date limite de présentation des rapports afin que les progrès puissent être signalés adéquatement. </w:t>
      </w:r>
    </w:p>
    <w:p w14:paraId="1EA22A52" w14:textId="77777777" w:rsidR="00043E96" w:rsidRPr="009B25F3" w:rsidRDefault="00043E96"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9B25F3">
        <w:rPr>
          <w:rFonts w:ascii="Avenir Next LT Pro" w:eastAsia="Times New Roman" w:hAnsi="Avenir Next LT Pro" w:cstheme="minorHAnsi"/>
          <w:color w:val="000000"/>
          <w:lang w:val="fr-CH"/>
        </w:rPr>
        <w:t>Préparer les rapports avec les membres de l'équipe.</w:t>
      </w:r>
    </w:p>
    <w:p w14:paraId="4E3E3CF1" w14:textId="77777777" w:rsidR="00043E96" w:rsidRPr="008066D6" w:rsidRDefault="00043E96"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9B25F3">
        <w:rPr>
          <w:rFonts w:ascii="Avenir Next LT Pro" w:eastAsia="Times New Roman" w:hAnsi="Avenir Next LT Pro" w:cstheme="minorHAnsi"/>
          <w:color w:val="000000"/>
          <w:lang w:val="fr-CH"/>
        </w:rPr>
        <w:t>Évaluer les modifications majeures et mineures au projet dans le cadre des paramètres établis par CAFI</w:t>
      </w:r>
    </w:p>
    <w:p w14:paraId="5C10B03D" w14:textId="77777777" w:rsidR="00AF12C7" w:rsidRPr="008066D6" w:rsidRDefault="00AF12C7" w:rsidP="00487A95">
      <w:pPr>
        <w:pStyle w:val="Paragraphedeliste"/>
        <w:numPr>
          <w:ilvl w:val="0"/>
          <w:numId w:val="36"/>
        </w:numPr>
        <w:spacing w:after="0" w:line="240" w:lineRule="auto"/>
        <w:ind w:left="360"/>
        <w:contextualSpacing w:val="0"/>
        <w:jc w:val="both"/>
        <w:rPr>
          <w:rFonts w:ascii="Avenir Next LT Pro" w:eastAsia="Times New Roman" w:hAnsi="Avenir Next LT Pro" w:cstheme="minorHAnsi"/>
          <w:color w:val="000000"/>
          <w:lang w:val="fr-CH"/>
        </w:rPr>
      </w:pPr>
      <w:r w:rsidRPr="008066D6">
        <w:rPr>
          <w:rFonts w:ascii="Avenir Next LT Pro" w:eastAsia="Times New Roman" w:hAnsi="Avenir Next LT Pro" w:cstheme="minorHAnsi"/>
          <w:color w:val="000000"/>
          <w:lang w:val="fr-CH"/>
        </w:rPr>
        <w:lastRenderedPageBreak/>
        <w:t>Faire le suivi du plan de mise en œuvre, y compris le plan d'action pour l'égalité des sexes, le plan d'engagement des parties prenantes et tous les plans de gestion environnementale et sociale (tel que pertinent) ;</w:t>
      </w:r>
    </w:p>
    <w:p w14:paraId="1052CFAA" w14:textId="0C19C1B8" w:rsidR="008C7D51" w:rsidRPr="00FC0B6B" w:rsidRDefault="007747C8" w:rsidP="00487A95">
      <w:pPr>
        <w:numPr>
          <w:ilvl w:val="0"/>
          <w:numId w:val="35"/>
        </w:numPr>
        <w:tabs>
          <w:tab w:val="clear" w:pos="720"/>
          <w:tab w:val="num" w:pos="360"/>
        </w:tabs>
        <w:spacing w:after="0"/>
        <w:ind w:left="360"/>
        <w:jc w:val="both"/>
        <w:rPr>
          <w:rFonts w:ascii="Avenir Next LT Pro" w:hAnsi="Avenir Next LT Pro"/>
          <w:lang w:val="fr-CH"/>
        </w:rPr>
      </w:pPr>
      <w:r>
        <w:rPr>
          <w:rFonts w:ascii="Avenir Next LT Pro" w:hAnsi="Avenir Next LT Pro"/>
          <w:lang w:val="fr-CH"/>
        </w:rPr>
        <w:t xml:space="preserve">Faire le suivi </w:t>
      </w:r>
      <w:r w:rsidR="00A2499B">
        <w:rPr>
          <w:rFonts w:ascii="Avenir Next LT Pro" w:hAnsi="Avenir Next LT Pro"/>
          <w:lang w:val="fr-CH"/>
        </w:rPr>
        <w:t>d</w:t>
      </w:r>
      <w:r w:rsidR="008C7D51" w:rsidRPr="00FC0B6B">
        <w:rPr>
          <w:rFonts w:ascii="Avenir Next LT Pro" w:hAnsi="Avenir Next LT Pro"/>
          <w:lang w:val="fr-CH"/>
        </w:rPr>
        <w:t>es progrès par rapport aux indicateurs de base de CAFI.</w:t>
      </w:r>
    </w:p>
    <w:p w14:paraId="53F5700B" w14:textId="6A328C3D" w:rsidR="008C7D51" w:rsidRPr="00FC0B6B" w:rsidRDefault="008066D6" w:rsidP="00487A95">
      <w:pPr>
        <w:numPr>
          <w:ilvl w:val="0"/>
          <w:numId w:val="35"/>
        </w:numPr>
        <w:tabs>
          <w:tab w:val="clear" w:pos="720"/>
          <w:tab w:val="num" w:pos="360"/>
        </w:tabs>
        <w:spacing w:after="0"/>
        <w:ind w:left="360"/>
        <w:jc w:val="both"/>
        <w:rPr>
          <w:rFonts w:ascii="Avenir Next LT Pro" w:hAnsi="Avenir Next LT Pro"/>
          <w:lang w:val="fr-CH"/>
        </w:rPr>
      </w:pPr>
      <w:r>
        <w:rPr>
          <w:rFonts w:ascii="Avenir Next LT Pro" w:hAnsi="Avenir Next LT Pro"/>
          <w:lang w:val="fr-CH"/>
        </w:rPr>
        <w:t>Appuyer</w:t>
      </w:r>
      <w:r w:rsidR="008C7D51" w:rsidRPr="00FC0B6B">
        <w:rPr>
          <w:rFonts w:ascii="Avenir Next LT Pro" w:hAnsi="Avenir Next LT Pro"/>
          <w:lang w:val="fr-CH"/>
        </w:rPr>
        <w:t xml:space="preserve"> le processus </w:t>
      </w:r>
      <w:r w:rsidRPr="00FC0B6B">
        <w:rPr>
          <w:rFonts w:ascii="Avenir Next LT Pro" w:hAnsi="Avenir Next LT Pro"/>
          <w:lang w:val="fr-CH"/>
        </w:rPr>
        <w:t xml:space="preserve">d'évaluation </w:t>
      </w:r>
      <w:r w:rsidR="008C7D51" w:rsidRPr="00FC0B6B">
        <w:rPr>
          <w:rFonts w:ascii="Avenir Next LT Pro" w:hAnsi="Avenir Next LT Pro"/>
          <w:lang w:val="fr-CH"/>
        </w:rPr>
        <w:t xml:space="preserve">à mi-parcours et d'évaluation </w:t>
      </w:r>
      <w:r>
        <w:rPr>
          <w:rFonts w:ascii="Avenir Next LT Pro" w:hAnsi="Avenir Next LT Pro"/>
          <w:lang w:val="fr-CH"/>
        </w:rPr>
        <w:t>finale</w:t>
      </w:r>
      <w:r w:rsidR="008C7D51" w:rsidRPr="00FC0B6B">
        <w:rPr>
          <w:rFonts w:ascii="Avenir Next LT Pro" w:hAnsi="Avenir Next LT Pro"/>
          <w:lang w:val="fr-CH"/>
        </w:rPr>
        <w:t>.</w:t>
      </w:r>
    </w:p>
    <w:p w14:paraId="6028FD4D" w14:textId="72F061F7" w:rsidR="00F4315C" w:rsidRPr="00FC0B6B" w:rsidRDefault="00F4315C" w:rsidP="0017778E">
      <w:pPr>
        <w:spacing w:after="0"/>
        <w:jc w:val="both"/>
        <w:rPr>
          <w:rFonts w:ascii="Avenir Next LT Pro" w:hAnsi="Avenir Next LT Pro" w:cs="Arial"/>
          <w:noProof/>
          <w:lang w:val="fr-CH" w:eastAsia="zh-CN"/>
        </w:rPr>
      </w:pPr>
    </w:p>
    <w:p w14:paraId="4FB629D1" w14:textId="77777777" w:rsidR="008066D6" w:rsidRPr="00692E50" w:rsidRDefault="008066D6">
      <w:pPr>
        <w:spacing w:after="0"/>
        <w:jc w:val="both"/>
        <w:rPr>
          <w:rFonts w:ascii="Avenir Next LT Pro" w:hAnsi="Avenir Next LT Pro" w:cs="Arial"/>
          <w:noProof/>
          <w:u w:val="single"/>
          <w:lang w:eastAsia="zh-CN"/>
        </w:rPr>
      </w:pPr>
      <w:r w:rsidRPr="00692E50">
        <w:rPr>
          <w:rFonts w:ascii="Avenir Next LT Pro" w:hAnsi="Avenir Next LT Pro" w:cs="Arial"/>
          <w:noProof/>
          <w:u w:val="single"/>
          <w:lang w:eastAsia="zh-CN"/>
        </w:rPr>
        <w:t xml:space="preserve">Compétences et expertise requises </w:t>
      </w:r>
    </w:p>
    <w:p w14:paraId="2FA2BD6C" w14:textId="35507AFD" w:rsidR="008066D6" w:rsidRPr="00825AA2" w:rsidRDefault="008066D6" w:rsidP="00487A95">
      <w:pPr>
        <w:numPr>
          <w:ilvl w:val="0"/>
          <w:numId w:val="27"/>
        </w:numPr>
        <w:spacing w:after="0"/>
        <w:jc w:val="both"/>
        <w:rPr>
          <w:rFonts w:ascii="Avenir Next LT Pro" w:hAnsi="Avenir Next LT Pro" w:cs="Arial"/>
          <w:noProof/>
          <w:lang w:val="fr-CH" w:eastAsia="zh-CN"/>
        </w:rPr>
      </w:pPr>
      <w:r w:rsidRPr="00825AA2">
        <w:rPr>
          <w:rFonts w:ascii="Avenir Next LT Pro" w:hAnsi="Avenir Next LT Pro" w:cs="Arial"/>
          <w:noProof/>
          <w:lang w:val="fr-CH" w:eastAsia="zh-CN"/>
        </w:rPr>
        <w:t>Un diplôme universitaire (</w:t>
      </w:r>
      <w:r w:rsidR="00825AA2">
        <w:rPr>
          <w:rFonts w:ascii="Avenir Next LT Pro" w:hAnsi="Avenir Next LT Pro" w:cs="Arial"/>
          <w:noProof/>
          <w:lang w:val="fr-CH" w:eastAsia="zh-CN"/>
        </w:rPr>
        <w:t xml:space="preserve">Master </w:t>
      </w:r>
      <w:r w:rsidR="004E06A3">
        <w:rPr>
          <w:rFonts w:ascii="Avenir Next LT Pro" w:hAnsi="Avenir Next LT Pro" w:cs="Arial"/>
          <w:noProof/>
          <w:lang w:val="fr-CH" w:eastAsia="zh-CN"/>
        </w:rPr>
        <w:t>ou Doctorat</w:t>
      </w:r>
      <w:r w:rsidRPr="00825AA2">
        <w:rPr>
          <w:rFonts w:ascii="Avenir Next LT Pro" w:hAnsi="Avenir Next LT Pro" w:cs="Arial"/>
          <w:noProof/>
          <w:lang w:val="fr-CH" w:eastAsia="zh-CN"/>
        </w:rPr>
        <w:t>) dans un domaine lié à la gestion des ressources naturelles ou aux sciences de l'environnement.</w:t>
      </w:r>
    </w:p>
    <w:p w14:paraId="1149A1D1" w14:textId="77777777" w:rsidR="008066D6" w:rsidRPr="00825AA2" w:rsidRDefault="008066D6" w:rsidP="00487A95">
      <w:pPr>
        <w:numPr>
          <w:ilvl w:val="0"/>
          <w:numId w:val="27"/>
        </w:numPr>
        <w:spacing w:after="0"/>
        <w:jc w:val="both"/>
        <w:rPr>
          <w:rFonts w:ascii="Avenir Next LT Pro" w:hAnsi="Avenir Next LT Pro" w:cs="Arial"/>
          <w:noProof/>
          <w:lang w:val="fr-CH" w:eastAsia="zh-CN"/>
        </w:rPr>
      </w:pPr>
      <w:r w:rsidRPr="00825AA2">
        <w:rPr>
          <w:rFonts w:ascii="Avenir Next LT Pro" w:hAnsi="Avenir Next LT Pro" w:cs="Arial"/>
          <w:noProof/>
          <w:lang w:val="fr-CH" w:eastAsia="zh-CN"/>
        </w:rPr>
        <w:t>Au moins 5 ans d'expérience avérée dans la gestion de projets/programmes.</w:t>
      </w:r>
    </w:p>
    <w:p w14:paraId="50D190A3" w14:textId="77777777" w:rsidR="008066D6" w:rsidRPr="00825AA2" w:rsidRDefault="008066D6" w:rsidP="00487A95">
      <w:pPr>
        <w:numPr>
          <w:ilvl w:val="0"/>
          <w:numId w:val="27"/>
        </w:numPr>
        <w:spacing w:after="0"/>
        <w:jc w:val="both"/>
        <w:rPr>
          <w:rFonts w:ascii="Avenir Next LT Pro" w:hAnsi="Avenir Next LT Pro" w:cs="Arial"/>
          <w:noProof/>
          <w:lang w:val="fr-CH" w:eastAsia="zh-CN"/>
        </w:rPr>
      </w:pPr>
      <w:r w:rsidRPr="00825AA2">
        <w:rPr>
          <w:rFonts w:ascii="Avenir Next LT Pro" w:hAnsi="Avenir Next LT Pro" w:cs="Arial"/>
          <w:noProof/>
          <w:lang w:val="fr-CH" w:eastAsia="zh-CN"/>
        </w:rPr>
        <w:t>Au moins 5 ans d'expérience de travail avec des ministères, des institutions nationales ou provinciales qui s'occupent de la gestion des ressources naturelles et/ou de l'environnement.</w:t>
      </w:r>
    </w:p>
    <w:p w14:paraId="4EE59750" w14:textId="77777777" w:rsidR="008066D6" w:rsidRPr="00825AA2" w:rsidRDefault="008066D6" w:rsidP="0017778E">
      <w:pPr>
        <w:spacing w:after="0"/>
        <w:jc w:val="both"/>
        <w:rPr>
          <w:rFonts w:ascii="Avenir Next LT Pro" w:hAnsi="Avenir Next LT Pro" w:cs="Arial"/>
          <w:noProof/>
          <w:u w:val="single"/>
          <w:lang w:val="fr-CH" w:eastAsia="zh-CN"/>
        </w:rPr>
      </w:pPr>
    </w:p>
    <w:p w14:paraId="6EA2DBF9" w14:textId="77777777" w:rsidR="008066D6" w:rsidRPr="00692E50" w:rsidRDefault="008066D6">
      <w:pPr>
        <w:spacing w:after="0"/>
        <w:jc w:val="both"/>
        <w:rPr>
          <w:rFonts w:ascii="Avenir Next LT Pro" w:hAnsi="Avenir Next LT Pro" w:cs="Arial"/>
          <w:noProof/>
          <w:u w:val="single"/>
          <w:lang w:eastAsia="zh-CN"/>
        </w:rPr>
      </w:pPr>
      <w:r w:rsidRPr="00692E50">
        <w:rPr>
          <w:rFonts w:ascii="Avenir Next LT Pro" w:hAnsi="Avenir Next LT Pro" w:cs="Arial"/>
          <w:noProof/>
          <w:u w:val="single"/>
          <w:lang w:eastAsia="zh-CN"/>
        </w:rPr>
        <w:t>Compétences</w:t>
      </w:r>
    </w:p>
    <w:p w14:paraId="7438226A" w14:textId="77777777" w:rsidR="002E77D0" w:rsidRPr="002E77D0" w:rsidRDefault="002E77D0" w:rsidP="00487A95">
      <w:pPr>
        <w:numPr>
          <w:ilvl w:val="0"/>
          <w:numId w:val="27"/>
        </w:numPr>
        <w:spacing w:after="0"/>
        <w:jc w:val="both"/>
        <w:rPr>
          <w:rFonts w:ascii="Avenir Next LT Pro" w:hAnsi="Avenir Next LT Pro" w:cs="Arial"/>
          <w:noProof/>
          <w:lang w:val="fr-CH" w:eastAsia="zh-CN"/>
        </w:rPr>
      </w:pPr>
      <w:r w:rsidRPr="002E77D0">
        <w:rPr>
          <w:rFonts w:ascii="Avenir Next LT Pro" w:hAnsi="Avenir Next LT Pro" w:cs="Arial"/>
          <w:noProof/>
          <w:lang w:val="fr-CH" w:eastAsia="zh-CN"/>
        </w:rPr>
        <w:t>Solides compétences en matière de leadership, de gestion et de coordination, avec une capacité avérée à coordonner efficacement la mise en œuvre de grands projets multipartites, y compris les aspects financiers et techniques.</w:t>
      </w:r>
    </w:p>
    <w:p w14:paraId="288D2F00" w14:textId="77777777" w:rsidR="002E77D0" w:rsidRPr="00A13F28" w:rsidRDefault="002E77D0" w:rsidP="00487A95">
      <w:pPr>
        <w:numPr>
          <w:ilvl w:val="0"/>
          <w:numId w:val="27"/>
        </w:numPr>
        <w:spacing w:after="0"/>
        <w:jc w:val="both"/>
        <w:rPr>
          <w:rFonts w:ascii="Avenir Next LT Pro" w:hAnsi="Avenir Next LT Pro" w:cs="Arial"/>
          <w:noProof/>
          <w:lang w:val="fr-CH" w:eastAsia="zh-CN"/>
        </w:rPr>
      </w:pPr>
      <w:r w:rsidRPr="00A13F28">
        <w:rPr>
          <w:rFonts w:ascii="Avenir Next LT Pro" w:hAnsi="Avenir Next LT Pro" w:cs="Arial"/>
          <w:noProof/>
          <w:lang w:val="fr-CH" w:eastAsia="zh-CN"/>
        </w:rPr>
        <w:t xml:space="preserve">Capacité à gérer efficacement les équipes techniques et administratives, à travailler avec un large éventail de parties prenantes dans divers secteurs et à tous les niveaux, afin de développer des partenariats durables avec les organisations </w:t>
      </w:r>
      <w:r>
        <w:rPr>
          <w:rFonts w:ascii="Avenir Next LT Pro" w:hAnsi="Avenir Next LT Pro" w:cs="Arial"/>
          <w:noProof/>
          <w:lang w:val="fr-CH" w:eastAsia="zh-CN"/>
        </w:rPr>
        <w:t>partenaires</w:t>
      </w:r>
      <w:r w:rsidRPr="00A13F28">
        <w:rPr>
          <w:rFonts w:ascii="Avenir Next LT Pro" w:hAnsi="Avenir Next LT Pro" w:cs="Arial"/>
          <w:noProof/>
          <w:lang w:val="fr-CH" w:eastAsia="zh-CN"/>
        </w:rPr>
        <w:t>.</w:t>
      </w:r>
    </w:p>
    <w:p w14:paraId="4B50DB75" w14:textId="77777777" w:rsidR="002E77D0" w:rsidRPr="000F2C58" w:rsidRDefault="002E77D0" w:rsidP="00487A95">
      <w:pPr>
        <w:numPr>
          <w:ilvl w:val="0"/>
          <w:numId w:val="27"/>
        </w:numPr>
        <w:spacing w:after="0"/>
        <w:jc w:val="both"/>
        <w:rPr>
          <w:rFonts w:ascii="Avenir Next LT Pro" w:hAnsi="Avenir Next LT Pro" w:cs="Arial"/>
          <w:noProof/>
          <w:lang w:val="fr-CH" w:eastAsia="zh-CN"/>
        </w:rPr>
      </w:pPr>
      <w:r w:rsidRPr="000F2C58">
        <w:rPr>
          <w:rFonts w:ascii="Avenir Next LT Pro" w:hAnsi="Avenir Next LT Pro" w:cs="Arial"/>
          <w:noProof/>
          <w:lang w:val="fr-CH" w:eastAsia="zh-CN"/>
        </w:rPr>
        <w:t xml:space="preserve">Capacité </w:t>
      </w:r>
      <w:r>
        <w:rPr>
          <w:rFonts w:ascii="Avenir Next LT Pro" w:hAnsi="Avenir Next LT Pro" w:cs="Arial"/>
          <w:noProof/>
          <w:lang w:val="fr-CH" w:eastAsia="zh-CN"/>
        </w:rPr>
        <w:t xml:space="preserve">à </w:t>
      </w:r>
      <w:r w:rsidRPr="000F2C58">
        <w:rPr>
          <w:rFonts w:ascii="Avenir Next LT Pro" w:hAnsi="Avenir Next LT Pro" w:cs="Arial"/>
          <w:noProof/>
          <w:lang w:val="fr-CH" w:eastAsia="zh-CN"/>
        </w:rPr>
        <w:t xml:space="preserve">administrer les budgets, </w:t>
      </w:r>
      <w:r>
        <w:rPr>
          <w:rFonts w:ascii="Avenir Next LT Pro" w:hAnsi="Avenir Next LT Pro" w:cs="Arial"/>
          <w:noProof/>
          <w:lang w:val="fr-CH" w:eastAsia="zh-CN"/>
        </w:rPr>
        <w:t>à</w:t>
      </w:r>
      <w:r w:rsidRPr="000F2C58">
        <w:rPr>
          <w:rFonts w:ascii="Avenir Next LT Pro" w:hAnsi="Avenir Next LT Pro" w:cs="Arial"/>
          <w:noProof/>
          <w:lang w:val="fr-CH" w:eastAsia="zh-CN"/>
        </w:rPr>
        <w:t xml:space="preserve"> former et travailler efficacement avec </w:t>
      </w:r>
      <w:r>
        <w:rPr>
          <w:rFonts w:ascii="Avenir Next LT Pro" w:hAnsi="Avenir Next LT Pro" w:cs="Arial"/>
          <w:noProof/>
          <w:lang w:val="fr-CH" w:eastAsia="zh-CN"/>
        </w:rPr>
        <w:t>les collaborateurs</w:t>
      </w:r>
      <w:r w:rsidRPr="000F2C58">
        <w:rPr>
          <w:rFonts w:ascii="Avenir Next LT Pro" w:hAnsi="Avenir Next LT Pro" w:cs="Arial"/>
          <w:noProof/>
          <w:lang w:val="fr-CH" w:eastAsia="zh-CN"/>
        </w:rPr>
        <w:t xml:space="preserve"> à tous les niveaux et avec tous les groupes impliqués dans le projet.</w:t>
      </w:r>
    </w:p>
    <w:p w14:paraId="4C0005DC" w14:textId="77777777" w:rsidR="00712F41" w:rsidRPr="000F2C58" w:rsidRDefault="00712F41" w:rsidP="00487A95">
      <w:pPr>
        <w:numPr>
          <w:ilvl w:val="0"/>
          <w:numId w:val="27"/>
        </w:numPr>
        <w:spacing w:after="0"/>
        <w:jc w:val="both"/>
        <w:rPr>
          <w:rFonts w:ascii="Avenir Next LT Pro" w:hAnsi="Avenir Next LT Pro" w:cs="Arial"/>
          <w:noProof/>
          <w:lang w:val="fr-CH" w:eastAsia="zh-CN"/>
        </w:rPr>
      </w:pPr>
      <w:r w:rsidRPr="000F2C58">
        <w:rPr>
          <w:rFonts w:ascii="Avenir Next LT Pro" w:hAnsi="Avenir Next LT Pro" w:cs="Arial"/>
          <w:noProof/>
          <w:lang w:val="fr-CH" w:eastAsia="zh-CN"/>
        </w:rPr>
        <w:t xml:space="preserve">Aptitude à coordonner et à superviser </w:t>
      </w:r>
      <w:r>
        <w:rPr>
          <w:rFonts w:ascii="Avenir Next LT Pro" w:hAnsi="Avenir Next LT Pro" w:cs="Arial"/>
          <w:noProof/>
          <w:lang w:val="fr-CH" w:eastAsia="zh-CN"/>
        </w:rPr>
        <w:t>de multiples</w:t>
      </w:r>
      <w:r w:rsidRPr="000F2C58">
        <w:rPr>
          <w:rFonts w:ascii="Avenir Next LT Pro" w:hAnsi="Avenir Next LT Pro" w:cs="Arial"/>
          <w:noProof/>
          <w:lang w:val="fr-CH" w:eastAsia="zh-CN"/>
        </w:rPr>
        <w:t xml:space="preserve"> unités de mise en œuvre de projets dans la mise en œuvre d'activités techniques en partenariat avec divers groupes de parties prenantes infranationales, y compris la communauté et le gouvernement.</w:t>
      </w:r>
    </w:p>
    <w:p w14:paraId="37EDA263" w14:textId="77777777" w:rsidR="00712F41" w:rsidRPr="000F2C58" w:rsidRDefault="00712F41" w:rsidP="00487A95">
      <w:pPr>
        <w:numPr>
          <w:ilvl w:val="0"/>
          <w:numId w:val="27"/>
        </w:numPr>
        <w:spacing w:after="0"/>
        <w:jc w:val="both"/>
        <w:rPr>
          <w:rFonts w:ascii="Avenir Next LT Pro" w:hAnsi="Avenir Next LT Pro" w:cs="Arial"/>
          <w:noProof/>
          <w:lang w:val="fr-CH" w:eastAsia="zh-CN"/>
        </w:rPr>
      </w:pPr>
      <w:r w:rsidRPr="000F2C58">
        <w:rPr>
          <w:rFonts w:ascii="Avenir Next LT Pro" w:hAnsi="Avenir Next LT Pro" w:cs="Arial"/>
          <w:noProof/>
          <w:lang w:val="fr-CH" w:eastAsia="zh-CN"/>
        </w:rPr>
        <w:t>Solides compétences en rédaction, en présentation et en production de rapports.</w:t>
      </w:r>
    </w:p>
    <w:p w14:paraId="1AFC083A" w14:textId="77777777" w:rsidR="009E57A5" w:rsidRPr="000F2C58" w:rsidRDefault="009E57A5" w:rsidP="00487A95">
      <w:pPr>
        <w:numPr>
          <w:ilvl w:val="0"/>
          <w:numId w:val="27"/>
        </w:numPr>
        <w:spacing w:after="0"/>
        <w:jc w:val="both"/>
        <w:rPr>
          <w:rFonts w:ascii="Avenir Next LT Pro" w:hAnsi="Avenir Next LT Pro" w:cs="Arial"/>
          <w:noProof/>
          <w:lang w:val="fr-CH" w:eastAsia="zh-CN"/>
        </w:rPr>
      </w:pPr>
      <w:r w:rsidRPr="000F2C58">
        <w:rPr>
          <w:rFonts w:ascii="Avenir Next LT Pro" w:hAnsi="Avenir Next LT Pro" w:cs="Arial"/>
          <w:noProof/>
          <w:lang w:val="fr-CH" w:eastAsia="zh-CN"/>
        </w:rPr>
        <w:t>Solides compétences en communication, en particulier pour répondre rapidement et avec précision aux courriels.</w:t>
      </w:r>
    </w:p>
    <w:p w14:paraId="51D46785" w14:textId="77777777" w:rsidR="009E57A5" w:rsidRPr="000F2C58" w:rsidRDefault="009E57A5" w:rsidP="00487A95">
      <w:pPr>
        <w:numPr>
          <w:ilvl w:val="0"/>
          <w:numId w:val="27"/>
        </w:numPr>
        <w:spacing w:after="0"/>
        <w:jc w:val="both"/>
        <w:rPr>
          <w:rFonts w:ascii="Avenir Next LT Pro" w:hAnsi="Avenir Next LT Pro" w:cs="Arial"/>
          <w:noProof/>
          <w:lang w:val="fr-CH" w:eastAsia="zh-CN"/>
        </w:rPr>
      </w:pPr>
      <w:r w:rsidRPr="000F2C58">
        <w:rPr>
          <w:rFonts w:ascii="Avenir Next LT Pro" w:hAnsi="Avenir Next LT Pro" w:cs="Arial"/>
          <w:noProof/>
          <w:lang w:val="fr-CH" w:eastAsia="zh-CN"/>
        </w:rPr>
        <w:t>Solides compétences informatiques, en particulier la maîtrise de toutes les applications du progiciel MS Office et de</w:t>
      </w:r>
      <w:r>
        <w:rPr>
          <w:rFonts w:ascii="Avenir Next LT Pro" w:hAnsi="Avenir Next LT Pro" w:cs="Arial"/>
          <w:noProof/>
          <w:lang w:val="fr-CH" w:eastAsia="zh-CN"/>
        </w:rPr>
        <w:t>s</w:t>
      </w:r>
      <w:r w:rsidRPr="000F2C58">
        <w:rPr>
          <w:rFonts w:ascii="Avenir Next LT Pro" w:hAnsi="Avenir Next LT Pro" w:cs="Arial"/>
          <w:noProof/>
          <w:lang w:val="fr-CH" w:eastAsia="zh-CN"/>
        </w:rPr>
        <w:t xml:space="preserve"> recherche</w:t>
      </w:r>
      <w:r>
        <w:rPr>
          <w:rFonts w:ascii="Avenir Next LT Pro" w:hAnsi="Avenir Next LT Pro" w:cs="Arial"/>
          <w:noProof/>
          <w:lang w:val="fr-CH" w:eastAsia="zh-CN"/>
        </w:rPr>
        <w:t>s</w:t>
      </w:r>
      <w:r w:rsidRPr="000F2C58">
        <w:rPr>
          <w:rFonts w:ascii="Avenir Next LT Pro" w:hAnsi="Avenir Next LT Pro" w:cs="Arial"/>
          <w:noProof/>
          <w:lang w:val="fr-CH" w:eastAsia="zh-CN"/>
        </w:rPr>
        <w:t xml:space="preserve"> sur internet.</w:t>
      </w:r>
    </w:p>
    <w:p w14:paraId="2CA92193" w14:textId="148982FE" w:rsidR="000F2C58" w:rsidRPr="00DA18F6" w:rsidRDefault="000F2C58" w:rsidP="00487A95">
      <w:pPr>
        <w:numPr>
          <w:ilvl w:val="0"/>
          <w:numId w:val="27"/>
        </w:numPr>
        <w:spacing w:after="0"/>
        <w:jc w:val="both"/>
        <w:rPr>
          <w:rFonts w:ascii="Avenir Next LT Pro" w:hAnsi="Avenir Next LT Pro" w:cs="Arial"/>
          <w:noProof/>
          <w:lang w:val="fr-CH" w:eastAsia="zh-CN"/>
        </w:rPr>
      </w:pPr>
      <w:r w:rsidRPr="00DA18F6">
        <w:rPr>
          <w:rFonts w:ascii="Avenir Next LT Pro" w:hAnsi="Avenir Next LT Pro" w:cs="Arial"/>
          <w:noProof/>
          <w:lang w:eastAsia="zh-CN"/>
        </w:rPr>
        <w:t>Excellente maîtrise du français. La maîtrise de l'anglais est un atout.</w:t>
      </w:r>
    </w:p>
    <w:p w14:paraId="549C6914" w14:textId="77777777" w:rsidR="000F2C58" w:rsidRPr="000417AF" w:rsidRDefault="000F2C58" w:rsidP="0017778E">
      <w:pPr>
        <w:spacing w:after="0"/>
        <w:jc w:val="both"/>
        <w:rPr>
          <w:rFonts w:ascii="Avenir Next LT Pro" w:hAnsi="Avenir Next LT Pro" w:cs="Arial"/>
          <w:noProof/>
          <w:lang w:val="fr-CH" w:eastAsia="zh-CN"/>
        </w:rPr>
      </w:pPr>
    </w:p>
    <w:p w14:paraId="705FFDA8" w14:textId="77777777" w:rsidR="000F2C58" w:rsidRPr="000417AF" w:rsidRDefault="000F2C58" w:rsidP="0017778E">
      <w:pPr>
        <w:spacing w:after="0"/>
        <w:jc w:val="both"/>
        <w:rPr>
          <w:rFonts w:ascii="Avenir Next LT Pro" w:hAnsi="Avenir Next LT Pro" w:cs="Arial"/>
          <w:noProof/>
          <w:lang w:val="fr-CH" w:eastAsia="zh-CN"/>
        </w:rPr>
      </w:pPr>
    </w:p>
    <w:p w14:paraId="0B781698" w14:textId="18FECDFF" w:rsidR="0059536A" w:rsidRPr="0059536A" w:rsidRDefault="0059536A" w:rsidP="00B0540D">
      <w:pPr>
        <w:spacing w:after="120"/>
        <w:jc w:val="both"/>
        <w:rPr>
          <w:rFonts w:ascii="Avenir Next LT Pro" w:hAnsi="Avenir Next LT Pro"/>
          <w:b/>
          <w:lang w:val="fr-CH"/>
        </w:rPr>
      </w:pPr>
      <w:r w:rsidRPr="00692E50">
        <w:rPr>
          <w:rFonts w:ascii="Avenir Next LT Pro" w:hAnsi="Avenir Next LT Pro"/>
          <w:b/>
        </w:rPr>
        <w:t>Chargé</w:t>
      </w:r>
      <w:r w:rsidR="00CF58C9">
        <w:rPr>
          <w:rFonts w:ascii="Avenir Next LT Pro" w:hAnsi="Avenir Next LT Pro"/>
          <w:b/>
        </w:rPr>
        <w:t>(e)</w:t>
      </w:r>
      <w:r w:rsidRPr="00692E50">
        <w:rPr>
          <w:rFonts w:ascii="Avenir Next LT Pro" w:hAnsi="Avenir Next LT Pro"/>
          <w:b/>
        </w:rPr>
        <w:t xml:space="preserve"> de suivi et évaluation</w:t>
      </w:r>
    </w:p>
    <w:p w14:paraId="5BC4F56C" w14:textId="77777777" w:rsidR="001277F2" w:rsidRPr="002B1082" w:rsidRDefault="001277F2" w:rsidP="001277F2">
      <w:pPr>
        <w:spacing w:after="0"/>
        <w:jc w:val="both"/>
        <w:rPr>
          <w:rFonts w:ascii="Avenir Next LT Pro" w:hAnsi="Avenir Next LT Pro" w:cs="Arial"/>
          <w:noProof/>
          <w:u w:val="single"/>
          <w:lang w:val="fr-CH" w:eastAsia="zh-CN"/>
        </w:rPr>
      </w:pPr>
      <w:r w:rsidRPr="002B1082">
        <w:rPr>
          <w:rFonts w:ascii="Avenir Next LT Pro" w:hAnsi="Avenir Next LT Pro" w:cs="Arial"/>
          <w:noProof/>
          <w:u w:val="single"/>
          <w:lang w:val="fr-CH" w:eastAsia="zh-CN"/>
        </w:rPr>
        <w:t>Généralités</w:t>
      </w:r>
    </w:p>
    <w:p w14:paraId="05AA9390" w14:textId="77777777" w:rsidR="000553B3" w:rsidRDefault="0059536A">
      <w:pPr>
        <w:spacing w:after="0"/>
        <w:jc w:val="both"/>
        <w:rPr>
          <w:rFonts w:ascii="Avenir Next LT Pro" w:hAnsi="Avenir Next LT Pro"/>
        </w:rPr>
      </w:pPr>
      <w:r w:rsidRPr="00692E50">
        <w:rPr>
          <w:rFonts w:ascii="Avenir Next LT Pro" w:hAnsi="Avenir Next LT Pro"/>
        </w:rPr>
        <w:t xml:space="preserve">Sous la supervision et l'orientation générales du chef de projet, le (la) titulaire sera chargé(e) du suivi et de l'évaluation du projet. L'agent de suivi et d'évaluation travaillera en étroite collaboration avec </w:t>
      </w:r>
      <w:r w:rsidR="00A15D82">
        <w:rPr>
          <w:rFonts w:ascii="Avenir Next LT Pro" w:hAnsi="Avenir Next LT Pro"/>
        </w:rPr>
        <w:t>le responsable</w:t>
      </w:r>
      <w:r w:rsidRPr="00692E50">
        <w:rPr>
          <w:rFonts w:ascii="Avenir Next LT Pro" w:hAnsi="Avenir Next LT Pro"/>
        </w:rPr>
        <w:t xml:space="preserve"> de communication (ou la personne ayant ces fonctions) sur les aspects du projet liés à la gestion des connaissances. </w:t>
      </w:r>
    </w:p>
    <w:p w14:paraId="29F9666C" w14:textId="77777777" w:rsidR="000553B3" w:rsidRDefault="000553B3">
      <w:pPr>
        <w:spacing w:after="0"/>
        <w:jc w:val="both"/>
        <w:rPr>
          <w:rFonts w:ascii="Avenir Next LT Pro" w:hAnsi="Avenir Next LT Pro"/>
        </w:rPr>
      </w:pPr>
    </w:p>
    <w:p w14:paraId="1CA2131E" w14:textId="77777777"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Tâches et responsabilités</w:t>
      </w:r>
    </w:p>
    <w:p w14:paraId="47A68BEE" w14:textId="77777777" w:rsidR="003C1EB5" w:rsidRPr="00A745BE" w:rsidRDefault="003C1EB5"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t xml:space="preserve">Faire le suivi de l'avancement du projet et participer à la production des rapports d'étape en s'assurant qu'ils répondent aux exigences et aux normes de </w:t>
      </w:r>
      <w:r>
        <w:rPr>
          <w:rFonts w:ascii="Avenir Next LT Pro" w:hAnsi="Avenir Next LT Pro"/>
          <w:lang w:val="fr-CH"/>
        </w:rPr>
        <w:t>rapportage</w:t>
      </w:r>
      <w:r w:rsidRPr="00A745BE">
        <w:rPr>
          <w:rFonts w:ascii="Avenir Next LT Pro" w:hAnsi="Avenir Next LT Pro"/>
          <w:lang w:val="fr-CH"/>
        </w:rPr>
        <w:t xml:space="preserve"> nécessaires ;</w:t>
      </w:r>
    </w:p>
    <w:p w14:paraId="5B52F7D6" w14:textId="77777777" w:rsidR="003C1EB5" w:rsidRPr="00A745BE" w:rsidRDefault="003C1EB5"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t>S'assurer que le suivi et l'évaluation du projet répondent aux exigences du gouvernement, d</w:t>
      </w:r>
      <w:r>
        <w:rPr>
          <w:rFonts w:ascii="Avenir Next LT Pro" w:hAnsi="Avenir Next LT Pro"/>
          <w:lang w:val="fr-CH"/>
        </w:rPr>
        <w:t>e</w:t>
      </w:r>
      <w:r w:rsidRPr="00A745BE">
        <w:rPr>
          <w:rFonts w:ascii="Avenir Next LT Pro" w:hAnsi="Avenir Next LT Pro"/>
          <w:lang w:val="fr-CH"/>
        </w:rPr>
        <w:t xml:space="preserve"> CAFI ainsi qu'aux politiques internes ; développer des outils de suivi et d'évaluation spécifiques au projet, </w:t>
      </w:r>
      <w:r>
        <w:rPr>
          <w:rFonts w:ascii="Avenir Next LT Pro" w:hAnsi="Avenir Next LT Pro"/>
          <w:lang w:val="fr-CH"/>
        </w:rPr>
        <w:t>tel que nécessaire</w:t>
      </w:r>
      <w:r w:rsidRPr="00A745BE">
        <w:rPr>
          <w:rFonts w:ascii="Avenir Next LT Pro" w:hAnsi="Avenir Next LT Pro"/>
          <w:lang w:val="fr-CH"/>
        </w:rPr>
        <w:t> ;</w:t>
      </w:r>
    </w:p>
    <w:p w14:paraId="18FAA66F" w14:textId="77777777" w:rsidR="003C1EB5" w:rsidRDefault="003C1EB5"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t>Superviser et assurer la mise en œuvre du plan de suivi et d'évaluation du projet, y compris l'évaluation périodique de la théorie du changement et du cadre de résultats du projet en ce qui concerne les progrès et les résultats réels et potentiels du projet ;</w:t>
      </w:r>
    </w:p>
    <w:p w14:paraId="296AADB1" w14:textId="77777777" w:rsidR="00BD5A88" w:rsidRPr="00A745BE" w:rsidRDefault="00BD5A88"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lastRenderedPageBreak/>
        <w:t>Superviser, élaborer et coordonner la mise en œuvre du plan d'engagement des parties prenantes ;</w:t>
      </w:r>
    </w:p>
    <w:p w14:paraId="7C9616D2" w14:textId="77777777" w:rsidR="00BD5A88" w:rsidRPr="00A745BE" w:rsidRDefault="00BD5A88"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t>Superviser et orienter la conception des enquêtes et des évaluations commandées pour le suivi et l'évaluation des résultats des projets ;</w:t>
      </w:r>
    </w:p>
    <w:p w14:paraId="24F666FC" w14:textId="77777777" w:rsidR="00BD5A88" w:rsidRPr="00A745BE" w:rsidRDefault="00BD5A88"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t>Faciliter les évaluations à mi-parcours et terminales du projet ; y compris les réponses de la direction ;</w:t>
      </w:r>
    </w:p>
    <w:p w14:paraId="1BD98C38" w14:textId="10F29A77" w:rsidR="00BD5A88" w:rsidRPr="00A745BE" w:rsidRDefault="00BD5A88"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t xml:space="preserve">Faciliter les </w:t>
      </w:r>
      <w:r w:rsidR="00105A09">
        <w:rPr>
          <w:rFonts w:ascii="Avenir Next LT Pro" w:hAnsi="Avenir Next LT Pro"/>
          <w:lang w:val="fr-CH"/>
        </w:rPr>
        <w:t>revues</w:t>
      </w:r>
      <w:r w:rsidRPr="00A745BE">
        <w:rPr>
          <w:rFonts w:ascii="Avenir Next LT Pro" w:hAnsi="Avenir Next LT Pro"/>
          <w:lang w:val="fr-CH"/>
        </w:rPr>
        <w:t xml:space="preserve"> annuel</w:t>
      </w:r>
      <w:r w:rsidR="00105A09">
        <w:rPr>
          <w:rFonts w:ascii="Avenir Next LT Pro" w:hAnsi="Avenir Next LT Pro"/>
          <w:lang w:val="fr-CH"/>
        </w:rPr>
        <w:t>le</w:t>
      </w:r>
      <w:r w:rsidRPr="00A745BE">
        <w:rPr>
          <w:rFonts w:ascii="Avenir Next LT Pro" w:hAnsi="Avenir Next LT Pro"/>
          <w:lang w:val="fr-CH"/>
        </w:rPr>
        <w:t xml:space="preserve">s du projet et produire des rapports analytiques </w:t>
      </w:r>
      <w:r w:rsidR="00E42692">
        <w:rPr>
          <w:rFonts w:ascii="Avenir Next LT Pro" w:hAnsi="Avenir Next LT Pro"/>
          <w:lang w:val="fr-CH"/>
        </w:rPr>
        <w:t>y relatifs</w:t>
      </w:r>
      <w:r w:rsidR="00AF53D3">
        <w:rPr>
          <w:rFonts w:ascii="Avenir Next LT Pro" w:hAnsi="Avenir Next LT Pro"/>
          <w:lang w:val="fr-CH"/>
        </w:rPr>
        <w:t>,</w:t>
      </w:r>
      <w:r w:rsidRPr="00A745BE">
        <w:rPr>
          <w:rFonts w:ascii="Avenir Next LT Pro" w:hAnsi="Avenir Next LT Pro"/>
          <w:lang w:val="fr-CH"/>
        </w:rPr>
        <w:t xml:space="preserve"> y compris des produits d'apprentissage et d'autres produits de gestion des connaissances ;</w:t>
      </w:r>
    </w:p>
    <w:p w14:paraId="03E4FC71" w14:textId="33476F76" w:rsidR="00BD5A88" w:rsidRPr="00A745BE" w:rsidRDefault="00471F6D" w:rsidP="00487A95">
      <w:pPr>
        <w:numPr>
          <w:ilvl w:val="0"/>
          <w:numId w:val="28"/>
        </w:numPr>
        <w:spacing w:after="0"/>
        <w:jc w:val="both"/>
        <w:rPr>
          <w:rFonts w:ascii="Avenir Next LT Pro" w:hAnsi="Avenir Next LT Pro"/>
          <w:lang w:val="fr-CH"/>
        </w:rPr>
      </w:pPr>
      <w:r>
        <w:rPr>
          <w:rFonts w:ascii="Avenir Next LT Pro" w:hAnsi="Avenir Next LT Pro"/>
          <w:lang w:val="fr-CH"/>
        </w:rPr>
        <w:t>Appuyer</w:t>
      </w:r>
      <w:r w:rsidR="00BD5A88" w:rsidRPr="00A745BE">
        <w:rPr>
          <w:rFonts w:ascii="Avenir Next LT Pro" w:hAnsi="Avenir Next LT Pro"/>
          <w:lang w:val="fr-CH"/>
        </w:rPr>
        <w:t xml:space="preserve"> les missions de suivi et d'évaluation et d'apprentissage sur le site du projet ; </w:t>
      </w:r>
    </w:p>
    <w:p w14:paraId="02B52218" w14:textId="062AC9CA" w:rsidR="00BD5A88" w:rsidRPr="00A745BE" w:rsidRDefault="00BD5A88" w:rsidP="00487A95">
      <w:pPr>
        <w:numPr>
          <w:ilvl w:val="0"/>
          <w:numId w:val="28"/>
        </w:numPr>
        <w:spacing w:after="0"/>
        <w:jc w:val="both"/>
        <w:rPr>
          <w:rFonts w:ascii="Avenir Next LT Pro" w:hAnsi="Avenir Next LT Pro"/>
          <w:lang w:val="fr-CH"/>
        </w:rPr>
      </w:pPr>
      <w:r w:rsidRPr="00A745BE">
        <w:rPr>
          <w:rFonts w:ascii="Avenir Next LT Pro" w:hAnsi="Avenir Next LT Pro"/>
          <w:lang w:val="fr-CH"/>
        </w:rPr>
        <w:t xml:space="preserve">Visiter les sites du projet </w:t>
      </w:r>
      <w:r w:rsidR="00471F6D">
        <w:rPr>
          <w:rFonts w:ascii="Avenir Next LT Pro" w:hAnsi="Avenir Next LT Pro"/>
          <w:lang w:val="fr-CH"/>
        </w:rPr>
        <w:t>tel que nécessaire</w:t>
      </w:r>
      <w:r w:rsidRPr="00A745BE">
        <w:rPr>
          <w:rFonts w:ascii="Avenir Next LT Pro" w:hAnsi="Avenir Next LT Pro"/>
          <w:lang w:val="fr-CH"/>
        </w:rPr>
        <w:t xml:space="preserve"> pour évaluer l'</w:t>
      </w:r>
      <w:r w:rsidR="00471F6D">
        <w:rPr>
          <w:rFonts w:ascii="Avenir Next LT Pro" w:hAnsi="Avenir Next LT Pro"/>
          <w:lang w:val="fr-CH"/>
        </w:rPr>
        <w:t>état d’</w:t>
      </w:r>
      <w:r w:rsidRPr="00A745BE">
        <w:rPr>
          <w:rFonts w:ascii="Avenir Next LT Pro" w:hAnsi="Avenir Next LT Pro"/>
          <w:lang w:val="fr-CH"/>
        </w:rPr>
        <w:t>avancement du projet sur le terrain et valider les rapports d'étape.</w:t>
      </w:r>
    </w:p>
    <w:p w14:paraId="32C96EF2" w14:textId="77777777" w:rsidR="00BD5A88" w:rsidRPr="00A745BE" w:rsidRDefault="00BD5A88" w:rsidP="0017778E">
      <w:pPr>
        <w:spacing w:after="0"/>
        <w:jc w:val="both"/>
        <w:rPr>
          <w:rFonts w:ascii="Avenir Next LT Pro" w:hAnsi="Avenir Next LT Pro"/>
          <w:lang w:val="fr-CH"/>
        </w:rPr>
      </w:pPr>
    </w:p>
    <w:p w14:paraId="30872CAC" w14:textId="77777777"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 xml:space="preserve">Compétences et expertise requises </w:t>
      </w:r>
    </w:p>
    <w:p w14:paraId="661C763E" w14:textId="42B91F9A" w:rsidR="00006C40" w:rsidRPr="00CE40DB" w:rsidRDefault="00CE40DB" w:rsidP="00487A95">
      <w:pPr>
        <w:numPr>
          <w:ilvl w:val="0"/>
          <w:numId w:val="29"/>
        </w:numPr>
        <w:spacing w:after="0"/>
        <w:jc w:val="both"/>
        <w:rPr>
          <w:rFonts w:ascii="Avenir Next LT Pro" w:hAnsi="Avenir Next LT Pro"/>
          <w:lang w:val="fr-CH"/>
        </w:rPr>
      </w:pPr>
      <w:r w:rsidRPr="00CE40DB">
        <w:rPr>
          <w:rFonts w:ascii="Avenir Next LT Pro" w:hAnsi="Avenir Next LT Pro"/>
          <w:lang w:val="fr-CH"/>
        </w:rPr>
        <w:t>Master</w:t>
      </w:r>
      <w:r w:rsidR="00006C40" w:rsidRPr="00CE40DB">
        <w:rPr>
          <w:rFonts w:ascii="Avenir Next LT Pro" w:hAnsi="Avenir Next LT Pro"/>
          <w:lang w:val="fr-CH"/>
        </w:rPr>
        <w:t xml:space="preserve">, de préférence dans le domaine de la gestion de l'environnement ou des ressources naturelles ; </w:t>
      </w:r>
    </w:p>
    <w:p w14:paraId="6CF10B80" w14:textId="0DAF6F3C" w:rsidR="00006C40" w:rsidRPr="004E54F6" w:rsidRDefault="00006C40" w:rsidP="00487A95">
      <w:pPr>
        <w:numPr>
          <w:ilvl w:val="0"/>
          <w:numId w:val="29"/>
        </w:numPr>
        <w:spacing w:after="0"/>
        <w:jc w:val="both"/>
        <w:rPr>
          <w:rFonts w:ascii="Avenir Next LT Pro" w:hAnsi="Avenir Next LT Pro"/>
          <w:lang w:val="fr-CH"/>
        </w:rPr>
      </w:pPr>
      <w:r w:rsidRPr="00DE2883">
        <w:rPr>
          <w:rFonts w:ascii="Avenir Next LT Pro" w:hAnsi="Avenir Next LT Pro"/>
          <w:lang w:val="fr-CH"/>
        </w:rPr>
        <w:t>Au moins cinq ans</w:t>
      </w:r>
      <w:r w:rsidR="00DE2883" w:rsidRPr="00DE2883">
        <w:rPr>
          <w:rFonts w:ascii="Avenir Next LT Pro" w:hAnsi="Avenir Next LT Pro"/>
          <w:lang w:val="fr-CH"/>
        </w:rPr>
        <w:t xml:space="preserve"> </w:t>
      </w:r>
      <w:r w:rsidRPr="00DE2883">
        <w:rPr>
          <w:rFonts w:ascii="Avenir Next LT Pro" w:hAnsi="Avenir Next LT Pro"/>
          <w:lang w:val="fr-CH"/>
        </w:rPr>
        <w:t xml:space="preserve">d'expérience professionnelle pertinente, de préférence dans un cadre de gestion de projet impliquant un organisme de financement multilatéral ou international. </w:t>
      </w:r>
      <w:r w:rsidRPr="004E54F6">
        <w:rPr>
          <w:rFonts w:ascii="Avenir Next LT Pro" w:hAnsi="Avenir Next LT Pro"/>
          <w:lang w:val="fr-CH"/>
        </w:rPr>
        <w:t xml:space="preserve">Une expérience antérieure avec un projet de </w:t>
      </w:r>
      <w:r w:rsidR="004E54F6" w:rsidRPr="004E54F6">
        <w:rPr>
          <w:rFonts w:ascii="Avenir Next LT Pro" w:hAnsi="Avenir Next LT Pro"/>
          <w:lang w:val="fr-CH"/>
        </w:rPr>
        <w:t>[XXX]</w:t>
      </w:r>
      <w:r w:rsidRPr="004E54F6">
        <w:rPr>
          <w:rFonts w:ascii="Avenir Next LT Pro" w:hAnsi="Avenir Next LT Pro"/>
          <w:lang w:val="fr-CH"/>
        </w:rPr>
        <w:t xml:space="preserve"> sera un atout certain ;</w:t>
      </w:r>
    </w:p>
    <w:p w14:paraId="76532BAD" w14:textId="42C76E0A" w:rsidR="00006C40" w:rsidRPr="004E54F6" w:rsidRDefault="00006C40" w:rsidP="00487A95">
      <w:pPr>
        <w:numPr>
          <w:ilvl w:val="0"/>
          <w:numId w:val="29"/>
        </w:numPr>
        <w:spacing w:after="0"/>
        <w:jc w:val="both"/>
        <w:rPr>
          <w:rFonts w:ascii="Avenir Next LT Pro" w:hAnsi="Avenir Next LT Pro"/>
          <w:lang w:val="fr-CH"/>
        </w:rPr>
      </w:pPr>
      <w:r w:rsidRPr="004E54F6">
        <w:rPr>
          <w:rFonts w:ascii="Avenir Next LT Pro" w:hAnsi="Avenir Next LT Pro"/>
          <w:lang w:val="fr-CH"/>
        </w:rPr>
        <w:t>Expérience significative de la compilation</w:t>
      </w:r>
      <w:r w:rsidR="004E54F6">
        <w:rPr>
          <w:rFonts w:ascii="Avenir Next LT Pro" w:hAnsi="Avenir Next LT Pro"/>
          <w:lang w:val="fr-CH"/>
        </w:rPr>
        <w:t xml:space="preserve"> et</w:t>
      </w:r>
      <w:r w:rsidRPr="004E54F6">
        <w:rPr>
          <w:rFonts w:ascii="Avenir Next LT Pro" w:hAnsi="Avenir Next LT Pro"/>
          <w:lang w:val="fr-CH"/>
        </w:rPr>
        <w:t xml:space="preserve"> l</w:t>
      </w:r>
      <w:r w:rsidR="004E54F6">
        <w:rPr>
          <w:rFonts w:ascii="Avenir Next LT Pro" w:hAnsi="Avenir Next LT Pro"/>
          <w:lang w:val="fr-CH"/>
        </w:rPr>
        <w:t>’</w:t>
      </w:r>
      <w:r w:rsidRPr="004E54F6">
        <w:rPr>
          <w:rFonts w:ascii="Avenir Next LT Pro" w:hAnsi="Avenir Next LT Pro"/>
          <w:lang w:val="fr-CH"/>
        </w:rPr>
        <w:t xml:space="preserve">analyse </w:t>
      </w:r>
      <w:r w:rsidR="004E54F6">
        <w:rPr>
          <w:rFonts w:ascii="Avenir Next LT Pro" w:hAnsi="Avenir Next LT Pro"/>
          <w:lang w:val="fr-CH"/>
        </w:rPr>
        <w:t xml:space="preserve">de données, ainsi que la </w:t>
      </w:r>
      <w:r w:rsidRPr="004E54F6">
        <w:rPr>
          <w:rFonts w:ascii="Avenir Next LT Pro" w:hAnsi="Avenir Next LT Pro"/>
          <w:lang w:val="fr-CH"/>
        </w:rPr>
        <w:t>production de rapports ;</w:t>
      </w:r>
    </w:p>
    <w:p w14:paraId="6FBF878D" w14:textId="4326CF3E" w:rsidR="00006C40" w:rsidRPr="00C5085C" w:rsidRDefault="00006C40" w:rsidP="00487A95">
      <w:pPr>
        <w:numPr>
          <w:ilvl w:val="0"/>
          <w:numId w:val="29"/>
        </w:numPr>
        <w:spacing w:after="0"/>
        <w:jc w:val="both"/>
        <w:rPr>
          <w:rFonts w:ascii="Avenir Next LT Pro" w:hAnsi="Avenir Next LT Pro"/>
          <w:lang w:val="fr-CH"/>
        </w:rPr>
      </w:pPr>
      <w:r w:rsidRPr="00DE2883">
        <w:rPr>
          <w:rFonts w:ascii="Avenir Next LT Pro" w:hAnsi="Avenir Next LT Pro"/>
          <w:lang w:val="fr-CH"/>
        </w:rPr>
        <w:t xml:space="preserve">Très bonne connaissance de la gestion axée sur les résultats et de la gestion du cycle de projet, notamment en ce qui concerne l'approche et les méthodes de suivi et d'évaluation. </w:t>
      </w:r>
      <w:r w:rsidRPr="00006C40">
        <w:rPr>
          <w:rFonts w:ascii="Avenir Next LT Pro" w:hAnsi="Avenir Next LT Pro"/>
          <w:lang w:val="fr-CH"/>
        </w:rPr>
        <w:t xml:space="preserve">Une formation formelle en </w:t>
      </w:r>
      <w:r w:rsidR="00C036CB" w:rsidRPr="00C5085C">
        <w:rPr>
          <w:rFonts w:ascii="Avenir Next LT Pro" w:hAnsi="Avenir Next LT Pro"/>
          <w:lang w:val="fr-CH"/>
        </w:rPr>
        <w:t>Gestion axée sur les résultats</w:t>
      </w:r>
      <w:r w:rsidRPr="00C5085C">
        <w:rPr>
          <w:rFonts w:ascii="Avenir Next LT Pro" w:hAnsi="Avenir Next LT Pro"/>
          <w:lang w:val="fr-CH"/>
        </w:rPr>
        <w:t>/</w:t>
      </w:r>
      <w:r w:rsidR="00C61534" w:rsidRPr="00C5085C">
        <w:rPr>
          <w:rFonts w:ascii="Avenir Next LT Pro" w:hAnsi="Avenir Next LT Pro"/>
          <w:lang w:val="fr-CH"/>
        </w:rPr>
        <w:t>Gestion du cycle de projet</w:t>
      </w:r>
      <w:r w:rsidR="00976769" w:rsidRPr="00C5085C">
        <w:rPr>
          <w:rFonts w:ascii="Avenir Next LT Pro" w:hAnsi="Avenir Next LT Pro"/>
          <w:lang w:val="fr-CH"/>
        </w:rPr>
        <w:t xml:space="preserve"> (GAR/</w:t>
      </w:r>
      <w:r w:rsidR="00C61534" w:rsidRPr="00C5085C">
        <w:rPr>
          <w:rFonts w:ascii="Avenir Next LT Pro" w:hAnsi="Avenir Next LT Pro"/>
          <w:lang w:val="fr-CH"/>
        </w:rPr>
        <w:t>GCP</w:t>
      </w:r>
      <w:r w:rsidR="00976769" w:rsidRPr="00C5085C">
        <w:rPr>
          <w:rFonts w:ascii="Avenir Next LT Pro" w:hAnsi="Avenir Next LT Pro"/>
          <w:lang w:val="fr-CH"/>
        </w:rPr>
        <w:t>)</w:t>
      </w:r>
      <w:r w:rsidRPr="00C5085C">
        <w:rPr>
          <w:rFonts w:ascii="Avenir Next LT Pro" w:hAnsi="Avenir Next LT Pro"/>
          <w:lang w:val="fr-CH"/>
        </w:rPr>
        <w:t xml:space="preserve"> sera un atout certain ;</w:t>
      </w:r>
    </w:p>
    <w:p w14:paraId="21C0283B" w14:textId="4BD8ED93" w:rsidR="00006C40" w:rsidRPr="00C5085C" w:rsidRDefault="005950AD" w:rsidP="00487A95">
      <w:pPr>
        <w:numPr>
          <w:ilvl w:val="0"/>
          <w:numId w:val="29"/>
        </w:numPr>
        <w:spacing w:after="0"/>
        <w:jc w:val="both"/>
        <w:rPr>
          <w:rFonts w:ascii="Avenir Next LT Pro" w:hAnsi="Avenir Next LT Pro"/>
          <w:lang w:val="fr-CH"/>
        </w:rPr>
      </w:pPr>
      <w:r w:rsidRPr="00C5085C">
        <w:rPr>
          <w:rFonts w:ascii="Avenir Next LT Pro" w:hAnsi="Avenir Next LT Pro"/>
          <w:lang w:val="fr-CH"/>
        </w:rPr>
        <w:t>Une e</w:t>
      </w:r>
      <w:r w:rsidR="00006C40" w:rsidRPr="00C5085C">
        <w:rPr>
          <w:rFonts w:ascii="Avenir Next LT Pro" w:hAnsi="Avenir Next LT Pro"/>
          <w:lang w:val="fr-CH"/>
        </w:rPr>
        <w:t xml:space="preserve">xpérience </w:t>
      </w:r>
      <w:r w:rsidRPr="00C5085C">
        <w:rPr>
          <w:rFonts w:ascii="Avenir Next LT Pro" w:hAnsi="Avenir Next LT Pro"/>
          <w:lang w:val="fr-CH"/>
        </w:rPr>
        <w:t xml:space="preserve">solide est avérée </w:t>
      </w:r>
      <w:r w:rsidR="00006C40" w:rsidRPr="00C5085C">
        <w:rPr>
          <w:rFonts w:ascii="Avenir Next LT Pro" w:hAnsi="Avenir Next LT Pro"/>
          <w:lang w:val="fr-CH"/>
        </w:rPr>
        <w:t>dans la gestion de la collecte de données à l</w:t>
      </w:r>
      <w:r w:rsidRPr="00C5085C">
        <w:rPr>
          <w:rFonts w:ascii="Avenir Next LT Pro" w:hAnsi="Avenir Next LT Pro"/>
          <w:lang w:val="fr-CH"/>
        </w:rPr>
        <w:t>’</w:t>
      </w:r>
      <w:r w:rsidR="00006C40" w:rsidRPr="00C5085C">
        <w:rPr>
          <w:rFonts w:ascii="Avenir Next LT Pro" w:hAnsi="Avenir Next LT Pro"/>
          <w:lang w:val="fr-CH"/>
        </w:rPr>
        <w:t>aide d</w:t>
      </w:r>
      <w:r w:rsidRPr="00C5085C">
        <w:rPr>
          <w:rFonts w:ascii="Avenir Next LT Pro" w:hAnsi="Avenir Next LT Pro"/>
          <w:lang w:val="fr-CH"/>
        </w:rPr>
        <w:t>’</w:t>
      </w:r>
      <w:r w:rsidR="00006C40" w:rsidRPr="00C5085C">
        <w:rPr>
          <w:rFonts w:ascii="Avenir Next LT Pro" w:hAnsi="Avenir Next LT Pro"/>
          <w:lang w:val="fr-CH"/>
        </w:rPr>
        <w:t xml:space="preserve">outils de collecte de données mobiles (tels que </w:t>
      </w:r>
      <w:proofErr w:type="spellStart"/>
      <w:r w:rsidR="00006C40" w:rsidRPr="00C5085C">
        <w:rPr>
          <w:rFonts w:ascii="Avenir Next LT Pro" w:hAnsi="Avenir Next LT Pro"/>
          <w:lang w:val="fr-CH"/>
        </w:rPr>
        <w:t>KoboTo</w:t>
      </w:r>
      <w:r w:rsidR="00C0091E" w:rsidRPr="00C5085C">
        <w:rPr>
          <w:rFonts w:ascii="Avenir Next LT Pro" w:hAnsi="Avenir Next LT Pro"/>
          <w:lang w:val="fr-CH"/>
        </w:rPr>
        <w:t>o</w:t>
      </w:r>
      <w:r w:rsidR="00006C40" w:rsidRPr="00C5085C">
        <w:rPr>
          <w:rFonts w:ascii="Avenir Next LT Pro" w:hAnsi="Avenir Next LT Pro"/>
          <w:lang w:val="fr-CH"/>
        </w:rPr>
        <w:t>lbox</w:t>
      </w:r>
      <w:proofErr w:type="spellEnd"/>
      <w:r w:rsidR="00006C40" w:rsidRPr="00C5085C">
        <w:rPr>
          <w:rFonts w:ascii="Avenir Next LT Pro" w:hAnsi="Avenir Next LT Pro"/>
          <w:lang w:val="fr-CH"/>
        </w:rPr>
        <w:t>, ODK, etc.) et d</w:t>
      </w:r>
      <w:r w:rsidRPr="00C5085C">
        <w:rPr>
          <w:rFonts w:ascii="Avenir Next LT Pro" w:hAnsi="Avenir Next LT Pro"/>
          <w:lang w:val="fr-CH"/>
        </w:rPr>
        <w:t>’</w:t>
      </w:r>
      <w:r w:rsidR="00006C40" w:rsidRPr="00C5085C">
        <w:rPr>
          <w:rFonts w:ascii="Avenir Next LT Pro" w:hAnsi="Avenir Next LT Pro"/>
          <w:lang w:val="fr-CH"/>
        </w:rPr>
        <w:t>informations spatiales (GPS, SIG, etc.)</w:t>
      </w:r>
      <w:r w:rsidRPr="00C5085C">
        <w:rPr>
          <w:rFonts w:ascii="Avenir Next LT Pro" w:hAnsi="Avenir Next LT Pro"/>
          <w:lang w:val="fr-CH"/>
        </w:rPr>
        <w:t xml:space="preserve"> est essentielle</w:t>
      </w:r>
      <w:r w:rsidR="00006C40" w:rsidRPr="00C5085C">
        <w:rPr>
          <w:rFonts w:ascii="Avenir Next LT Pro" w:hAnsi="Avenir Next LT Pro"/>
          <w:lang w:val="fr-CH"/>
        </w:rPr>
        <w:t>.</w:t>
      </w:r>
    </w:p>
    <w:p w14:paraId="63D42A96" w14:textId="77777777" w:rsidR="00006C40" w:rsidRPr="00C5085C" w:rsidRDefault="00006C40" w:rsidP="00487A95">
      <w:pPr>
        <w:numPr>
          <w:ilvl w:val="0"/>
          <w:numId w:val="29"/>
        </w:numPr>
        <w:spacing w:after="0"/>
        <w:jc w:val="both"/>
        <w:rPr>
          <w:rFonts w:ascii="Avenir Next LT Pro" w:hAnsi="Avenir Next LT Pro"/>
          <w:lang w:val="fr-CH"/>
        </w:rPr>
      </w:pPr>
      <w:r w:rsidRPr="00C5085C">
        <w:rPr>
          <w:rFonts w:ascii="Avenir Next LT Pro" w:hAnsi="Avenir Next LT Pro"/>
          <w:lang w:val="fr-CH"/>
        </w:rPr>
        <w:t>Connaissance et expérience pratique de l'application de l'intégration de la dimension de genre dans les projets internationaux ;</w:t>
      </w:r>
    </w:p>
    <w:p w14:paraId="5D729D73" w14:textId="77777777" w:rsidR="00006C40" w:rsidRPr="00006C40" w:rsidRDefault="00006C40" w:rsidP="00487A95">
      <w:pPr>
        <w:numPr>
          <w:ilvl w:val="0"/>
          <w:numId w:val="29"/>
        </w:numPr>
        <w:spacing w:after="0"/>
        <w:jc w:val="both"/>
        <w:rPr>
          <w:rFonts w:ascii="Avenir Next LT Pro" w:hAnsi="Avenir Next LT Pro"/>
          <w:lang w:val="fr-CH"/>
        </w:rPr>
      </w:pPr>
      <w:r w:rsidRPr="00006C40">
        <w:rPr>
          <w:rFonts w:ascii="Avenir Next LT Pro" w:hAnsi="Avenir Next LT Pro"/>
          <w:lang w:val="fr-CH"/>
        </w:rPr>
        <w:t xml:space="preserve">Compréhension de la conservation de la biodiversité, de l'application de la loi, des moyens de subsistance durables et des questions connexes ; </w:t>
      </w:r>
    </w:p>
    <w:p w14:paraId="110F2045" w14:textId="70A9B034" w:rsidR="00006C40" w:rsidRPr="00692E50" w:rsidRDefault="00006C40" w:rsidP="00487A95">
      <w:pPr>
        <w:numPr>
          <w:ilvl w:val="0"/>
          <w:numId w:val="29"/>
        </w:numPr>
        <w:spacing w:after="0"/>
        <w:jc w:val="both"/>
        <w:rPr>
          <w:rFonts w:ascii="Avenir Next LT Pro" w:hAnsi="Avenir Next LT Pro"/>
          <w:lang w:val="en-GB"/>
        </w:rPr>
      </w:pPr>
      <w:r w:rsidRPr="00006C40">
        <w:rPr>
          <w:rFonts w:ascii="Avenir Next LT Pro" w:hAnsi="Avenir Next LT Pro"/>
          <w:lang w:val="en-GB"/>
        </w:rPr>
        <w:t xml:space="preserve">Très bon </w:t>
      </w:r>
      <w:proofErr w:type="spellStart"/>
      <w:proofErr w:type="gramStart"/>
      <w:r w:rsidRPr="00006C40">
        <w:rPr>
          <w:rFonts w:ascii="Avenir Next LT Pro" w:hAnsi="Avenir Next LT Pro"/>
          <w:lang w:val="en-GB"/>
        </w:rPr>
        <w:t>relationnel</w:t>
      </w:r>
      <w:proofErr w:type="spellEnd"/>
      <w:r w:rsidR="00000899">
        <w:rPr>
          <w:rFonts w:ascii="Avenir Next LT Pro" w:hAnsi="Avenir Next LT Pro"/>
          <w:lang w:val="en-GB"/>
        </w:rPr>
        <w:t> </w:t>
      </w:r>
      <w:r w:rsidRPr="00006C40">
        <w:rPr>
          <w:rFonts w:ascii="Avenir Next LT Pro" w:hAnsi="Avenir Next LT Pro"/>
          <w:lang w:val="en-GB"/>
        </w:rPr>
        <w:t>;</w:t>
      </w:r>
      <w:proofErr w:type="gramEnd"/>
    </w:p>
    <w:p w14:paraId="0C55A23B" w14:textId="77777777" w:rsidR="00006C40" w:rsidRPr="00C5085C" w:rsidRDefault="00006C40" w:rsidP="00487A95">
      <w:pPr>
        <w:numPr>
          <w:ilvl w:val="0"/>
          <w:numId w:val="29"/>
        </w:numPr>
        <w:spacing w:after="0"/>
        <w:jc w:val="both"/>
        <w:rPr>
          <w:rFonts w:ascii="Avenir Next LT Pro" w:hAnsi="Avenir Next LT Pro"/>
          <w:lang w:val="fr-CH"/>
        </w:rPr>
      </w:pPr>
      <w:r w:rsidRPr="00006C40">
        <w:rPr>
          <w:rFonts w:ascii="Avenir Next LT Pro" w:hAnsi="Avenir Next LT Pro"/>
          <w:lang w:val="fr-CH"/>
        </w:rPr>
        <w:t xml:space="preserve">Maîtrise des applications </w:t>
      </w:r>
      <w:r w:rsidRPr="00C5085C">
        <w:rPr>
          <w:rFonts w:ascii="Avenir Next LT Pro" w:hAnsi="Avenir Next LT Pro"/>
          <w:lang w:val="fr-CH"/>
        </w:rPr>
        <w:t>informatiques et des technologies de l'information.</w:t>
      </w:r>
    </w:p>
    <w:p w14:paraId="4C3D5686" w14:textId="3E6C5DFC" w:rsidR="00006C40" w:rsidRPr="00C5085C" w:rsidRDefault="00006C40" w:rsidP="00487A95">
      <w:pPr>
        <w:numPr>
          <w:ilvl w:val="0"/>
          <w:numId w:val="29"/>
        </w:numPr>
        <w:spacing w:after="0"/>
        <w:jc w:val="both"/>
        <w:rPr>
          <w:rFonts w:ascii="Avenir Next LT Pro" w:hAnsi="Avenir Next LT Pro"/>
          <w:i/>
          <w:iCs/>
          <w:lang w:val="fr-CH"/>
        </w:rPr>
      </w:pPr>
      <w:r w:rsidRPr="00C5085C">
        <w:rPr>
          <w:rFonts w:ascii="Avenir Next LT Pro" w:hAnsi="Avenir Next LT Pro"/>
          <w:lang w:val="fr-CH"/>
        </w:rPr>
        <w:t xml:space="preserve">Excellentes compétences linguistiques en français (écrit, oral et lu) </w:t>
      </w:r>
      <w:r w:rsidR="00C0091E" w:rsidRPr="00C5085C">
        <w:rPr>
          <w:rFonts w:ascii="Avenir Next LT Pro" w:hAnsi="Avenir Next LT Pro"/>
          <w:i/>
          <w:iCs/>
          <w:lang w:val="fr-CH"/>
        </w:rPr>
        <w:t>[</w:t>
      </w:r>
      <w:r w:rsidR="00820602" w:rsidRPr="00C5085C">
        <w:rPr>
          <w:rFonts w:ascii="Avenir Next LT Pro" w:hAnsi="Avenir Next LT Pro"/>
          <w:i/>
          <w:iCs/>
          <w:lang w:val="fr-CH"/>
        </w:rPr>
        <w:t>La connaissance d</w:t>
      </w:r>
      <w:r w:rsidRPr="00C5085C">
        <w:rPr>
          <w:rFonts w:ascii="Avenir Next LT Pro" w:hAnsi="Avenir Next LT Pro"/>
          <w:i/>
          <w:iCs/>
          <w:lang w:val="fr-CH"/>
        </w:rPr>
        <w:t>es langues locales</w:t>
      </w:r>
      <w:r w:rsidR="00820602" w:rsidRPr="00C5085C">
        <w:rPr>
          <w:rFonts w:ascii="Avenir Next LT Pro" w:hAnsi="Avenir Next LT Pro"/>
          <w:i/>
          <w:iCs/>
          <w:lang w:val="fr-CH"/>
        </w:rPr>
        <w:t xml:space="preserve"> est un atout</w:t>
      </w:r>
      <w:r w:rsidR="00C0091E" w:rsidRPr="00C5085C">
        <w:rPr>
          <w:rFonts w:ascii="Avenir Next LT Pro" w:hAnsi="Avenir Next LT Pro"/>
          <w:i/>
          <w:iCs/>
          <w:lang w:val="fr-CH"/>
        </w:rPr>
        <w:t>]</w:t>
      </w:r>
      <w:r w:rsidRPr="00C5085C">
        <w:rPr>
          <w:rFonts w:ascii="Avenir Next LT Pro" w:hAnsi="Avenir Next LT Pro"/>
          <w:i/>
          <w:iCs/>
          <w:lang w:val="fr-CH"/>
        </w:rPr>
        <w:t>.</w:t>
      </w:r>
    </w:p>
    <w:p w14:paraId="623F146D" w14:textId="77777777" w:rsidR="00006C40" w:rsidRPr="00C5085C" w:rsidRDefault="00006C40" w:rsidP="0017778E">
      <w:pPr>
        <w:spacing w:after="0"/>
        <w:jc w:val="both"/>
        <w:rPr>
          <w:rFonts w:ascii="Avenir Next LT Pro" w:hAnsi="Avenir Next LT Pro"/>
          <w:b/>
          <w:lang w:val="fr-CH"/>
        </w:rPr>
      </w:pPr>
    </w:p>
    <w:p w14:paraId="22F0875E" w14:textId="77777777" w:rsidR="00006C40" w:rsidRPr="00C5085C" w:rsidRDefault="00006C40" w:rsidP="0017778E">
      <w:pPr>
        <w:spacing w:after="0"/>
        <w:jc w:val="both"/>
        <w:rPr>
          <w:rFonts w:ascii="Avenir Next LT Pro" w:hAnsi="Avenir Next LT Pro"/>
          <w:b/>
          <w:lang w:val="fr-CH"/>
        </w:rPr>
      </w:pPr>
    </w:p>
    <w:p w14:paraId="35D2254A" w14:textId="4EE1816C" w:rsidR="00CF58C9" w:rsidRPr="00C5085C" w:rsidRDefault="00CF58C9" w:rsidP="00B0540D">
      <w:pPr>
        <w:spacing w:after="120"/>
        <w:jc w:val="both"/>
        <w:rPr>
          <w:rFonts w:ascii="Avenir Next LT Pro" w:hAnsi="Avenir Next LT Pro"/>
          <w:b/>
          <w:lang w:val="fr-CH"/>
        </w:rPr>
      </w:pPr>
      <w:r w:rsidRPr="00C5085C">
        <w:rPr>
          <w:rFonts w:ascii="Avenir Next LT Pro" w:hAnsi="Avenir Next LT Pro"/>
          <w:b/>
        </w:rPr>
        <w:t xml:space="preserve">Chargé(e) </w:t>
      </w:r>
      <w:r w:rsidR="00A96B38" w:rsidRPr="00C5085C">
        <w:rPr>
          <w:rFonts w:ascii="Avenir Next LT Pro" w:hAnsi="Avenir Next LT Pro"/>
          <w:b/>
        </w:rPr>
        <w:t xml:space="preserve">des questions liées au Genre </w:t>
      </w:r>
      <w:r w:rsidRPr="00C5085C">
        <w:rPr>
          <w:rFonts w:ascii="Avenir Next LT Pro" w:hAnsi="Avenir Next LT Pro"/>
          <w:bCs/>
        </w:rPr>
        <w:t>(</w:t>
      </w:r>
      <w:r w:rsidR="000A3AE7" w:rsidRPr="00C5085C">
        <w:rPr>
          <w:rFonts w:ascii="Avenir Next LT Pro" w:hAnsi="Avenir Next LT Pro"/>
          <w:bCs/>
        </w:rPr>
        <w:t>si pertinent</w:t>
      </w:r>
      <w:r w:rsidRPr="00C5085C">
        <w:rPr>
          <w:rFonts w:ascii="Avenir Next LT Pro" w:hAnsi="Avenir Next LT Pro"/>
          <w:bCs/>
        </w:rPr>
        <w:t>)</w:t>
      </w:r>
    </w:p>
    <w:p w14:paraId="02D7BAAF" w14:textId="77777777" w:rsidR="00A952DA" w:rsidRPr="00C5085C" w:rsidRDefault="00A952DA" w:rsidP="00A952DA">
      <w:pPr>
        <w:spacing w:after="0"/>
        <w:jc w:val="both"/>
        <w:rPr>
          <w:rFonts w:ascii="Avenir Next LT Pro" w:hAnsi="Avenir Next LT Pro" w:cs="Arial"/>
          <w:noProof/>
          <w:u w:val="single"/>
          <w:lang w:val="fr-CH" w:eastAsia="zh-CN"/>
        </w:rPr>
      </w:pPr>
      <w:r w:rsidRPr="00C5085C">
        <w:rPr>
          <w:rFonts w:ascii="Avenir Next LT Pro" w:hAnsi="Avenir Next LT Pro" w:cs="Arial"/>
          <w:noProof/>
          <w:u w:val="single"/>
          <w:lang w:val="fr-CH" w:eastAsia="zh-CN"/>
        </w:rPr>
        <w:t>Généralités</w:t>
      </w:r>
    </w:p>
    <w:p w14:paraId="7E60F5E8" w14:textId="4E6C046A" w:rsidR="00DB2AA7" w:rsidRPr="00DB2AA7" w:rsidRDefault="00DB2AA7">
      <w:pPr>
        <w:spacing w:after="0"/>
        <w:jc w:val="both"/>
        <w:rPr>
          <w:rFonts w:ascii="Avenir Next LT Pro" w:hAnsi="Avenir Next LT Pro"/>
          <w:lang w:val="fr-CH"/>
        </w:rPr>
      </w:pPr>
      <w:r w:rsidRPr="00C5085C">
        <w:rPr>
          <w:rFonts w:ascii="Avenir Next LT Pro" w:hAnsi="Avenir Next LT Pro"/>
        </w:rPr>
        <w:t>Sous la supervision et l'orientation générales du (de la) Chef(</w:t>
      </w:r>
      <w:proofErr w:type="spellStart"/>
      <w:r w:rsidR="003E21F2" w:rsidRPr="00C5085C">
        <w:rPr>
          <w:rFonts w:ascii="Avenir Next LT Pro" w:hAnsi="Avenir Next LT Pro"/>
        </w:rPr>
        <w:t>f</w:t>
      </w:r>
      <w:r w:rsidRPr="00C5085C">
        <w:rPr>
          <w:rFonts w:ascii="Avenir Next LT Pro" w:hAnsi="Avenir Next LT Pro"/>
        </w:rPr>
        <w:t>e</w:t>
      </w:r>
      <w:proofErr w:type="spellEnd"/>
      <w:r w:rsidRPr="00C5085C">
        <w:rPr>
          <w:rFonts w:ascii="Avenir Next LT Pro" w:hAnsi="Avenir Next LT Pro"/>
        </w:rPr>
        <w:t xml:space="preserve">) de projet, le (la) chargé(e) </w:t>
      </w:r>
      <w:r w:rsidR="003E21F2" w:rsidRPr="00C5085C">
        <w:rPr>
          <w:rFonts w:ascii="Avenir Next LT Pro" w:hAnsi="Avenir Next LT Pro"/>
        </w:rPr>
        <w:t xml:space="preserve">du Genre est responsable </w:t>
      </w:r>
      <w:r w:rsidRPr="00C5085C">
        <w:rPr>
          <w:rFonts w:ascii="Avenir Next LT Pro" w:hAnsi="Avenir Next LT Pro"/>
        </w:rPr>
        <w:t>de la mise en œuvre du Plan d'action pour l'égalité des sexes. Le (la) titulaire travaille</w:t>
      </w:r>
      <w:r w:rsidR="00802EFE" w:rsidRPr="00C5085C">
        <w:rPr>
          <w:rFonts w:ascii="Avenir Next LT Pro" w:hAnsi="Avenir Next LT Pro"/>
        </w:rPr>
        <w:t>ra</w:t>
      </w:r>
      <w:r w:rsidRPr="00C5085C">
        <w:rPr>
          <w:rFonts w:ascii="Avenir Next LT Pro" w:hAnsi="Avenir Next LT Pro"/>
        </w:rPr>
        <w:t xml:space="preserve"> en étroite collaboration avec le (la) spécialiste du suivi et de l'évaluation, le (la) spécialiste des</w:t>
      </w:r>
      <w:r w:rsidRPr="00692E50">
        <w:rPr>
          <w:rFonts w:ascii="Avenir Next LT Pro" w:hAnsi="Avenir Next LT Pro"/>
        </w:rPr>
        <w:t xml:space="preserve"> mesures de sauvegarde </w:t>
      </w:r>
      <w:r w:rsidR="00C043DE">
        <w:rPr>
          <w:rFonts w:ascii="Avenir Next LT Pro" w:hAnsi="Avenir Next LT Pro"/>
        </w:rPr>
        <w:t xml:space="preserve">(le cas échéant) </w:t>
      </w:r>
      <w:r w:rsidRPr="00692E50">
        <w:rPr>
          <w:rFonts w:ascii="Avenir Next LT Pro" w:hAnsi="Avenir Next LT Pro"/>
        </w:rPr>
        <w:t>et le</w:t>
      </w:r>
      <w:r w:rsidR="00802EFE">
        <w:rPr>
          <w:rFonts w:ascii="Avenir Next LT Pro" w:hAnsi="Avenir Next LT Pro"/>
        </w:rPr>
        <w:t xml:space="preserve"> (la)</w:t>
      </w:r>
      <w:r w:rsidRPr="00692E50">
        <w:rPr>
          <w:rFonts w:ascii="Avenir Next LT Pro" w:hAnsi="Avenir Next LT Pro"/>
        </w:rPr>
        <w:t xml:space="preserve"> responsables de la communication sur les aspects </w:t>
      </w:r>
      <w:r w:rsidR="007C6ABD">
        <w:rPr>
          <w:rFonts w:ascii="Avenir Next LT Pro" w:hAnsi="Avenir Next LT Pro"/>
        </w:rPr>
        <w:t>liés à la</w:t>
      </w:r>
      <w:r w:rsidRPr="00692E50">
        <w:rPr>
          <w:rFonts w:ascii="Avenir Next LT Pro" w:hAnsi="Avenir Next LT Pro"/>
        </w:rPr>
        <w:t xml:space="preserve"> mise en œuvre</w:t>
      </w:r>
      <w:r w:rsidR="003A2827">
        <w:rPr>
          <w:rFonts w:ascii="Avenir Next LT Pro" w:hAnsi="Avenir Next LT Pro"/>
        </w:rPr>
        <w:t xml:space="preserve"> du projet</w:t>
      </w:r>
      <w:r w:rsidRPr="00692E50">
        <w:rPr>
          <w:rFonts w:ascii="Avenir Next LT Pro" w:hAnsi="Avenir Next LT Pro"/>
        </w:rPr>
        <w:t>, l'établissement de rapport</w:t>
      </w:r>
      <w:r w:rsidR="008847DC">
        <w:rPr>
          <w:rFonts w:ascii="Avenir Next LT Pro" w:hAnsi="Avenir Next LT Pro"/>
        </w:rPr>
        <w:t>age</w:t>
      </w:r>
      <w:r w:rsidRPr="00692E50">
        <w:rPr>
          <w:rFonts w:ascii="Avenir Next LT Pro" w:hAnsi="Avenir Next LT Pro"/>
        </w:rPr>
        <w:t>, du suivi</w:t>
      </w:r>
      <w:r w:rsidR="008847DC">
        <w:rPr>
          <w:rFonts w:ascii="Avenir Next LT Pro" w:hAnsi="Avenir Next LT Pro"/>
        </w:rPr>
        <w:t xml:space="preserve"> et d</w:t>
      </w:r>
      <w:r w:rsidRPr="00692E50">
        <w:rPr>
          <w:rFonts w:ascii="Avenir Next LT Pro" w:hAnsi="Avenir Next LT Pro"/>
        </w:rPr>
        <w:t>'évaluation et de la communication d</w:t>
      </w:r>
      <w:r w:rsidR="002B7B3C">
        <w:rPr>
          <w:rFonts w:ascii="Avenir Next LT Pro" w:hAnsi="Avenir Next LT Pro"/>
        </w:rPr>
        <w:t>u</w:t>
      </w:r>
      <w:r w:rsidRPr="00692E50">
        <w:rPr>
          <w:rFonts w:ascii="Avenir Next LT Pro" w:hAnsi="Avenir Next LT Pro"/>
        </w:rPr>
        <w:t xml:space="preserve"> projet. </w:t>
      </w:r>
    </w:p>
    <w:p w14:paraId="7B3549D3" w14:textId="77777777" w:rsidR="00DB2AA7" w:rsidRDefault="00DB2AA7" w:rsidP="00CF58C9">
      <w:pPr>
        <w:spacing w:after="0"/>
        <w:jc w:val="both"/>
        <w:rPr>
          <w:rFonts w:ascii="Avenir Next LT Pro" w:hAnsi="Avenir Next LT Pro"/>
          <w:lang w:val="fr-CH"/>
        </w:rPr>
      </w:pPr>
    </w:p>
    <w:p w14:paraId="6FA752DF" w14:textId="792BFAA4"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Tâches et responsabilités</w:t>
      </w:r>
    </w:p>
    <w:p w14:paraId="34DF4DD1" w14:textId="38368AAC" w:rsidR="002B7B3C" w:rsidRPr="00AF7D69" w:rsidRDefault="00AF7D69" w:rsidP="00487A95">
      <w:pPr>
        <w:numPr>
          <w:ilvl w:val="0"/>
          <w:numId w:val="30"/>
        </w:numPr>
        <w:spacing w:after="0"/>
        <w:jc w:val="both"/>
        <w:rPr>
          <w:rFonts w:ascii="Avenir Next LT Pro" w:hAnsi="Avenir Next LT Pro"/>
          <w:lang w:val="fr-CH"/>
        </w:rPr>
      </w:pPr>
      <w:r w:rsidRPr="00AF7D69">
        <w:rPr>
          <w:rFonts w:ascii="Avenir Next LT Pro" w:hAnsi="Avenir Next LT Pro"/>
          <w:lang w:val="fr-CH"/>
        </w:rPr>
        <w:t>Faire le suivi</w:t>
      </w:r>
      <w:r w:rsidR="002B7B3C" w:rsidRPr="00AF7D69">
        <w:rPr>
          <w:rFonts w:ascii="Avenir Next LT Pro" w:hAnsi="Avenir Next LT Pro"/>
          <w:lang w:val="fr-CH"/>
        </w:rPr>
        <w:t xml:space="preserve"> </w:t>
      </w:r>
      <w:r>
        <w:rPr>
          <w:rFonts w:ascii="Avenir Next LT Pro" w:hAnsi="Avenir Next LT Pro"/>
          <w:lang w:val="fr-CH"/>
        </w:rPr>
        <w:t>d</w:t>
      </w:r>
      <w:r w:rsidR="002B7B3C" w:rsidRPr="00AF7D69">
        <w:rPr>
          <w:rFonts w:ascii="Avenir Next LT Pro" w:hAnsi="Avenir Next LT Pro"/>
          <w:lang w:val="fr-CH"/>
        </w:rPr>
        <w:t>es progrès accomplis dans la mise en œuvre du plan d'action du projet en faveur de l'égalité des sexes, en veillant à ce que les objectifs soient pleinement atteints et que les exigences en matière d'établissement de rapports soient remplies ;</w:t>
      </w:r>
    </w:p>
    <w:p w14:paraId="75B91EFE" w14:textId="48B9358E" w:rsidR="002B7B3C" w:rsidRPr="00AF7D69" w:rsidRDefault="002B7B3C" w:rsidP="00487A95">
      <w:pPr>
        <w:numPr>
          <w:ilvl w:val="0"/>
          <w:numId w:val="30"/>
        </w:numPr>
        <w:spacing w:after="0"/>
        <w:jc w:val="both"/>
        <w:rPr>
          <w:rFonts w:ascii="Avenir Next LT Pro" w:hAnsi="Avenir Next LT Pro"/>
          <w:lang w:val="fr-CH"/>
        </w:rPr>
      </w:pPr>
      <w:r w:rsidRPr="00AF7D69">
        <w:rPr>
          <w:rFonts w:ascii="Avenir Next LT Pro" w:hAnsi="Avenir Next LT Pro"/>
          <w:lang w:val="fr-CH"/>
        </w:rPr>
        <w:lastRenderedPageBreak/>
        <w:t>Superviser, élaborer et coordonner la mise en œuvre de tou</w:t>
      </w:r>
      <w:r w:rsidR="0081017A">
        <w:rPr>
          <w:rFonts w:ascii="Avenir Next LT Pro" w:hAnsi="Avenir Next LT Pro"/>
          <w:lang w:val="fr-CH"/>
        </w:rPr>
        <w:t>te</w:t>
      </w:r>
      <w:r w:rsidRPr="00AF7D69">
        <w:rPr>
          <w:rFonts w:ascii="Avenir Next LT Pro" w:hAnsi="Avenir Next LT Pro"/>
          <w:lang w:val="fr-CH"/>
        </w:rPr>
        <w:t xml:space="preserve">s les </w:t>
      </w:r>
      <w:r w:rsidR="0081017A">
        <w:rPr>
          <w:rFonts w:ascii="Avenir Next LT Pro" w:hAnsi="Avenir Next LT Pro"/>
          <w:lang w:val="fr-CH"/>
        </w:rPr>
        <w:t>activités</w:t>
      </w:r>
      <w:r w:rsidRPr="00AF7D69">
        <w:rPr>
          <w:rFonts w:ascii="Avenir Next LT Pro" w:hAnsi="Avenir Next LT Pro"/>
          <w:lang w:val="fr-CH"/>
        </w:rPr>
        <w:t xml:space="preserve"> lié</w:t>
      </w:r>
      <w:r w:rsidR="0081017A">
        <w:rPr>
          <w:rFonts w:ascii="Avenir Next LT Pro" w:hAnsi="Avenir Next LT Pro"/>
          <w:lang w:val="fr-CH"/>
        </w:rPr>
        <w:t>e</w:t>
      </w:r>
      <w:r w:rsidRPr="00AF7D69">
        <w:rPr>
          <w:rFonts w:ascii="Avenir Next LT Pro" w:hAnsi="Avenir Next LT Pro"/>
          <w:lang w:val="fr-CH"/>
        </w:rPr>
        <w:t>s à l'égalité des sexes ;</w:t>
      </w:r>
    </w:p>
    <w:p w14:paraId="59E6EED5" w14:textId="77777777" w:rsidR="002B7B3C" w:rsidRPr="00AF7D69" w:rsidRDefault="002B7B3C" w:rsidP="00487A95">
      <w:pPr>
        <w:numPr>
          <w:ilvl w:val="0"/>
          <w:numId w:val="30"/>
        </w:numPr>
        <w:spacing w:after="0"/>
        <w:jc w:val="both"/>
        <w:rPr>
          <w:rFonts w:ascii="Avenir Next LT Pro" w:hAnsi="Avenir Next LT Pro"/>
          <w:lang w:val="fr-CH"/>
        </w:rPr>
      </w:pPr>
      <w:r w:rsidRPr="00AF7D69">
        <w:rPr>
          <w:rFonts w:ascii="Avenir Next LT Pro" w:hAnsi="Avenir Next LT Pro"/>
          <w:lang w:val="fr-CH"/>
        </w:rPr>
        <w:t>Examiner chaque année le plan d'action pour l'égalité des sexes, et mettre à jour et réviser les plans de gestion correspondants si nécessaire ;</w:t>
      </w:r>
    </w:p>
    <w:p w14:paraId="0B654543" w14:textId="68FDBAB1" w:rsidR="002B7B3C" w:rsidRPr="00AF7D69" w:rsidRDefault="002B7B3C" w:rsidP="00487A95">
      <w:pPr>
        <w:numPr>
          <w:ilvl w:val="0"/>
          <w:numId w:val="30"/>
        </w:numPr>
        <w:spacing w:after="0"/>
        <w:jc w:val="both"/>
        <w:rPr>
          <w:rFonts w:ascii="Avenir Next LT Pro" w:hAnsi="Avenir Next LT Pro"/>
          <w:lang w:val="fr-CH"/>
        </w:rPr>
      </w:pPr>
      <w:r w:rsidRPr="00AF7D69">
        <w:rPr>
          <w:rFonts w:ascii="Avenir Next LT Pro" w:hAnsi="Avenir Next LT Pro"/>
          <w:lang w:val="fr-CH"/>
        </w:rPr>
        <w:t xml:space="preserve">Travailler avec </w:t>
      </w:r>
      <w:r w:rsidR="00CC7E79">
        <w:rPr>
          <w:rFonts w:ascii="Avenir Next LT Pro" w:hAnsi="Avenir Next LT Pro"/>
          <w:lang w:val="fr-CH"/>
        </w:rPr>
        <w:t>le (la) Chargé(e)</w:t>
      </w:r>
      <w:r w:rsidRPr="00AF7D69">
        <w:rPr>
          <w:rFonts w:ascii="Avenir Next LT Pro" w:hAnsi="Avenir Next LT Pro"/>
          <w:lang w:val="fr-CH"/>
        </w:rPr>
        <w:t xml:space="preserve"> de suivi et d'évaluation et </w:t>
      </w:r>
      <w:r w:rsidR="00CC7E79">
        <w:rPr>
          <w:rFonts w:ascii="Avenir Next LT Pro" w:hAnsi="Avenir Next LT Pro"/>
          <w:lang w:val="fr-CH"/>
        </w:rPr>
        <w:t>le (la) Chargé(e)</w:t>
      </w:r>
      <w:r w:rsidR="00CC7E79" w:rsidRPr="00AF7D69">
        <w:rPr>
          <w:rFonts w:ascii="Avenir Next LT Pro" w:hAnsi="Avenir Next LT Pro"/>
          <w:lang w:val="fr-CH"/>
        </w:rPr>
        <w:t xml:space="preserve"> </w:t>
      </w:r>
      <w:r w:rsidR="00DD33A7">
        <w:rPr>
          <w:rFonts w:ascii="Avenir Next LT Pro" w:hAnsi="Avenir Next LT Pro"/>
          <w:lang w:val="fr-CH"/>
        </w:rPr>
        <w:t>des sa</w:t>
      </w:r>
      <w:r w:rsidRPr="00AF7D69">
        <w:rPr>
          <w:rFonts w:ascii="Avenir Next LT Pro" w:hAnsi="Avenir Next LT Pro"/>
          <w:lang w:val="fr-CH"/>
        </w:rPr>
        <w:t>uvegardes pour veiller à ce que les rapports, le suivi et l'évaluation tiennent pleinement compte des questions de genre du projet ;</w:t>
      </w:r>
    </w:p>
    <w:p w14:paraId="098782DD" w14:textId="77777777" w:rsidR="00F4315C" w:rsidRDefault="00F4315C" w:rsidP="0017778E">
      <w:pPr>
        <w:spacing w:after="0"/>
        <w:jc w:val="both"/>
        <w:rPr>
          <w:rFonts w:ascii="Avenir Next LT Pro" w:hAnsi="Avenir Next LT Pro"/>
          <w:lang w:val="fr-CH"/>
        </w:rPr>
      </w:pPr>
    </w:p>
    <w:p w14:paraId="4763CAF7" w14:textId="77777777"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 xml:space="preserve">Compétences et expertise requises </w:t>
      </w:r>
    </w:p>
    <w:p w14:paraId="1B35CE8D" w14:textId="08E8464F" w:rsidR="004872E5" w:rsidRPr="004B0CFD" w:rsidRDefault="004872E5" w:rsidP="00487A95">
      <w:pPr>
        <w:numPr>
          <w:ilvl w:val="0"/>
          <w:numId w:val="34"/>
        </w:numPr>
        <w:spacing w:after="0"/>
        <w:jc w:val="both"/>
        <w:rPr>
          <w:rFonts w:ascii="Avenir Next LT Pro" w:hAnsi="Avenir Next LT Pro"/>
          <w:lang w:val="fr-CH"/>
        </w:rPr>
      </w:pPr>
      <w:r w:rsidRPr="004B0CFD">
        <w:rPr>
          <w:rFonts w:ascii="Avenir Next LT Pro" w:hAnsi="Avenir Next LT Pro"/>
          <w:lang w:val="fr-CH"/>
        </w:rPr>
        <w:t>Master en études de genre, genre et développement, environnement, développement durable ou dans un domaine connexe.</w:t>
      </w:r>
    </w:p>
    <w:p w14:paraId="7A41B3FC" w14:textId="1F340149" w:rsidR="004872E5" w:rsidRPr="004872E5" w:rsidRDefault="004872E5" w:rsidP="00487A95">
      <w:pPr>
        <w:numPr>
          <w:ilvl w:val="0"/>
          <w:numId w:val="34"/>
        </w:numPr>
        <w:spacing w:after="0"/>
        <w:jc w:val="both"/>
        <w:rPr>
          <w:rFonts w:ascii="Avenir Next LT Pro" w:hAnsi="Avenir Next LT Pro"/>
          <w:lang w:val="fr-CH"/>
        </w:rPr>
      </w:pPr>
      <w:r w:rsidRPr="004872E5">
        <w:rPr>
          <w:rFonts w:ascii="Avenir Next LT Pro" w:hAnsi="Avenir Next LT Pro"/>
          <w:lang w:val="fr-CH"/>
        </w:rPr>
        <w:t>Compréhension avérée des questions liées au genre et au développement durable</w:t>
      </w:r>
      <w:r w:rsidR="004B0CFD">
        <w:rPr>
          <w:rFonts w:ascii="Avenir Next LT Pro" w:hAnsi="Avenir Next LT Pro"/>
          <w:lang w:val="fr-CH"/>
        </w:rPr>
        <w:t> </w:t>
      </w:r>
      <w:r w:rsidRPr="004872E5">
        <w:rPr>
          <w:rFonts w:ascii="Avenir Next LT Pro" w:hAnsi="Avenir Next LT Pro"/>
          <w:lang w:val="fr-CH"/>
        </w:rPr>
        <w:t>; au moins 5 ans d'expérience pratique dans les domaines de l'intégration de la dimension d</w:t>
      </w:r>
      <w:r w:rsidR="004B0CFD">
        <w:rPr>
          <w:rFonts w:ascii="Avenir Next LT Pro" w:hAnsi="Avenir Next LT Pro"/>
          <w:lang w:val="fr-CH"/>
        </w:rPr>
        <w:t>u</w:t>
      </w:r>
      <w:r w:rsidRPr="004872E5">
        <w:rPr>
          <w:rFonts w:ascii="Avenir Next LT Pro" w:hAnsi="Avenir Next LT Pro"/>
          <w:lang w:val="fr-CH"/>
        </w:rPr>
        <w:t xml:space="preserve"> </w:t>
      </w:r>
      <w:r w:rsidR="004B0CFD">
        <w:rPr>
          <w:rFonts w:ascii="Avenir Next LT Pro" w:hAnsi="Avenir Next LT Pro"/>
          <w:lang w:val="fr-CH"/>
        </w:rPr>
        <w:t>G</w:t>
      </w:r>
      <w:r w:rsidRPr="004872E5">
        <w:rPr>
          <w:rFonts w:ascii="Avenir Next LT Pro" w:hAnsi="Avenir Next LT Pro"/>
          <w:lang w:val="fr-CH"/>
        </w:rPr>
        <w:t>enre, de l'autonomisation des femmes et du développement durable dans le pays/la région/le domaine d'activité concerné ;</w:t>
      </w:r>
    </w:p>
    <w:p w14:paraId="45A2D6AA" w14:textId="77777777" w:rsidR="004872E5" w:rsidRPr="004872E5" w:rsidRDefault="004872E5" w:rsidP="00487A95">
      <w:pPr>
        <w:numPr>
          <w:ilvl w:val="0"/>
          <w:numId w:val="34"/>
        </w:numPr>
        <w:spacing w:after="0"/>
        <w:jc w:val="both"/>
        <w:rPr>
          <w:rFonts w:ascii="Avenir Next LT Pro" w:hAnsi="Avenir Next LT Pro"/>
          <w:lang w:val="fr-CH"/>
        </w:rPr>
      </w:pPr>
      <w:r w:rsidRPr="004872E5">
        <w:rPr>
          <w:rFonts w:ascii="Avenir Next LT Pro" w:hAnsi="Avenir Next LT Pro"/>
          <w:lang w:val="fr-CH"/>
        </w:rPr>
        <w:t>Expérience avérée des questions de genre dans le pays/la région/le domaine d'activité</w:t>
      </w:r>
    </w:p>
    <w:p w14:paraId="13120503" w14:textId="77777777" w:rsidR="004872E5" w:rsidRPr="004872E5" w:rsidRDefault="004872E5" w:rsidP="00487A95">
      <w:pPr>
        <w:numPr>
          <w:ilvl w:val="0"/>
          <w:numId w:val="34"/>
        </w:numPr>
        <w:spacing w:after="0"/>
        <w:jc w:val="both"/>
        <w:rPr>
          <w:rFonts w:ascii="Avenir Next LT Pro" w:hAnsi="Avenir Next LT Pro"/>
          <w:lang w:val="fr-CH"/>
        </w:rPr>
      </w:pPr>
      <w:r w:rsidRPr="004872E5">
        <w:rPr>
          <w:rFonts w:ascii="Avenir Next LT Pro" w:hAnsi="Avenir Next LT Pro"/>
          <w:lang w:val="fr-CH"/>
        </w:rPr>
        <w:t>Compréhension avérée des liens entre le développement durable, les questions sociales et les questions de genre ;</w:t>
      </w:r>
    </w:p>
    <w:p w14:paraId="355701FB" w14:textId="77777777" w:rsidR="004872E5" w:rsidRPr="004872E5" w:rsidRDefault="004872E5" w:rsidP="00487A95">
      <w:pPr>
        <w:numPr>
          <w:ilvl w:val="0"/>
          <w:numId w:val="34"/>
        </w:numPr>
        <w:spacing w:after="0"/>
        <w:jc w:val="both"/>
        <w:rPr>
          <w:rFonts w:ascii="Avenir Next LT Pro" w:hAnsi="Avenir Next LT Pro"/>
          <w:lang w:val="fr-CH"/>
        </w:rPr>
      </w:pPr>
      <w:r w:rsidRPr="004872E5">
        <w:rPr>
          <w:rFonts w:ascii="Avenir Next LT Pro" w:hAnsi="Avenir Next LT Pro"/>
          <w:lang w:val="fr-CH"/>
        </w:rPr>
        <w:t>Expérience dans le renforcement des capacités sensibles au genre ;</w:t>
      </w:r>
    </w:p>
    <w:p w14:paraId="65F3D55F" w14:textId="77777777" w:rsidR="004872E5" w:rsidRPr="004872E5" w:rsidRDefault="004872E5" w:rsidP="00487A95">
      <w:pPr>
        <w:numPr>
          <w:ilvl w:val="0"/>
          <w:numId w:val="34"/>
        </w:numPr>
        <w:spacing w:after="0"/>
        <w:jc w:val="both"/>
        <w:rPr>
          <w:rFonts w:ascii="Avenir Next LT Pro" w:hAnsi="Avenir Next LT Pro"/>
          <w:lang w:val="fr-CH"/>
        </w:rPr>
      </w:pPr>
      <w:r w:rsidRPr="004872E5">
        <w:rPr>
          <w:rFonts w:ascii="Avenir Next LT Pro" w:hAnsi="Avenir Next LT Pro"/>
          <w:lang w:val="fr-CH"/>
        </w:rPr>
        <w:t>Une expérience de l'élaboration de projets et des méthodes de gestion axée sur les résultats est fortement souhaitée ou exigée.</w:t>
      </w:r>
    </w:p>
    <w:p w14:paraId="564D7986" w14:textId="77777777" w:rsidR="004872E5" w:rsidRPr="002D3192" w:rsidRDefault="004872E5" w:rsidP="00487A95">
      <w:pPr>
        <w:numPr>
          <w:ilvl w:val="0"/>
          <w:numId w:val="34"/>
        </w:numPr>
        <w:spacing w:after="0"/>
        <w:jc w:val="both"/>
        <w:rPr>
          <w:rFonts w:ascii="Avenir Next LT Pro" w:hAnsi="Avenir Next LT Pro"/>
          <w:lang w:val="fr-CH"/>
        </w:rPr>
      </w:pPr>
      <w:r w:rsidRPr="002D3192">
        <w:rPr>
          <w:rFonts w:ascii="Avenir Next LT Pro" w:hAnsi="Avenir Next LT Pro"/>
          <w:lang w:val="fr-CH"/>
        </w:rPr>
        <w:t xml:space="preserve">Excellentes compétences en matière d'analyse, de rédaction, de plaidoyer, de présentation et de communication. </w:t>
      </w:r>
    </w:p>
    <w:p w14:paraId="562BE122" w14:textId="5C2AE0D8" w:rsidR="00327D5E" w:rsidRPr="00C5085C" w:rsidRDefault="00327D5E" w:rsidP="00487A95">
      <w:pPr>
        <w:numPr>
          <w:ilvl w:val="0"/>
          <w:numId w:val="34"/>
        </w:numPr>
        <w:spacing w:after="0"/>
        <w:jc w:val="both"/>
        <w:rPr>
          <w:rFonts w:ascii="Avenir Next LT Pro" w:hAnsi="Avenir Next LT Pro"/>
          <w:lang w:val="fr-CH"/>
        </w:rPr>
      </w:pPr>
      <w:r w:rsidRPr="00C5085C">
        <w:rPr>
          <w:rFonts w:ascii="Avenir Next LT Pro" w:hAnsi="Avenir Next LT Pro"/>
          <w:lang w:val="fr-CH"/>
        </w:rPr>
        <w:t xml:space="preserve">Excellentes compétences linguistiques en français (écrit, oral et lu) </w:t>
      </w:r>
      <w:r w:rsidRPr="00C5085C">
        <w:rPr>
          <w:rFonts w:ascii="Avenir Next LT Pro" w:hAnsi="Avenir Next LT Pro"/>
          <w:i/>
          <w:iCs/>
          <w:lang w:val="fr-CH"/>
        </w:rPr>
        <w:t>[La connaissance des langues locales est un atout].</w:t>
      </w:r>
    </w:p>
    <w:p w14:paraId="196FE42D" w14:textId="77777777" w:rsidR="00F4315C" w:rsidRPr="00C5085C" w:rsidRDefault="00F4315C" w:rsidP="0017778E">
      <w:pPr>
        <w:spacing w:after="0"/>
        <w:jc w:val="both"/>
        <w:rPr>
          <w:rFonts w:ascii="Avenir Next LT Pro" w:hAnsi="Avenir Next LT Pro"/>
          <w:b/>
          <w:lang w:val="fr-CH"/>
        </w:rPr>
      </w:pPr>
    </w:p>
    <w:p w14:paraId="243F0978" w14:textId="77777777" w:rsidR="00E42E4B" w:rsidRPr="00C5085C" w:rsidRDefault="00E42E4B" w:rsidP="0017778E">
      <w:pPr>
        <w:spacing w:after="0"/>
        <w:jc w:val="both"/>
        <w:rPr>
          <w:rFonts w:ascii="Avenir Next LT Pro" w:hAnsi="Avenir Next LT Pro"/>
          <w:b/>
          <w:lang w:val="fr-CH"/>
        </w:rPr>
      </w:pPr>
    </w:p>
    <w:p w14:paraId="278AE86C" w14:textId="68F399BC" w:rsidR="00584DCD" w:rsidRPr="00C5085C" w:rsidRDefault="00584DCD" w:rsidP="00AB6B79">
      <w:pPr>
        <w:spacing w:after="120"/>
        <w:jc w:val="both"/>
        <w:rPr>
          <w:rFonts w:ascii="Avenir Next LT Pro" w:hAnsi="Avenir Next LT Pro"/>
          <w:b/>
          <w:lang w:val="fr-CH"/>
        </w:rPr>
      </w:pPr>
      <w:r w:rsidRPr="00C5085C">
        <w:rPr>
          <w:rFonts w:ascii="Avenir Next LT Pro" w:hAnsi="Avenir Next LT Pro"/>
          <w:b/>
        </w:rPr>
        <w:t>Chargé</w:t>
      </w:r>
      <w:r w:rsidR="00A46366" w:rsidRPr="00C5085C">
        <w:rPr>
          <w:rFonts w:ascii="Avenir Next LT Pro" w:hAnsi="Avenir Next LT Pro"/>
          <w:b/>
        </w:rPr>
        <w:t>(e)</w:t>
      </w:r>
      <w:r w:rsidRPr="00C5085C">
        <w:rPr>
          <w:rFonts w:ascii="Avenir Next LT Pro" w:hAnsi="Avenir Next LT Pro"/>
          <w:b/>
        </w:rPr>
        <w:t xml:space="preserve"> de sauvegardes </w:t>
      </w:r>
      <w:r w:rsidRPr="00C5085C">
        <w:rPr>
          <w:rFonts w:ascii="Avenir Next LT Pro" w:hAnsi="Avenir Next LT Pro"/>
          <w:bCs/>
        </w:rPr>
        <w:t>(si pertinent)</w:t>
      </w:r>
    </w:p>
    <w:p w14:paraId="16531A95" w14:textId="77777777" w:rsidR="00A952DA" w:rsidRPr="002B1082" w:rsidRDefault="00A952DA" w:rsidP="00A952DA">
      <w:pPr>
        <w:spacing w:after="0"/>
        <w:jc w:val="both"/>
        <w:rPr>
          <w:rFonts w:ascii="Avenir Next LT Pro" w:hAnsi="Avenir Next LT Pro" w:cs="Arial"/>
          <w:noProof/>
          <w:u w:val="single"/>
          <w:lang w:val="fr-CH" w:eastAsia="zh-CN"/>
        </w:rPr>
      </w:pPr>
      <w:r w:rsidRPr="00C5085C">
        <w:rPr>
          <w:rFonts w:ascii="Avenir Next LT Pro" w:hAnsi="Avenir Next LT Pro" w:cs="Arial"/>
          <w:noProof/>
          <w:u w:val="single"/>
          <w:lang w:val="fr-CH" w:eastAsia="zh-CN"/>
        </w:rPr>
        <w:t>Généralités</w:t>
      </w:r>
    </w:p>
    <w:p w14:paraId="4BC68F64" w14:textId="377F614A" w:rsidR="00B258AA" w:rsidRPr="00B258AA" w:rsidRDefault="00B258AA">
      <w:pPr>
        <w:spacing w:after="0"/>
        <w:jc w:val="both"/>
        <w:rPr>
          <w:rFonts w:ascii="Avenir Next LT Pro" w:hAnsi="Avenir Next LT Pro"/>
          <w:lang w:val="fr-CH"/>
        </w:rPr>
      </w:pPr>
      <w:r w:rsidRPr="00692E50">
        <w:rPr>
          <w:rFonts w:ascii="Avenir Next LT Pro" w:hAnsi="Avenir Next LT Pro"/>
        </w:rPr>
        <w:t xml:space="preserve">Sous la supervision et la direction générales du chef de projet, le (la) </w:t>
      </w:r>
      <w:r w:rsidR="0051454A">
        <w:rPr>
          <w:rFonts w:ascii="Avenir Next LT Pro" w:hAnsi="Avenir Next LT Pro"/>
        </w:rPr>
        <w:t>C</w:t>
      </w:r>
      <w:r w:rsidRPr="00692E50">
        <w:rPr>
          <w:rFonts w:ascii="Avenir Next LT Pro" w:hAnsi="Avenir Next LT Pro"/>
        </w:rPr>
        <w:t xml:space="preserve">hargé(e) </w:t>
      </w:r>
      <w:r w:rsidR="00336320">
        <w:rPr>
          <w:rFonts w:ascii="Avenir Next LT Pro" w:hAnsi="Avenir Next LT Pro"/>
        </w:rPr>
        <w:t xml:space="preserve">de sauvegardes sera responsable </w:t>
      </w:r>
      <w:r w:rsidRPr="00692E50">
        <w:rPr>
          <w:rFonts w:ascii="Avenir Next LT Pro" w:hAnsi="Avenir Next LT Pro"/>
        </w:rPr>
        <w:t xml:space="preserve">de la mise en œuvre du plan/cadre de gestion environnementale et sociale du projet, des autres instruments du SES et du respect général </w:t>
      </w:r>
      <w:r w:rsidRPr="00C0091E">
        <w:rPr>
          <w:rFonts w:ascii="Avenir Next LT Pro" w:hAnsi="Avenir Next LT Pro"/>
        </w:rPr>
        <w:t xml:space="preserve">de la politique </w:t>
      </w:r>
      <w:r w:rsidR="00C0091E" w:rsidRPr="00C0091E">
        <w:rPr>
          <w:rFonts w:ascii="Avenir Next LT Pro" w:hAnsi="Avenir Next LT Pro"/>
        </w:rPr>
        <w:t>de sauvegardes sociales et environnementales</w:t>
      </w:r>
      <w:r w:rsidRPr="00C0091E">
        <w:rPr>
          <w:rFonts w:ascii="Avenir Next LT Pro" w:hAnsi="Avenir Next LT Pro"/>
        </w:rPr>
        <w:t xml:space="preserve"> </w:t>
      </w:r>
      <w:r w:rsidR="00C0091E" w:rsidRPr="00C0091E">
        <w:rPr>
          <w:rFonts w:ascii="Avenir Next LT Pro" w:hAnsi="Avenir Next LT Pro"/>
        </w:rPr>
        <w:t>(</w:t>
      </w:r>
      <w:r w:rsidRPr="00C0091E">
        <w:rPr>
          <w:rFonts w:ascii="Avenir Next LT Pro" w:hAnsi="Avenir Next LT Pro"/>
        </w:rPr>
        <w:t>SES</w:t>
      </w:r>
      <w:r w:rsidR="00C0091E" w:rsidRPr="00C0091E">
        <w:rPr>
          <w:rFonts w:ascii="Avenir Next LT Pro" w:hAnsi="Avenir Next LT Pro"/>
        </w:rPr>
        <w:t>)</w:t>
      </w:r>
      <w:r w:rsidRPr="00C0091E">
        <w:rPr>
          <w:rFonts w:ascii="Avenir Next LT Pro" w:hAnsi="Avenir Next LT Pro"/>
        </w:rPr>
        <w:t xml:space="preserve"> et des autres cadres</w:t>
      </w:r>
      <w:r w:rsidRPr="00692E50">
        <w:rPr>
          <w:rFonts w:ascii="Avenir Next LT Pro" w:hAnsi="Avenir Next LT Pro"/>
        </w:rPr>
        <w:t xml:space="preserve"> juridiques et institutionnels applicables (y compris la législation nationale). Le (la) </w:t>
      </w:r>
      <w:r w:rsidR="0051454A">
        <w:rPr>
          <w:rFonts w:ascii="Avenir Next LT Pro" w:hAnsi="Avenir Next LT Pro"/>
        </w:rPr>
        <w:t>C</w:t>
      </w:r>
      <w:r w:rsidR="0051454A" w:rsidRPr="00692E50">
        <w:rPr>
          <w:rFonts w:ascii="Avenir Next LT Pro" w:hAnsi="Avenir Next LT Pro"/>
        </w:rPr>
        <w:t xml:space="preserve">hargé(e) </w:t>
      </w:r>
      <w:r w:rsidR="0051454A">
        <w:rPr>
          <w:rFonts w:ascii="Avenir Next LT Pro" w:hAnsi="Avenir Next LT Pro"/>
        </w:rPr>
        <w:t xml:space="preserve">de sauvegardes </w:t>
      </w:r>
      <w:r w:rsidRPr="00692E50">
        <w:rPr>
          <w:rFonts w:ascii="Avenir Next LT Pro" w:hAnsi="Avenir Next LT Pro"/>
        </w:rPr>
        <w:t>travaille</w:t>
      </w:r>
      <w:r w:rsidR="0051454A">
        <w:rPr>
          <w:rFonts w:ascii="Avenir Next LT Pro" w:hAnsi="Avenir Next LT Pro"/>
        </w:rPr>
        <w:t>ra</w:t>
      </w:r>
      <w:r w:rsidRPr="00692E50">
        <w:rPr>
          <w:rFonts w:ascii="Avenir Next LT Pro" w:hAnsi="Avenir Next LT Pro"/>
        </w:rPr>
        <w:t xml:space="preserve"> en étroite collaboration avec le (la) chargé(e) du suivi et de l'évaluation, </w:t>
      </w:r>
      <w:r w:rsidR="00D108A2" w:rsidRPr="00692E50">
        <w:rPr>
          <w:rFonts w:ascii="Avenir Next LT Pro" w:hAnsi="Avenir Next LT Pro"/>
        </w:rPr>
        <w:t xml:space="preserve">le (la) chargé(e) </w:t>
      </w:r>
      <w:r w:rsidR="00D108A2">
        <w:rPr>
          <w:rFonts w:ascii="Avenir Next LT Pro" w:hAnsi="Avenir Next LT Pro"/>
        </w:rPr>
        <w:t xml:space="preserve">des questions liées au Genre </w:t>
      </w:r>
      <w:r w:rsidRPr="00692E50">
        <w:rPr>
          <w:rFonts w:ascii="Avenir Next LT Pro" w:hAnsi="Avenir Next LT Pro"/>
        </w:rPr>
        <w:t>et autres</w:t>
      </w:r>
      <w:r w:rsidR="008466D9">
        <w:rPr>
          <w:rFonts w:ascii="Avenir Next LT Pro" w:hAnsi="Avenir Next LT Pro"/>
        </w:rPr>
        <w:t xml:space="preserve">, </w:t>
      </w:r>
      <w:r w:rsidRPr="00692E50">
        <w:rPr>
          <w:rFonts w:ascii="Avenir Next LT Pro" w:hAnsi="Avenir Next LT Pro"/>
        </w:rPr>
        <w:t>sur les aspects connexes de l'établissement de rapports, du suivi, de l'évaluation et de la communication d</w:t>
      </w:r>
      <w:r w:rsidR="009575B5">
        <w:rPr>
          <w:rFonts w:ascii="Avenir Next LT Pro" w:hAnsi="Avenir Next LT Pro"/>
        </w:rPr>
        <w:t>u</w:t>
      </w:r>
      <w:r w:rsidRPr="00692E50">
        <w:rPr>
          <w:rFonts w:ascii="Avenir Next LT Pro" w:hAnsi="Avenir Next LT Pro"/>
        </w:rPr>
        <w:t xml:space="preserve"> projet. </w:t>
      </w:r>
    </w:p>
    <w:p w14:paraId="03D02D34" w14:textId="77777777" w:rsidR="00584DCD" w:rsidRPr="007101BB" w:rsidRDefault="00584DCD" w:rsidP="00584DCD">
      <w:pPr>
        <w:spacing w:after="0"/>
        <w:jc w:val="both"/>
        <w:rPr>
          <w:rFonts w:ascii="Avenir Next LT Pro" w:hAnsi="Avenir Next LT Pro"/>
          <w:lang w:val="fr-CD"/>
        </w:rPr>
      </w:pPr>
    </w:p>
    <w:p w14:paraId="517B876B" w14:textId="77777777"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Tâches et responsabilités</w:t>
      </w:r>
    </w:p>
    <w:p w14:paraId="1F9D94C1" w14:textId="1BAB19B4" w:rsidR="0048165E" w:rsidRPr="001A6134" w:rsidRDefault="002D6A69" w:rsidP="00487A95">
      <w:pPr>
        <w:numPr>
          <w:ilvl w:val="0"/>
          <w:numId w:val="30"/>
        </w:numPr>
        <w:spacing w:after="0"/>
        <w:jc w:val="both"/>
        <w:rPr>
          <w:rFonts w:ascii="Avenir Next LT Pro" w:hAnsi="Avenir Next LT Pro"/>
          <w:lang w:val="fr-CH"/>
        </w:rPr>
      </w:pPr>
      <w:r w:rsidRPr="001A6134">
        <w:rPr>
          <w:rFonts w:ascii="Avenir Next LT Pro" w:hAnsi="Avenir Next LT Pro"/>
          <w:lang w:val="fr-CH"/>
        </w:rPr>
        <w:t>Faire le suivi d</w:t>
      </w:r>
      <w:r w:rsidR="0048165E" w:rsidRPr="001A6134">
        <w:rPr>
          <w:rFonts w:ascii="Avenir Next LT Pro" w:hAnsi="Avenir Next LT Pro"/>
          <w:lang w:val="fr-CH"/>
        </w:rPr>
        <w:t xml:space="preserve">es progrès accomplis dans l'élaboration et la mise en œuvre </w:t>
      </w:r>
      <w:r w:rsidR="00E0234D" w:rsidRPr="001A6134">
        <w:rPr>
          <w:rFonts w:ascii="Avenir Next LT Pro" w:hAnsi="Avenir Next LT Pro"/>
          <w:lang w:val="fr-CH"/>
        </w:rPr>
        <w:t xml:space="preserve">du </w:t>
      </w:r>
      <w:r w:rsidR="0048165E" w:rsidRPr="001A6134">
        <w:rPr>
          <w:rFonts w:ascii="Avenir Next LT Pro" w:hAnsi="Avenir Next LT Pro"/>
          <w:lang w:val="fr-CH"/>
        </w:rPr>
        <w:t xml:space="preserve">PGES/ESMF </w:t>
      </w:r>
      <w:r w:rsidR="00E0234D" w:rsidRPr="001A6134">
        <w:rPr>
          <w:rFonts w:ascii="Avenir Next LT Pro" w:hAnsi="Avenir Next LT Pro"/>
          <w:lang w:val="fr-CH"/>
        </w:rPr>
        <w:t xml:space="preserve">du projet </w:t>
      </w:r>
      <w:r w:rsidR="0048165E" w:rsidRPr="001A6134">
        <w:rPr>
          <w:rFonts w:ascii="Avenir Next LT Pro" w:hAnsi="Avenir Next LT Pro"/>
          <w:lang w:val="fr-CH"/>
        </w:rPr>
        <w:t>en veillant à ce que la politique SES soit pleinement respectée et que les exigences en matière de rapports soient remplies ;</w:t>
      </w:r>
    </w:p>
    <w:p w14:paraId="7B607EEF" w14:textId="77777777" w:rsidR="0048165E" w:rsidRPr="001A6134" w:rsidRDefault="0048165E" w:rsidP="00487A95">
      <w:pPr>
        <w:numPr>
          <w:ilvl w:val="0"/>
          <w:numId w:val="30"/>
        </w:numPr>
        <w:spacing w:after="0"/>
        <w:jc w:val="both"/>
        <w:rPr>
          <w:rFonts w:ascii="Avenir Next LT Pro" w:hAnsi="Avenir Next LT Pro"/>
          <w:lang w:val="fr-CH"/>
        </w:rPr>
      </w:pPr>
      <w:r w:rsidRPr="001A6134">
        <w:rPr>
          <w:rFonts w:ascii="Avenir Next LT Pro" w:hAnsi="Avenir Next LT Pro"/>
          <w:lang w:val="fr-CH"/>
        </w:rPr>
        <w:t>Gérer/élaborer/coordonner tous les plans liés au SES et leur mise en œuvre ;</w:t>
      </w:r>
    </w:p>
    <w:p w14:paraId="3FF29A53" w14:textId="2EC9D076" w:rsidR="0048165E" w:rsidRPr="001A6134" w:rsidRDefault="0048165E" w:rsidP="00487A95">
      <w:pPr>
        <w:numPr>
          <w:ilvl w:val="0"/>
          <w:numId w:val="30"/>
        </w:numPr>
        <w:spacing w:after="0"/>
        <w:jc w:val="both"/>
        <w:rPr>
          <w:rFonts w:ascii="Avenir Next LT Pro" w:hAnsi="Avenir Next LT Pro"/>
          <w:lang w:val="fr-CH"/>
        </w:rPr>
      </w:pPr>
      <w:r w:rsidRPr="001A6134">
        <w:rPr>
          <w:rFonts w:ascii="Avenir Next LT Pro" w:hAnsi="Avenir Next LT Pro"/>
          <w:lang w:val="fr-CH"/>
        </w:rPr>
        <w:t xml:space="preserve">Veiller à ce que les doléances sociales et environnementales soient gérées de manière efficace et transparente par le biais du </w:t>
      </w:r>
      <w:r w:rsidR="004B1A1E">
        <w:rPr>
          <w:rFonts w:ascii="Avenir Next LT Pro" w:hAnsi="Avenir Next LT Pro"/>
          <w:lang w:val="fr-CH"/>
        </w:rPr>
        <w:t>Mécanisme de Plaintes et Recours</w:t>
      </w:r>
      <w:r w:rsidRPr="001A6134">
        <w:rPr>
          <w:rFonts w:ascii="Avenir Next LT Pro" w:hAnsi="Avenir Next LT Pro"/>
          <w:lang w:val="fr-CH"/>
        </w:rPr>
        <w:t xml:space="preserve"> du projet et conformément à la politique du SES ;</w:t>
      </w:r>
    </w:p>
    <w:p w14:paraId="59173399" w14:textId="1AF88580" w:rsidR="0048165E" w:rsidRPr="004B1A1E" w:rsidRDefault="0048165E" w:rsidP="00487A95">
      <w:pPr>
        <w:numPr>
          <w:ilvl w:val="0"/>
          <w:numId w:val="30"/>
        </w:numPr>
        <w:spacing w:after="0"/>
        <w:jc w:val="both"/>
        <w:rPr>
          <w:rFonts w:ascii="Avenir Next LT Pro" w:hAnsi="Avenir Next LT Pro"/>
          <w:lang w:val="fr-CH"/>
        </w:rPr>
      </w:pPr>
      <w:r w:rsidRPr="004B1A1E">
        <w:rPr>
          <w:rFonts w:ascii="Avenir Next LT Pro" w:hAnsi="Avenir Next LT Pro"/>
          <w:lang w:val="fr-CH"/>
        </w:rPr>
        <w:t xml:space="preserve">Valider et, au besoin, mettre à jour </w:t>
      </w:r>
      <w:r w:rsidR="00CC0F68">
        <w:rPr>
          <w:rFonts w:ascii="Avenir Next LT Pro" w:hAnsi="Avenir Next LT Pro"/>
          <w:lang w:val="fr-CH"/>
        </w:rPr>
        <w:t>la grille d’évaluation des risques sociaux et environnementaux</w:t>
      </w:r>
      <w:r w:rsidRPr="004B1A1E">
        <w:rPr>
          <w:rFonts w:ascii="Avenir Next LT Pro" w:hAnsi="Avenir Next LT Pro"/>
          <w:lang w:val="fr-CH"/>
        </w:rPr>
        <w:t xml:space="preserve"> du projet à des intervalles appropriés, et mettre à jour d'autres instruments </w:t>
      </w:r>
      <w:proofErr w:type="spellStart"/>
      <w:r w:rsidR="002B5730">
        <w:rPr>
          <w:rFonts w:ascii="Avenir Next LT Pro" w:hAnsi="Avenir Next LT Pro"/>
          <w:lang w:val="fr-CH"/>
        </w:rPr>
        <w:t>des</w:t>
      </w:r>
      <w:proofErr w:type="spellEnd"/>
      <w:r w:rsidR="002B5730">
        <w:rPr>
          <w:rFonts w:ascii="Avenir Next LT Pro" w:hAnsi="Avenir Next LT Pro"/>
          <w:lang w:val="fr-CH"/>
        </w:rPr>
        <w:t xml:space="preserve"> </w:t>
      </w:r>
      <w:r w:rsidR="00795898">
        <w:rPr>
          <w:rFonts w:ascii="Avenir Next LT Pro" w:hAnsi="Avenir Next LT Pro"/>
          <w:lang w:val="fr-CH"/>
        </w:rPr>
        <w:t>SES</w:t>
      </w:r>
      <w:r w:rsidRPr="004B1A1E">
        <w:rPr>
          <w:rFonts w:ascii="Avenir Next LT Pro" w:hAnsi="Avenir Next LT Pro"/>
          <w:lang w:val="fr-CH"/>
        </w:rPr>
        <w:t xml:space="preserve"> </w:t>
      </w:r>
      <w:r w:rsidR="002B5730">
        <w:rPr>
          <w:rFonts w:ascii="Avenir Next LT Pro" w:hAnsi="Avenir Next LT Pro"/>
          <w:lang w:val="fr-CH"/>
        </w:rPr>
        <w:t>tel que nécessaire</w:t>
      </w:r>
      <w:r w:rsidRPr="004B1A1E">
        <w:rPr>
          <w:rFonts w:ascii="Avenir Next LT Pro" w:hAnsi="Avenir Next LT Pro"/>
          <w:lang w:val="fr-CH"/>
        </w:rPr>
        <w:t> ;</w:t>
      </w:r>
    </w:p>
    <w:p w14:paraId="6A235F6D" w14:textId="4D12074F" w:rsidR="0048165E" w:rsidRPr="004B1A1E" w:rsidRDefault="0048165E" w:rsidP="00487A95">
      <w:pPr>
        <w:numPr>
          <w:ilvl w:val="0"/>
          <w:numId w:val="30"/>
        </w:numPr>
        <w:spacing w:after="0"/>
        <w:jc w:val="both"/>
        <w:rPr>
          <w:rFonts w:ascii="Avenir Next LT Pro" w:hAnsi="Avenir Next LT Pro"/>
          <w:lang w:val="fr-CH"/>
        </w:rPr>
      </w:pPr>
      <w:r w:rsidRPr="004B1A1E">
        <w:rPr>
          <w:rFonts w:ascii="Avenir Next LT Pro" w:hAnsi="Avenir Next LT Pro"/>
          <w:lang w:val="fr-CH"/>
        </w:rPr>
        <w:t xml:space="preserve">Veiller à ce que les instruments </w:t>
      </w:r>
      <w:proofErr w:type="spellStart"/>
      <w:r w:rsidR="00786B9B">
        <w:rPr>
          <w:rFonts w:ascii="Avenir Next LT Pro" w:hAnsi="Avenir Next LT Pro"/>
          <w:lang w:val="fr-CH"/>
        </w:rPr>
        <w:t>des</w:t>
      </w:r>
      <w:proofErr w:type="spellEnd"/>
      <w:r w:rsidRPr="004B1A1E">
        <w:rPr>
          <w:rFonts w:ascii="Avenir Next LT Pro" w:hAnsi="Avenir Next LT Pro"/>
          <w:lang w:val="fr-CH"/>
        </w:rPr>
        <w:t xml:space="preserve"> SES soient entièrement divulgués aux parties prenantes concernées, conformément à la politique du SES ; </w:t>
      </w:r>
    </w:p>
    <w:p w14:paraId="6A10D98C" w14:textId="77777777" w:rsidR="0048165E" w:rsidRPr="004B1A1E" w:rsidRDefault="0048165E" w:rsidP="00487A95">
      <w:pPr>
        <w:numPr>
          <w:ilvl w:val="0"/>
          <w:numId w:val="30"/>
        </w:numPr>
        <w:spacing w:after="0"/>
        <w:jc w:val="both"/>
        <w:rPr>
          <w:rFonts w:ascii="Avenir Next LT Pro" w:hAnsi="Avenir Next LT Pro"/>
          <w:lang w:val="fr-CH"/>
        </w:rPr>
      </w:pPr>
      <w:r w:rsidRPr="004B1A1E">
        <w:rPr>
          <w:rFonts w:ascii="Avenir Next LT Pro" w:hAnsi="Avenir Next LT Pro"/>
          <w:lang w:val="fr-CH"/>
        </w:rPr>
        <w:lastRenderedPageBreak/>
        <w:t>Veiller à ce que les risques environnementaux et sociaux soient identifiés, évités, atténués et gérés tout au long de la mise en œuvre du projet ;</w:t>
      </w:r>
    </w:p>
    <w:p w14:paraId="2376C0DA" w14:textId="6895ABF7" w:rsidR="0048165E" w:rsidRPr="004B1A1E" w:rsidRDefault="0048165E" w:rsidP="00487A95">
      <w:pPr>
        <w:numPr>
          <w:ilvl w:val="0"/>
          <w:numId w:val="30"/>
        </w:numPr>
        <w:spacing w:after="0"/>
        <w:jc w:val="both"/>
        <w:rPr>
          <w:rFonts w:ascii="Avenir Next LT Pro" w:hAnsi="Avenir Next LT Pro"/>
          <w:lang w:val="fr-CH"/>
        </w:rPr>
      </w:pPr>
      <w:r w:rsidRPr="004B1A1E">
        <w:rPr>
          <w:rFonts w:ascii="Avenir Next LT Pro" w:hAnsi="Avenir Next LT Pro"/>
          <w:lang w:val="fr-CH"/>
        </w:rPr>
        <w:t xml:space="preserve">Travailler avec le responsable du suivi et de l'évaluation pour s'assurer que les rapports, le suivi et l'évaluation englobent les </w:t>
      </w:r>
      <w:r w:rsidR="00170306">
        <w:rPr>
          <w:rFonts w:ascii="Avenir Next LT Pro" w:hAnsi="Avenir Next LT Pro"/>
          <w:lang w:val="fr-CH"/>
        </w:rPr>
        <w:t>sauvegardes</w:t>
      </w:r>
      <w:r w:rsidRPr="004B1A1E">
        <w:rPr>
          <w:rFonts w:ascii="Avenir Next LT Pro" w:hAnsi="Avenir Next LT Pro"/>
          <w:lang w:val="fr-CH"/>
        </w:rPr>
        <w:t xml:space="preserve"> du projet, y compris les rapports </w:t>
      </w:r>
      <w:r w:rsidR="00B3373E">
        <w:rPr>
          <w:rFonts w:ascii="Avenir Next LT Pro" w:hAnsi="Avenir Next LT Pro"/>
          <w:lang w:val="fr-CH"/>
        </w:rPr>
        <w:t>à CAFI</w:t>
      </w:r>
      <w:r w:rsidR="00991AE7">
        <w:rPr>
          <w:rFonts w:ascii="Avenir Next LT Pro" w:hAnsi="Avenir Next LT Pro"/>
          <w:lang w:val="fr-CH"/>
        </w:rPr>
        <w:t xml:space="preserve"> (FONAREDD en RDC)</w:t>
      </w:r>
      <w:r w:rsidRPr="004B1A1E">
        <w:rPr>
          <w:rFonts w:ascii="Avenir Next LT Pro" w:hAnsi="Avenir Next LT Pro"/>
          <w:lang w:val="fr-CH"/>
        </w:rPr>
        <w:t>, le cas échéant ;</w:t>
      </w:r>
    </w:p>
    <w:p w14:paraId="5A2273B7" w14:textId="77777777" w:rsidR="00F4315C" w:rsidRPr="004B1A1E" w:rsidRDefault="00F4315C" w:rsidP="0017778E">
      <w:pPr>
        <w:spacing w:after="0"/>
        <w:jc w:val="both"/>
        <w:rPr>
          <w:rFonts w:ascii="Avenir Next LT Pro" w:hAnsi="Avenir Next LT Pro"/>
          <w:lang w:val="fr-CH"/>
        </w:rPr>
      </w:pPr>
    </w:p>
    <w:p w14:paraId="24312C52" w14:textId="77777777"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 xml:space="preserve">Compétences et expertise requises </w:t>
      </w:r>
    </w:p>
    <w:p w14:paraId="6C6EDDF4" w14:textId="690BC480" w:rsidR="00991AE7" w:rsidRPr="00991AE7" w:rsidRDefault="0068665C" w:rsidP="00487A95">
      <w:pPr>
        <w:numPr>
          <w:ilvl w:val="0"/>
          <w:numId w:val="30"/>
        </w:numPr>
        <w:spacing w:after="0"/>
        <w:jc w:val="both"/>
        <w:rPr>
          <w:rFonts w:ascii="Avenir Next LT Pro" w:hAnsi="Avenir Next LT Pro"/>
          <w:lang w:val="fr-CH"/>
        </w:rPr>
      </w:pPr>
      <w:r>
        <w:rPr>
          <w:rFonts w:ascii="Avenir Next LT Pro" w:hAnsi="Avenir Next LT Pro"/>
          <w:lang w:val="fr-CH"/>
        </w:rPr>
        <w:t>Une</w:t>
      </w:r>
      <w:r w:rsidR="007B76AF">
        <w:rPr>
          <w:rFonts w:ascii="Avenir Next LT Pro" w:hAnsi="Avenir Next LT Pro"/>
          <w:lang w:val="fr-CH"/>
        </w:rPr>
        <w:t xml:space="preserve"> </w:t>
      </w:r>
      <w:r w:rsidR="00C82868">
        <w:rPr>
          <w:rFonts w:ascii="Avenir Next LT Pro" w:hAnsi="Avenir Next LT Pro"/>
          <w:lang w:val="fr-CH"/>
        </w:rPr>
        <w:t>License</w:t>
      </w:r>
      <w:r w:rsidR="00991AE7" w:rsidRPr="00991AE7">
        <w:rPr>
          <w:rFonts w:ascii="Avenir Next LT Pro" w:hAnsi="Avenir Next LT Pro"/>
          <w:lang w:val="fr-CH"/>
        </w:rPr>
        <w:t xml:space="preserve">, de préférence dans le domaine le plus pertinent pour les principaux domaines de risque social/environnemental du projet ; </w:t>
      </w:r>
    </w:p>
    <w:p w14:paraId="7445CF5A" w14:textId="49A3DD39" w:rsidR="00991AE7" w:rsidRPr="00991AE7" w:rsidRDefault="00991AE7" w:rsidP="00487A95">
      <w:pPr>
        <w:numPr>
          <w:ilvl w:val="0"/>
          <w:numId w:val="30"/>
        </w:numPr>
        <w:spacing w:after="0"/>
        <w:jc w:val="both"/>
        <w:rPr>
          <w:rFonts w:ascii="Avenir Next LT Pro" w:hAnsi="Avenir Next LT Pro"/>
          <w:lang w:val="fr-CH"/>
        </w:rPr>
      </w:pPr>
      <w:r w:rsidRPr="00991AE7">
        <w:rPr>
          <w:rFonts w:ascii="Avenir Next LT Pro" w:hAnsi="Avenir Next LT Pro"/>
          <w:lang w:val="fr-CH"/>
        </w:rPr>
        <w:t xml:space="preserve">Au moins trois ans d'expérience professionnelle pertinente dans le domaine des </w:t>
      </w:r>
      <w:r w:rsidR="000D6507">
        <w:rPr>
          <w:rFonts w:ascii="Avenir Next LT Pro" w:hAnsi="Avenir Next LT Pro"/>
        </w:rPr>
        <w:t xml:space="preserve">sauvegardes </w:t>
      </w:r>
      <w:r w:rsidRPr="00991AE7">
        <w:rPr>
          <w:rFonts w:ascii="Avenir Next LT Pro" w:hAnsi="Avenir Next LT Pro"/>
          <w:lang w:val="fr-CH"/>
        </w:rPr>
        <w:t xml:space="preserve">pour la mise en œuvre de projets ou de programmes, impliquant idéalement des donateurs internationaux. </w:t>
      </w:r>
    </w:p>
    <w:p w14:paraId="35309752" w14:textId="77777777" w:rsidR="00991AE7" w:rsidRPr="00991AE7" w:rsidRDefault="00991AE7" w:rsidP="00487A95">
      <w:pPr>
        <w:numPr>
          <w:ilvl w:val="0"/>
          <w:numId w:val="30"/>
        </w:numPr>
        <w:spacing w:after="0"/>
        <w:jc w:val="both"/>
        <w:rPr>
          <w:rFonts w:ascii="Avenir Next LT Pro" w:hAnsi="Avenir Next LT Pro"/>
          <w:lang w:val="fr-CH"/>
        </w:rPr>
      </w:pPr>
      <w:r w:rsidRPr="00991AE7">
        <w:rPr>
          <w:rFonts w:ascii="Avenir Next LT Pro" w:hAnsi="Avenir Next LT Pro"/>
          <w:lang w:val="fr-CH"/>
        </w:rPr>
        <w:t>Très bon relationnel et haut niveau d'intégrité professionnelle</w:t>
      </w:r>
    </w:p>
    <w:p w14:paraId="242A06B9" w14:textId="77777777" w:rsidR="00991AE7" w:rsidRPr="00991AE7" w:rsidRDefault="00991AE7" w:rsidP="00487A95">
      <w:pPr>
        <w:numPr>
          <w:ilvl w:val="0"/>
          <w:numId w:val="30"/>
        </w:numPr>
        <w:spacing w:after="0"/>
        <w:jc w:val="both"/>
        <w:rPr>
          <w:rFonts w:ascii="Avenir Next LT Pro" w:hAnsi="Avenir Next LT Pro"/>
          <w:lang w:val="fr-CH"/>
        </w:rPr>
      </w:pPr>
      <w:r w:rsidRPr="00991AE7">
        <w:rPr>
          <w:rFonts w:ascii="Avenir Next LT Pro" w:hAnsi="Avenir Next LT Pro"/>
          <w:lang w:val="fr-CH"/>
        </w:rPr>
        <w:t>Maîtrise des applications informatiques et des technologies de l'information.</w:t>
      </w:r>
    </w:p>
    <w:p w14:paraId="7B50AA31" w14:textId="77777777" w:rsidR="00991AE7" w:rsidRPr="00991AE7" w:rsidRDefault="00991AE7" w:rsidP="00487A95">
      <w:pPr>
        <w:numPr>
          <w:ilvl w:val="0"/>
          <w:numId w:val="30"/>
        </w:numPr>
        <w:spacing w:after="0"/>
        <w:jc w:val="both"/>
        <w:rPr>
          <w:rFonts w:ascii="Avenir Next LT Pro" w:hAnsi="Avenir Next LT Pro"/>
          <w:lang w:val="fr-CH"/>
        </w:rPr>
      </w:pPr>
      <w:r w:rsidRPr="00991AE7">
        <w:rPr>
          <w:rFonts w:ascii="Avenir Next LT Pro" w:hAnsi="Avenir Next LT Pro"/>
          <w:lang w:val="fr-CH"/>
        </w:rPr>
        <w:t>Excellentes compétences linguistiques en français (écrit, oral et lu) et dans les langues locales.</w:t>
      </w:r>
    </w:p>
    <w:p w14:paraId="4ECA5A9B" w14:textId="77777777" w:rsidR="00991AE7" w:rsidRPr="007101BB" w:rsidRDefault="00991AE7" w:rsidP="0017778E">
      <w:pPr>
        <w:spacing w:after="0"/>
        <w:jc w:val="both"/>
        <w:rPr>
          <w:rFonts w:ascii="Avenir Next LT Pro" w:hAnsi="Avenir Next LT Pro"/>
          <w:lang w:val="fr-CD"/>
        </w:rPr>
      </w:pPr>
    </w:p>
    <w:p w14:paraId="7DB8F09B" w14:textId="77777777" w:rsidR="005D0175" w:rsidRPr="007101BB" w:rsidRDefault="005D0175" w:rsidP="0017778E">
      <w:pPr>
        <w:spacing w:after="0"/>
        <w:jc w:val="both"/>
        <w:rPr>
          <w:rFonts w:ascii="Avenir Next LT Pro" w:hAnsi="Avenir Next LT Pro"/>
          <w:lang w:val="fr-CD"/>
        </w:rPr>
      </w:pPr>
    </w:p>
    <w:p w14:paraId="6318F47F" w14:textId="5F498450" w:rsidR="000A3AE7" w:rsidRPr="000A3AE7" w:rsidRDefault="000A3AE7" w:rsidP="00AB6B79">
      <w:pPr>
        <w:spacing w:after="120"/>
        <w:jc w:val="both"/>
        <w:rPr>
          <w:rFonts w:ascii="Avenir Next LT Pro" w:hAnsi="Avenir Next LT Pro"/>
          <w:b/>
          <w:lang w:val="fr-CH"/>
        </w:rPr>
      </w:pPr>
      <w:r w:rsidRPr="00A46366">
        <w:rPr>
          <w:rFonts w:ascii="Avenir Next LT Pro" w:hAnsi="Avenir Next LT Pro"/>
          <w:b/>
        </w:rPr>
        <w:t>Assistant</w:t>
      </w:r>
      <w:r w:rsidR="00A952DA">
        <w:rPr>
          <w:rFonts w:ascii="Avenir Next LT Pro" w:hAnsi="Avenir Next LT Pro"/>
          <w:b/>
        </w:rPr>
        <w:t>(</w:t>
      </w:r>
      <w:r w:rsidRPr="00A46366">
        <w:rPr>
          <w:rFonts w:ascii="Avenir Next LT Pro" w:hAnsi="Avenir Next LT Pro"/>
          <w:b/>
        </w:rPr>
        <w:t>e</w:t>
      </w:r>
      <w:r w:rsidR="00A952DA">
        <w:rPr>
          <w:rFonts w:ascii="Avenir Next LT Pro" w:hAnsi="Avenir Next LT Pro"/>
          <w:b/>
        </w:rPr>
        <w:t>)</w:t>
      </w:r>
      <w:r w:rsidRPr="00A46366">
        <w:rPr>
          <w:rFonts w:ascii="Avenir Next LT Pro" w:hAnsi="Avenir Next LT Pro"/>
          <w:b/>
        </w:rPr>
        <w:t xml:space="preserve"> de projet </w:t>
      </w:r>
      <w:r w:rsidRPr="00A46366">
        <w:rPr>
          <w:rFonts w:ascii="Avenir Next LT Pro" w:hAnsi="Avenir Next LT Pro"/>
          <w:bCs/>
        </w:rPr>
        <w:t>(si pertinent)</w:t>
      </w:r>
    </w:p>
    <w:p w14:paraId="3C171775" w14:textId="77777777" w:rsidR="00A952DA" w:rsidRPr="002B1082" w:rsidRDefault="00A952DA" w:rsidP="00A952DA">
      <w:pPr>
        <w:spacing w:after="0"/>
        <w:jc w:val="both"/>
        <w:rPr>
          <w:rFonts w:ascii="Avenir Next LT Pro" w:hAnsi="Avenir Next LT Pro" w:cs="Arial"/>
          <w:noProof/>
          <w:u w:val="single"/>
          <w:lang w:val="fr-CH" w:eastAsia="zh-CN"/>
        </w:rPr>
      </w:pPr>
      <w:r w:rsidRPr="002B1082">
        <w:rPr>
          <w:rFonts w:ascii="Avenir Next LT Pro" w:hAnsi="Avenir Next LT Pro" w:cs="Arial"/>
          <w:noProof/>
          <w:u w:val="single"/>
          <w:lang w:val="fr-CH" w:eastAsia="zh-CN"/>
        </w:rPr>
        <w:t>Généralités</w:t>
      </w:r>
    </w:p>
    <w:p w14:paraId="0254CC7C" w14:textId="69F05407" w:rsidR="00A952DA" w:rsidRDefault="00A952DA" w:rsidP="00A952DA">
      <w:pPr>
        <w:spacing w:after="0"/>
        <w:jc w:val="both"/>
        <w:rPr>
          <w:rFonts w:ascii="Avenir Next LT Pro" w:hAnsi="Avenir Next LT Pro"/>
        </w:rPr>
      </w:pPr>
      <w:r w:rsidRPr="00692E50">
        <w:rPr>
          <w:rFonts w:ascii="Avenir Next LT Pro" w:hAnsi="Avenir Next LT Pro"/>
        </w:rPr>
        <w:t xml:space="preserve">Sous la supervision et la direction générales du chef de projet, </w:t>
      </w:r>
      <w:r>
        <w:rPr>
          <w:rFonts w:ascii="Avenir Next LT Pro" w:hAnsi="Avenir Next LT Pro"/>
        </w:rPr>
        <w:t>l’a</w:t>
      </w:r>
      <w:r w:rsidRPr="00A952DA">
        <w:rPr>
          <w:rFonts w:ascii="Avenir Next LT Pro" w:hAnsi="Avenir Next LT Pro"/>
        </w:rPr>
        <w:t>ssistant(e) de projet</w:t>
      </w:r>
      <w:r>
        <w:rPr>
          <w:rFonts w:ascii="Avenir Next LT Pro" w:hAnsi="Avenir Next LT Pro"/>
        </w:rPr>
        <w:t xml:space="preserve"> sera responsable </w:t>
      </w:r>
      <w:r w:rsidRPr="00692E50">
        <w:rPr>
          <w:rFonts w:ascii="Avenir Next LT Pro" w:hAnsi="Avenir Next LT Pro"/>
        </w:rPr>
        <w:t>de</w:t>
      </w:r>
      <w:r>
        <w:rPr>
          <w:rFonts w:ascii="Avenir Next LT Pro" w:hAnsi="Avenir Next LT Pro"/>
        </w:rPr>
        <w:t>s tâches suivantes</w:t>
      </w:r>
    </w:p>
    <w:p w14:paraId="2F608CC9" w14:textId="77777777" w:rsidR="00B0540D" w:rsidRPr="007101BB" w:rsidRDefault="00B0540D" w:rsidP="0017778E">
      <w:pPr>
        <w:spacing w:after="0"/>
        <w:jc w:val="both"/>
        <w:rPr>
          <w:rFonts w:ascii="Avenir Next LT Pro" w:hAnsi="Avenir Next LT Pro"/>
          <w:lang w:val="fr-CD"/>
        </w:rPr>
      </w:pPr>
    </w:p>
    <w:p w14:paraId="5D37CD38" w14:textId="77777777" w:rsidR="00B0540D" w:rsidRPr="00692E50" w:rsidRDefault="00B0540D" w:rsidP="00B0540D">
      <w:pPr>
        <w:spacing w:after="0"/>
        <w:jc w:val="both"/>
        <w:rPr>
          <w:rFonts w:ascii="Avenir Next LT Pro" w:hAnsi="Avenir Next LT Pro" w:cs="Arial"/>
          <w:noProof/>
          <w:u w:val="single"/>
          <w:lang w:eastAsia="zh-CN"/>
        </w:rPr>
      </w:pPr>
      <w:r w:rsidRPr="00692E50">
        <w:rPr>
          <w:rFonts w:ascii="Avenir Next LT Pro" w:hAnsi="Avenir Next LT Pro" w:cs="Arial"/>
          <w:noProof/>
          <w:u w:val="single"/>
          <w:lang w:eastAsia="zh-CN"/>
        </w:rPr>
        <w:t>Tâches et responsabilités</w:t>
      </w:r>
    </w:p>
    <w:p w14:paraId="35939F58" w14:textId="2965AA64" w:rsidR="00DC7AEA" w:rsidRPr="00DC7AEA" w:rsidRDefault="00DC7AEA" w:rsidP="00487A95">
      <w:pPr>
        <w:numPr>
          <w:ilvl w:val="0"/>
          <w:numId w:val="31"/>
        </w:numPr>
        <w:spacing w:after="0"/>
        <w:jc w:val="both"/>
        <w:rPr>
          <w:rFonts w:ascii="Avenir Next LT Pro" w:hAnsi="Avenir Next LT Pro"/>
          <w:lang w:val="fr-CH"/>
        </w:rPr>
      </w:pPr>
      <w:r w:rsidRPr="00DC7AEA">
        <w:rPr>
          <w:rFonts w:ascii="Avenir Next LT Pro" w:hAnsi="Avenir Next LT Pro"/>
          <w:lang w:val="fr-CH"/>
        </w:rPr>
        <w:t>Assister le (la) Chef(</w:t>
      </w:r>
      <w:proofErr w:type="spellStart"/>
      <w:r w:rsidRPr="00DC7AEA">
        <w:rPr>
          <w:rFonts w:ascii="Avenir Next LT Pro" w:hAnsi="Avenir Next LT Pro"/>
          <w:lang w:val="fr-CH"/>
        </w:rPr>
        <w:t>fe</w:t>
      </w:r>
      <w:proofErr w:type="spellEnd"/>
      <w:r w:rsidRPr="00DC7AEA">
        <w:rPr>
          <w:rFonts w:ascii="Avenir Next LT Pro" w:hAnsi="Avenir Next LT Pro"/>
          <w:lang w:val="fr-CH"/>
        </w:rPr>
        <w:t>) de projet dans la gestion quotidienne et la supervision des activités du projet ;</w:t>
      </w:r>
    </w:p>
    <w:p w14:paraId="7B54B188" w14:textId="4C852F86" w:rsidR="00DC7AEA" w:rsidRPr="00333F5A" w:rsidRDefault="00DC7AEA" w:rsidP="00487A95">
      <w:pPr>
        <w:numPr>
          <w:ilvl w:val="0"/>
          <w:numId w:val="31"/>
        </w:numPr>
        <w:spacing w:after="0"/>
        <w:jc w:val="both"/>
        <w:rPr>
          <w:rFonts w:ascii="Avenir Next LT Pro" w:hAnsi="Avenir Next LT Pro"/>
          <w:lang w:val="fr-CH"/>
        </w:rPr>
      </w:pPr>
      <w:r w:rsidRPr="00333F5A">
        <w:rPr>
          <w:rFonts w:ascii="Avenir Next LT Pro" w:hAnsi="Avenir Next LT Pro"/>
          <w:lang w:val="fr-CH"/>
        </w:rPr>
        <w:t>Assister le (la Chargé(e) d</w:t>
      </w:r>
      <w:r w:rsidR="00E236F3" w:rsidRPr="00333F5A">
        <w:rPr>
          <w:rFonts w:ascii="Avenir Next LT Pro" w:hAnsi="Avenir Next LT Pro"/>
          <w:lang w:val="fr-CH"/>
        </w:rPr>
        <w:t>e</w:t>
      </w:r>
      <w:r w:rsidRPr="00333F5A">
        <w:rPr>
          <w:rFonts w:ascii="Avenir Next LT Pro" w:hAnsi="Avenir Next LT Pro"/>
          <w:lang w:val="fr-CH"/>
        </w:rPr>
        <w:t xml:space="preserve"> suivi et évaluation dans les questions liées au suivi et à l'évaluation et à la gestion des ressources de connaissances ;</w:t>
      </w:r>
    </w:p>
    <w:p w14:paraId="7B2BA1F1" w14:textId="212B6CB7" w:rsidR="00DC7AEA" w:rsidRPr="00DC7AEA" w:rsidRDefault="00E236F3" w:rsidP="00487A95">
      <w:pPr>
        <w:numPr>
          <w:ilvl w:val="0"/>
          <w:numId w:val="31"/>
        </w:numPr>
        <w:spacing w:after="0"/>
        <w:jc w:val="both"/>
        <w:rPr>
          <w:rFonts w:ascii="Avenir Next LT Pro" w:hAnsi="Avenir Next LT Pro"/>
          <w:lang w:val="fr-CH"/>
        </w:rPr>
      </w:pPr>
      <w:r>
        <w:rPr>
          <w:rFonts w:ascii="Avenir Next LT Pro" w:hAnsi="Avenir Next LT Pro"/>
          <w:lang w:val="fr-CH"/>
        </w:rPr>
        <w:t>Appuyer</w:t>
      </w:r>
      <w:r w:rsidR="00DC7AEA" w:rsidRPr="00DC7AEA">
        <w:rPr>
          <w:rFonts w:ascii="Avenir Next LT Pro" w:hAnsi="Avenir Next LT Pro"/>
          <w:lang w:val="fr-CH"/>
        </w:rPr>
        <w:t xml:space="preserve"> la préparation des rapports</w:t>
      </w:r>
      <w:r w:rsidR="00333F5A">
        <w:rPr>
          <w:rFonts w:ascii="Avenir Next LT Pro" w:hAnsi="Avenir Next LT Pro"/>
          <w:lang w:val="fr-CH"/>
        </w:rPr>
        <w:t xml:space="preserve"> périodiques</w:t>
      </w:r>
      <w:r w:rsidR="00DC7AEA" w:rsidRPr="00DC7AEA">
        <w:rPr>
          <w:rFonts w:ascii="Avenir Next LT Pro" w:hAnsi="Avenir Next LT Pro"/>
          <w:lang w:val="fr-CH"/>
        </w:rPr>
        <w:t> ;</w:t>
      </w:r>
    </w:p>
    <w:p w14:paraId="53F09E59" w14:textId="2401A386" w:rsidR="00DC7AEA" w:rsidRPr="00DC7AEA" w:rsidRDefault="00DC7AEA" w:rsidP="00487A95">
      <w:pPr>
        <w:numPr>
          <w:ilvl w:val="0"/>
          <w:numId w:val="31"/>
        </w:numPr>
        <w:spacing w:after="0"/>
        <w:jc w:val="both"/>
        <w:rPr>
          <w:rFonts w:ascii="Avenir Next LT Pro" w:hAnsi="Avenir Next LT Pro"/>
          <w:lang w:val="fr-CH"/>
        </w:rPr>
      </w:pPr>
      <w:r w:rsidRPr="00DC7AEA">
        <w:rPr>
          <w:rFonts w:ascii="Avenir Next LT Pro" w:hAnsi="Avenir Next LT Pro"/>
          <w:lang w:val="fr-CH"/>
        </w:rPr>
        <w:t xml:space="preserve">S'assurer que toute la documentation du projet (rapports </w:t>
      </w:r>
      <w:r w:rsidR="00333F5A">
        <w:rPr>
          <w:rFonts w:ascii="Avenir Next LT Pro" w:hAnsi="Avenir Next LT Pro"/>
          <w:lang w:val="fr-CH"/>
        </w:rPr>
        <w:t>périodiques</w:t>
      </w:r>
      <w:r w:rsidRPr="00DC7AEA">
        <w:rPr>
          <w:rFonts w:ascii="Avenir Next LT Pro" w:hAnsi="Avenir Next LT Pro"/>
          <w:lang w:val="fr-CH"/>
        </w:rPr>
        <w:t>, rapports de consultation et autres rapports techniques, procès-verbaux de réunions, etc.) est correctement conservée en copies papier et électroniques dans un système de classement efficace et facilement accessible ;</w:t>
      </w:r>
    </w:p>
    <w:p w14:paraId="50F7A9A7" w14:textId="772CA011" w:rsidR="00DC7AEA" w:rsidRPr="00333F5A" w:rsidRDefault="00DC7AEA" w:rsidP="00487A95">
      <w:pPr>
        <w:numPr>
          <w:ilvl w:val="0"/>
          <w:numId w:val="31"/>
        </w:numPr>
        <w:spacing w:after="0"/>
        <w:jc w:val="both"/>
        <w:rPr>
          <w:rFonts w:ascii="Avenir Next LT Pro" w:hAnsi="Avenir Next LT Pro"/>
          <w:lang w:val="fr-CH"/>
        </w:rPr>
      </w:pPr>
      <w:r w:rsidRPr="00333F5A">
        <w:rPr>
          <w:rFonts w:ascii="Avenir Next LT Pro" w:hAnsi="Avenir Next LT Pro"/>
          <w:lang w:val="fr-CH"/>
        </w:rPr>
        <w:t xml:space="preserve">Fournir une assistance administrative et logistique liée à </w:t>
      </w:r>
      <w:r w:rsidR="00333F5A">
        <w:rPr>
          <w:rFonts w:ascii="Avenir Next LT Pro" w:hAnsi="Avenir Next LT Pro"/>
          <w:lang w:val="fr-CH"/>
        </w:rPr>
        <w:t>l’Unité de gestion de projet</w:t>
      </w:r>
      <w:r w:rsidRPr="00333F5A">
        <w:rPr>
          <w:rFonts w:ascii="Avenir Next LT Pro" w:hAnsi="Avenir Next LT Pro"/>
          <w:lang w:val="fr-CH"/>
        </w:rPr>
        <w:t>.</w:t>
      </w:r>
    </w:p>
    <w:p w14:paraId="07F52443" w14:textId="77777777" w:rsidR="00DC7AEA" w:rsidRPr="00333F5A" w:rsidRDefault="00DC7AEA">
      <w:pPr>
        <w:spacing w:after="0"/>
        <w:jc w:val="both"/>
        <w:rPr>
          <w:rFonts w:ascii="Avenir Next LT Pro" w:hAnsi="Avenir Next LT Pro"/>
          <w:lang w:val="fr-CH"/>
        </w:rPr>
      </w:pPr>
    </w:p>
    <w:p w14:paraId="3A21B566" w14:textId="77777777" w:rsidR="00DC7AEA" w:rsidRPr="00B0540D" w:rsidRDefault="00DC7AEA">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 xml:space="preserve">Compétences et expertise requises </w:t>
      </w:r>
    </w:p>
    <w:p w14:paraId="081AFF2F" w14:textId="77777777" w:rsidR="00DC7AEA" w:rsidRPr="00333F5A" w:rsidRDefault="00DC7AEA" w:rsidP="00487A95">
      <w:pPr>
        <w:numPr>
          <w:ilvl w:val="0"/>
          <w:numId w:val="31"/>
        </w:numPr>
        <w:spacing w:after="0"/>
        <w:jc w:val="both"/>
        <w:rPr>
          <w:rFonts w:ascii="Avenir Next LT Pro" w:hAnsi="Avenir Next LT Pro"/>
          <w:lang w:val="fr-CH"/>
        </w:rPr>
      </w:pPr>
      <w:r w:rsidRPr="00333F5A">
        <w:rPr>
          <w:rFonts w:ascii="Avenir Next LT Pro" w:hAnsi="Avenir Next LT Pro"/>
          <w:lang w:val="fr-CH"/>
        </w:rPr>
        <w:t>Un baccalauréat ou un diplôme équivalent ;</w:t>
      </w:r>
    </w:p>
    <w:p w14:paraId="0EBC5890" w14:textId="565BD858" w:rsidR="00DC7AEA" w:rsidRPr="00C5085C" w:rsidRDefault="00DC7AEA" w:rsidP="00487A95">
      <w:pPr>
        <w:numPr>
          <w:ilvl w:val="0"/>
          <w:numId w:val="31"/>
        </w:numPr>
        <w:spacing w:after="0"/>
        <w:jc w:val="both"/>
        <w:rPr>
          <w:rFonts w:ascii="Avenir Next LT Pro" w:hAnsi="Avenir Next LT Pro"/>
          <w:lang w:val="fr-CH"/>
        </w:rPr>
      </w:pPr>
      <w:r w:rsidRPr="00333F5A">
        <w:rPr>
          <w:rFonts w:ascii="Avenir Next LT Pro" w:hAnsi="Avenir Next LT Pro"/>
          <w:lang w:val="fr-CH"/>
        </w:rPr>
        <w:t xml:space="preserve">Au moins trois ans d'expérience </w:t>
      </w:r>
      <w:r w:rsidRPr="00C5085C">
        <w:rPr>
          <w:rFonts w:ascii="Avenir Next LT Pro" w:hAnsi="Avenir Next LT Pro"/>
          <w:lang w:val="fr-CH"/>
        </w:rPr>
        <w:t xml:space="preserve">professionnelle, de préférence dans un projet de conservation de la biodiversité, de gestion des ressources naturelles et/ou de moyens de subsistance durables. Une expérience antérieure avec un projet de </w:t>
      </w:r>
      <w:r w:rsidR="00333F5A" w:rsidRPr="00C5085C">
        <w:rPr>
          <w:rFonts w:ascii="Avenir Next LT Pro" w:hAnsi="Avenir Next LT Pro"/>
          <w:lang w:val="fr-CH"/>
        </w:rPr>
        <w:t>XXX</w:t>
      </w:r>
      <w:r w:rsidRPr="00C5085C">
        <w:rPr>
          <w:rFonts w:ascii="Avenir Next LT Pro" w:hAnsi="Avenir Next LT Pro"/>
          <w:lang w:val="fr-CH"/>
        </w:rPr>
        <w:t xml:space="preserve"> sera un atout certain ;</w:t>
      </w:r>
    </w:p>
    <w:p w14:paraId="6A9E3F69" w14:textId="26DA220C" w:rsidR="00DC7AEA" w:rsidRPr="00C5085C" w:rsidRDefault="00DC7AEA" w:rsidP="00487A95">
      <w:pPr>
        <w:numPr>
          <w:ilvl w:val="0"/>
          <w:numId w:val="31"/>
        </w:numPr>
        <w:spacing w:after="0"/>
        <w:jc w:val="both"/>
        <w:rPr>
          <w:rFonts w:ascii="Avenir Next LT Pro" w:hAnsi="Avenir Next LT Pro"/>
          <w:lang w:val="en-GB"/>
        </w:rPr>
      </w:pPr>
      <w:r w:rsidRPr="00C5085C">
        <w:rPr>
          <w:rFonts w:ascii="Avenir Next LT Pro" w:hAnsi="Avenir Next LT Pro"/>
          <w:lang w:val="en-GB"/>
        </w:rPr>
        <w:t xml:space="preserve">Très </w:t>
      </w:r>
      <w:proofErr w:type="spellStart"/>
      <w:r w:rsidRPr="00C5085C">
        <w:rPr>
          <w:rFonts w:ascii="Avenir Next LT Pro" w:hAnsi="Avenir Next LT Pro"/>
          <w:lang w:val="en-GB"/>
        </w:rPr>
        <w:t>bon</w:t>
      </w:r>
      <w:r w:rsidR="00333F5A" w:rsidRPr="00C5085C">
        <w:rPr>
          <w:rFonts w:ascii="Avenir Next LT Pro" w:hAnsi="Avenir Next LT Pro"/>
          <w:lang w:val="en-GB"/>
        </w:rPr>
        <w:t>nes</w:t>
      </w:r>
      <w:proofErr w:type="spellEnd"/>
      <w:r w:rsidR="00333F5A" w:rsidRPr="00C5085C">
        <w:rPr>
          <w:rFonts w:ascii="Avenir Next LT Pro" w:hAnsi="Avenir Next LT Pro"/>
          <w:lang w:val="en-GB"/>
        </w:rPr>
        <w:t xml:space="preserve"> </w:t>
      </w:r>
      <w:proofErr w:type="spellStart"/>
      <w:r w:rsidR="00333F5A" w:rsidRPr="00C5085C">
        <w:rPr>
          <w:rFonts w:ascii="Avenir Next LT Pro" w:hAnsi="Avenir Next LT Pro"/>
          <w:lang w:val="en-GB"/>
        </w:rPr>
        <w:t>capacités</w:t>
      </w:r>
      <w:proofErr w:type="spellEnd"/>
      <w:r w:rsidRPr="00C5085C">
        <w:rPr>
          <w:rFonts w:ascii="Avenir Next LT Pro" w:hAnsi="Avenir Next LT Pro"/>
          <w:lang w:val="en-GB"/>
        </w:rPr>
        <w:t xml:space="preserve"> </w:t>
      </w:r>
      <w:proofErr w:type="spellStart"/>
      <w:proofErr w:type="gramStart"/>
      <w:r w:rsidRPr="00C5085C">
        <w:rPr>
          <w:rFonts w:ascii="Avenir Next LT Pro" w:hAnsi="Avenir Next LT Pro"/>
          <w:lang w:val="en-GB"/>
        </w:rPr>
        <w:t>relationnel</w:t>
      </w:r>
      <w:r w:rsidR="00577EB0" w:rsidRPr="00C5085C">
        <w:rPr>
          <w:rFonts w:ascii="Avenir Next LT Pro" w:hAnsi="Avenir Next LT Pro"/>
          <w:lang w:val="en-GB"/>
        </w:rPr>
        <w:t>les</w:t>
      </w:r>
      <w:proofErr w:type="spellEnd"/>
      <w:r w:rsidRPr="00C5085C">
        <w:rPr>
          <w:rFonts w:ascii="Avenir Next LT Pro" w:hAnsi="Avenir Next LT Pro"/>
          <w:lang w:val="en-GB"/>
        </w:rPr>
        <w:t> ;</w:t>
      </w:r>
      <w:proofErr w:type="gramEnd"/>
    </w:p>
    <w:p w14:paraId="53F39AB3" w14:textId="4B1EA964" w:rsidR="00DC7AEA" w:rsidRPr="00C5085C" w:rsidRDefault="00DC7AEA" w:rsidP="00487A95">
      <w:pPr>
        <w:numPr>
          <w:ilvl w:val="0"/>
          <w:numId w:val="31"/>
        </w:numPr>
        <w:spacing w:after="0"/>
        <w:jc w:val="both"/>
        <w:rPr>
          <w:rFonts w:ascii="Avenir Next LT Pro" w:hAnsi="Avenir Next LT Pro"/>
          <w:lang w:val="fr-CH"/>
        </w:rPr>
      </w:pPr>
      <w:r w:rsidRPr="00C5085C">
        <w:rPr>
          <w:rFonts w:ascii="Avenir Next LT Pro" w:hAnsi="Avenir Next LT Pro"/>
          <w:lang w:val="fr-CH"/>
        </w:rPr>
        <w:t xml:space="preserve">Maîtrise </w:t>
      </w:r>
      <w:r w:rsidR="009628CC" w:rsidRPr="00C5085C">
        <w:rPr>
          <w:rFonts w:ascii="Avenir Next LT Pro" w:hAnsi="Avenir Next LT Pro"/>
          <w:lang w:val="fr-CH"/>
        </w:rPr>
        <w:t xml:space="preserve">des </w:t>
      </w:r>
      <w:r w:rsidRPr="00C5085C">
        <w:rPr>
          <w:rFonts w:ascii="Avenir Next LT Pro" w:hAnsi="Avenir Next LT Pro"/>
          <w:lang w:val="fr-CH"/>
        </w:rPr>
        <w:t>applications logicielles, en particulier MS Word et MS Excel.</w:t>
      </w:r>
    </w:p>
    <w:p w14:paraId="655B734C" w14:textId="77777777" w:rsidR="00C82868" w:rsidRPr="00C5085C" w:rsidRDefault="00C82868" w:rsidP="00487A95">
      <w:pPr>
        <w:numPr>
          <w:ilvl w:val="0"/>
          <w:numId w:val="31"/>
        </w:numPr>
        <w:spacing w:after="0"/>
        <w:jc w:val="both"/>
        <w:rPr>
          <w:rFonts w:ascii="Avenir Next LT Pro" w:hAnsi="Avenir Next LT Pro"/>
          <w:i/>
          <w:iCs/>
          <w:lang w:val="fr-CH"/>
        </w:rPr>
      </w:pPr>
      <w:r w:rsidRPr="00C5085C">
        <w:rPr>
          <w:rFonts w:ascii="Avenir Next LT Pro" w:hAnsi="Avenir Next LT Pro"/>
          <w:lang w:val="fr-CH"/>
        </w:rPr>
        <w:t xml:space="preserve">Excellentes compétences linguistiques en français (écrit, oral et lu) </w:t>
      </w:r>
      <w:r w:rsidRPr="00C5085C">
        <w:rPr>
          <w:rFonts w:ascii="Avenir Next LT Pro" w:hAnsi="Avenir Next LT Pro"/>
          <w:i/>
          <w:iCs/>
          <w:lang w:val="fr-CH"/>
        </w:rPr>
        <w:t>[La connaissance des langues locales est un atout].</w:t>
      </w:r>
    </w:p>
    <w:p w14:paraId="3FDAAFE8" w14:textId="77777777" w:rsidR="00413266" w:rsidRDefault="00413266" w:rsidP="0017778E">
      <w:pPr>
        <w:spacing w:after="0"/>
        <w:jc w:val="both"/>
        <w:rPr>
          <w:rFonts w:ascii="Avenir Next LT Pro" w:hAnsi="Avenir Next LT Pro"/>
          <w:b/>
          <w:lang w:val="fr-CH"/>
        </w:rPr>
      </w:pPr>
    </w:p>
    <w:p w14:paraId="62BB070F" w14:textId="77777777" w:rsidR="00C82868" w:rsidRDefault="00C82868" w:rsidP="0017778E">
      <w:pPr>
        <w:spacing w:after="0"/>
        <w:jc w:val="both"/>
        <w:rPr>
          <w:rFonts w:ascii="Avenir Next LT Pro" w:hAnsi="Avenir Next LT Pro"/>
          <w:b/>
          <w:lang w:val="fr-CH"/>
        </w:rPr>
      </w:pPr>
    </w:p>
    <w:p w14:paraId="5EC3A2D4" w14:textId="77777777" w:rsidR="00C82868" w:rsidRDefault="00C82868" w:rsidP="0017778E">
      <w:pPr>
        <w:spacing w:after="0"/>
        <w:jc w:val="both"/>
        <w:rPr>
          <w:rFonts w:ascii="Avenir Next LT Pro" w:hAnsi="Avenir Next LT Pro"/>
          <w:b/>
          <w:lang w:val="fr-CH"/>
        </w:rPr>
      </w:pPr>
    </w:p>
    <w:p w14:paraId="7986BBEA" w14:textId="77777777" w:rsidR="00C82868" w:rsidRPr="00577EB0" w:rsidRDefault="00C82868" w:rsidP="0017778E">
      <w:pPr>
        <w:spacing w:after="0"/>
        <w:jc w:val="both"/>
        <w:rPr>
          <w:rFonts w:ascii="Avenir Next LT Pro" w:hAnsi="Avenir Next LT Pro"/>
          <w:b/>
          <w:lang w:val="fr-CH"/>
        </w:rPr>
      </w:pPr>
    </w:p>
    <w:p w14:paraId="59DB01F0" w14:textId="1617211B" w:rsidR="00F4315C" w:rsidRPr="00EE59AB" w:rsidRDefault="00EE59AB" w:rsidP="00413266">
      <w:pPr>
        <w:spacing w:after="120"/>
        <w:jc w:val="both"/>
        <w:rPr>
          <w:rFonts w:ascii="Avenir Next LT Pro" w:hAnsi="Avenir Next LT Pro"/>
          <w:b/>
          <w:lang w:val="fr-CH"/>
        </w:rPr>
      </w:pPr>
      <w:r>
        <w:rPr>
          <w:rFonts w:ascii="Avenir Next LT Pro" w:hAnsi="Avenir Next LT Pro"/>
          <w:b/>
          <w:lang w:val="fr-CH"/>
        </w:rPr>
        <w:t>C</w:t>
      </w:r>
      <w:r w:rsidRPr="00EE59AB">
        <w:rPr>
          <w:rFonts w:ascii="Avenir Next LT Pro" w:hAnsi="Avenir Next LT Pro"/>
          <w:b/>
          <w:lang w:val="fr-CH"/>
        </w:rPr>
        <w:t>omptable/</w:t>
      </w:r>
      <w:r>
        <w:rPr>
          <w:rFonts w:ascii="Avenir Next LT Pro" w:hAnsi="Avenir Next LT Pro"/>
          <w:b/>
          <w:lang w:val="fr-CH"/>
        </w:rPr>
        <w:t>A</w:t>
      </w:r>
      <w:r w:rsidRPr="00EE59AB">
        <w:rPr>
          <w:rFonts w:ascii="Avenir Next LT Pro" w:hAnsi="Avenir Next LT Pro"/>
          <w:b/>
          <w:lang w:val="fr-CH"/>
        </w:rPr>
        <w:t>ssistant(e) financier/</w:t>
      </w:r>
      <w:r>
        <w:rPr>
          <w:rFonts w:ascii="Avenir Next LT Pro" w:hAnsi="Avenir Next LT Pro"/>
          <w:b/>
          <w:lang w:val="fr-CH"/>
        </w:rPr>
        <w:t>C</w:t>
      </w:r>
      <w:r w:rsidRPr="00EE59AB">
        <w:rPr>
          <w:rFonts w:ascii="Avenir Next LT Pro" w:hAnsi="Avenir Next LT Pro"/>
          <w:b/>
          <w:lang w:val="fr-CH"/>
        </w:rPr>
        <w:t>hargé de fina</w:t>
      </w:r>
      <w:r>
        <w:rPr>
          <w:rFonts w:ascii="Avenir Next LT Pro" w:hAnsi="Avenir Next LT Pro"/>
          <w:b/>
          <w:lang w:val="fr-CH"/>
        </w:rPr>
        <w:t>nce</w:t>
      </w:r>
    </w:p>
    <w:p w14:paraId="50405487" w14:textId="77777777" w:rsidR="00A952DA" w:rsidRPr="002B1082" w:rsidRDefault="00A952DA" w:rsidP="00A952DA">
      <w:pPr>
        <w:spacing w:after="0"/>
        <w:jc w:val="both"/>
        <w:rPr>
          <w:rFonts w:ascii="Avenir Next LT Pro" w:hAnsi="Avenir Next LT Pro" w:cs="Arial"/>
          <w:noProof/>
          <w:u w:val="single"/>
          <w:lang w:val="fr-CH" w:eastAsia="zh-CN"/>
        </w:rPr>
      </w:pPr>
      <w:r w:rsidRPr="002B1082">
        <w:rPr>
          <w:rFonts w:ascii="Avenir Next LT Pro" w:hAnsi="Avenir Next LT Pro" w:cs="Arial"/>
          <w:noProof/>
          <w:u w:val="single"/>
          <w:lang w:val="fr-CH" w:eastAsia="zh-CN"/>
        </w:rPr>
        <w:t>Généralités</w:t>
      </w:r>
    </w:p>
    <w:p w14:paraId="4EF7B08F" w14:textId="35A0C7E8" w:rsidR="00A952DA" w:rsidRDefault="00A952DA" w:rsidP="00A952DA">
      <w:pPr>
        <w:spacing w:after="0"/>
        <w:jc w:val="both"/>
        <w:rPr>
          <w:rFonts w:ascii="Avenir Next LT Pro" w:hAnsi="Avenir Next LT Pro"/>
        </w:rPr>
      </w:pPr>
      <w:r w:rsidRPr="00692E50">
        <w:rPr>
          <w:rFonts w:ascii="Avenir Next LT Pro" w:hAnsi="Avenir Next LT Pro"/>
        </w:rPr>
        <w:lastRenderedPageBreak/>
        <w:t xml:space="preserve">Sous la supervision et la direction générales du chef de projet, </w:t>
      </w:r>
      <w:r w:rsidR="00CB572D">
        <w:rPr>
          <w:rFonts w:ascii="Avenir Next LT Pro" w:hAnsi="Avenir Next LT Pro"/>
        </w:rPr>
        <w:t xml:space="preserve">le (la) </w:t>
      </w:r>
      <w:r w:rsidR="00D96782">
        <w:rPr>
          <w:rFonts w:ascii="Avenir Next LT Pro" w:hAnsi="Avenir Next LT Pro"/>
        </w:rPr>
        <w:t>comptable/</w:t>
      </w:r>
      <w:r w:rsidR="00FF2C4A">
        <w:rPr>
          <w:rFonts w:ascii="Avenir Next LT Pro" w:hAnsi="Avenir Next LT Pro"/>
        </w:rPr>
        <w:t>assistant(e) financier</w:t>
      </w:r>
      <w:r w:rsidR="0072223A">
        <w:rPr>
          <w:rFonts w:ascii="Avenir Next LT Pro" w:hAnsi="Avenir Next LT Pro"/>
        </w:rPr>
        <w:t>/chargé de finance</w:t>
      </w:r>
      <w:r>
        <w:rPr>
          <w:rFonts w:ascii="Avenir Next LT Pro" w:hAnsi="Avenir Next LT Pro"/>
        </w:rPr>
        <w:t xml:space="preserve"> sera responsable </w:t>
      </w:r>
      <w:r w:rsidRPr="00692E50">
        <w:rPr>
          <w:rFonts w:ascii="Avenir Next LT Pro" w:hAnsi="Avenir Next LT Pro"/>
        </w:rPr>
        <w:t>de</w:t>
      </w:r>
      <w:r>
        <w:rPr>
          <w:rFonts w:ascii="Avenir Next LT Pro" w:hAnsi="Avenir Next LT Pro"/>
        </w:rPr>
        <w:t>s tâches suivantes</w:t>
      </w:r>
      <w:r w:rsidR="00173E87">
        <w:rPr>
          <w:rFonts w:ascii="Avenir Next LT Pro" w:hAnsi="Avenir Next LT Pro"/>
        </w:rPr>
        <w:t> :</w:t>
      </w:r>
    </w:p>
    <w:p w14:paraId="0EC4CE6F" w14:textId="77777777" w:rsidR="00A952DA" w:rsidRDefault="00A952DA" w:rsidP="0017778E">
      <w:pPr>
        <w:spacing w:after="0"/>
        <w:jc w:val="both"/>
        <w:rPr>
          <w:rFonts w:ascii="Avenir Next LT Pro" w:hAnsi="Avenir Next LT Pro"/>
        </w:rPr>
      </w:pPr>
    </w:p>
    <w:p w14:paraId="72786142" w14:textId="77777777" w:rsidR="00B0540D" w:rsidRPr="00692E50" w:rsidRDefault="00B0540D" w:rsidP="00B0540D">
      <w:pPr>
        <w:spacing w:after="0"/>
        <w:jc w:val="both"/>
        <w:rPr>
          <w:rFonts w:ascii="Avenir Next LT Pro" w:hAnsi="Avenir Next LT Pro" w:cs="Arial"/>
          <w:noProof/>
          <w:u w:val="single"/>
          <w:lang w:eastAsia="zh-CN"/>
        </w:rPr>
      </w:pPr>
      <w:r w:rsidRPr="00692E50">
        <w:rPr>
          <w:rFonts w:ascii="Avenir Next LT Pro" w:hAnsi="Avenir Next LT Pro" w:cs="Arial"/>
          <w:noProof/>
          <w:u w:val="single"/>
          <w:lang w:eastAsia="zh-CN"/>
        </w:rPr>
        <w:t>Tâches et responsabilités</w:t>
      </w:r>
    </w:p>
    <w:p w14:paraId="7BCA0F72" w14:textId="39AFEA65" w:rsidR="003B0F23" w:rsidRPr="00086A8B" w:rsidRDefault="003B0F23" w:rsidP="00487A95">
      <w:pPr>
        <w:numPr>
          <w:ilvl w:val="0"/>
          <w:numId w:val="32"/>
        </w:numPr>
        <w:spacing w:after="0"/>
        <w:jc w:val="both"/>
        <w:rPr>
          <w:rFonts w:ascii="Avenir Next LT Pro" w:hAnsi="Avenir Next LT Pro"/>
          <w:lang w:val="fr-CH"/>
        </w:rPr>
      </w:pPr>
      <w:r w:rsidRPr="00086A8B">
        <w:rPr>
          <w:rFonts w:ascii="Avenir Next LT Pro" w:hAnsi="Avenir Next LT Pro"/>
          <w:lang w:val="fr-CH"/>
        </w:rPr>
        <w:t xml:space="preserve">Tenir </w:t>
      </w:r>
      <w:r w:rsidR="00086A8B" w:rsidRPr="00086A8B">
        <w:rPr>
          <w:rFonts w:ascii="Avenir Next LT Pro" w:hAnsi="Avenir Next LT Pro"/>
          <w:lang w:val="fr-CH"/>
        </w:rPr>
        <w:t>l</w:t>
      </w:r>
      <w:r w:rsidRPr="00086A8B">
        <w:rPr>
          <w:rFonts w:ascii="Avenir Next LT Pro" w:hAnsi="Avenir Next LT Pro"/>
          <w:lang w:val="fr-CH"/>
        </w:rPr>
        <w:t xml:space="preserve">es registres des fonds et des dépenses du projet et s'assurer que tous les documents financiers liés au projet sont bien conservés et facilement accessibles lorsque le </w:t>
      </w:r>
      <w:r w:rsidR="00086A8B">
        <w:rPr>
          <w:rFonts w:ascii="Avenir Next LT Pro" w:hAnsi="Avenir Next LT Pro"/>
          <w:lang w:val="fr-CH"/>
        </w:rPr>
        <w:t>(la) Chef(</w:t>
      </w:r>
      <w:proofErr w:type="spellStart"/>
      <w:r w:rsidR="00086A8B">
        <w:rPr>
          <w:rFonts w:ascii="Avenir Next LT Pro" w:hAnsi="Avenir Next LT Pro"/>
          <w:lang w:val="fr-CH"/>
        </w:rPr>
        <w:t>fe</w:t>
      </w:r>
      <w:proofErr w:type="spellEnd"/>
      <w:r w:rsidR="00086A8B">
        <w:rPr>
          <w:rFonts w:ascii="Avenir Next LT Pro" w:hAnsi="Avenir Next LT Pro"/>
          <w:lang w:val="fr-CH"/>
        </w:rPr>
        <w:t>)</w:t>
      </w:r>
      <w:r w:rsidRPr="00086A8B">
        <w:rPr>
          <w:rFonts w:ascii="Avenir Next LT Pro" w:hAnsi="Avenir Next LT Pro"/>
          <w:lang w:val="fr-CH"/>
        </w:rPr>
        <w:t xml:space="preserve"> de projet l'exige.</w:t>
      </w:r>
    </w:p>
    <w:p w14:paraId="11BF7750" w14:textId="17CFD224" w:rsidR="003B0F23" w:rsidRPr="00086A8B" w:rsidRDefault="003B0F23" w:rsidP="00487A95">
      <w:pPr>
        <w:numPr>
          <w:ilvl w:val="0"/>
          <w:numId w:val="32"/>
        </w:numPr>
        <w:spacing w:after="0"/>
        <w:jc w:val="both"/>
        <w:rPr>
          <w:rFonts w:ascii="Avenir Next LT Pro" w:hAnsi="Avenir Next LT Pro"/>
          <w:lang w:val="fr-CH"/>
        </w:rPr>
      </w:pPr>
      <w:r w:rsidRPr="00086A8B">
        <w:rPr>
          <w:rFonts w:ascii="Avenir Next LT Pro" w:hAnsi="Avenir Next LT Pro"/>
          <w:lang w:val="fr-CH"/>
        </w:rPr>
        <w:t xml:space="preserve">Examiner les dépenses du projet et veiller à ce que les fonds du projet soient utilisés conformément au document de projet et aux règles et procédures financières nationales </w:t>
      </w:r>
      <w:r w:rsidR="00354E2D">
        <w:rPr>
          <w:rFonts w:ascii="Avenir Next LT Pro" w:hAnsi="Avenir Next LT Pro"/>
          <w:lang w:val="fr-CH"/>
        </w:rPr>
        <w:t>et de l’organisation </w:t>
      </w:r>
      <w:r w:rsidRPr="00086A8B">
        <w:rPr>
          <w:rFonts w:ascii="Avenir Next LT Pro" w:hAnsi="Avenir Next LT Pro"/>
          <w:lang w:val="fr-CH"/>
        </w:rPr>
        <w:t>;</w:t>
      </w:r>
    </w:p>
    <w:p w14:paraId="2F6BEA30" w14:textId="77777777" w:rsidR="003B0F23" w:rsidRPr="00086A8B" w:rsidRDefault="003B0F23" w:rsidP="00487A95">
      <w:pPr>
        <w:numPr>
          <w:ilvl w:val="0"/>
          <w:numId w:val="32"/>
        </w:numPr>
        <w:spacing w:after="0"/>
        <w:jc w:val="both"/>
        <w:rPr>
          <w:rFonts w:ascii="Avenir Next LT Pro" w:hAnsi="Avenir Next LT Pro"/>
          <w:lang w:val="fr-CH"/>
        </w:rPr>
      </w:pPr>
      <w:r w:rsidRPr="00086A8B">
        <w:rPr>
          <w:rFonts w:ascii="Avenir Next LT Pro" w:hAnsi="Avenir Next LT Pro"/>
          <w:lang w:val="fr-CH"/>
        </w:rPr>
        <w:t>Fournir les informations financières nécessaires au fur et à mesure des besoins pour les décisions de gestion de projet ;</w:t>
      </w:r>
    </w:p>
    <w:p w14:paraId="5A03F7FF" w14:textId="77777777" w:rsidR="003B0F23" w:rsidRPr="00086A8B" w:rsidRDefault="003B0F23" w:rsidP="00487A95">
      <w:pPr>
        <w:numPr>
          <w:ilvl w:val="0"/>
          <w:numId w:val="32"/>
        </w:numPr>
        <w:spacing w:after="0"/>
        <w:jc w:val="both"/>
        <w:rPr>
          <w:rFonts w:ascii="Avenir Next LT Pro" w:hAnsi="Avenir Next LT Pro"/>
          <w:lang w:val="fr-CH"/>
        </w:rPr>
      </w:pPr>
      <w:r w:rsidRPr="00086A8B">
        <w:rPr>
          <w:rFonts w:ascii="Avenir Next LT Pro" w:hAnsi="Avenir Next LT Pro"/>
          <w:lang w:val="fr-CH"/>
        </w:rPr>
        <w:t>Fournir les informations financières nécessaires lors de l'audit du projet ;</w:t>
      </w:r>
    </w:p>
    <w:p w14:paraId="654DD331" w14:textId="77777777" w:rsidR="003B0F23" w:rsidRPr="00086A8B" w:rsidRDefault="003B0F23" w:rsidP="00487A95">
      <w:pPr>
        <w:numPr>
          <w:ilvl w:val="0"/>
          <w:numId w:val="32"/>
        </w:numPr>
        <w:spacing w:after="0"/>
        <w:jc w:val="both"/>
        <w:rPr>
          <w:rFonts w:ascii="Avenir Next LT Pro" w:hAnsi="Avenir Next LT Pro"/>
          <w:lang w:val="fr-CH"/>
        </w:rPr>
      </w:pPr>
      <w:r w:rsidRPr="00086A8B">
        <w:rPr>
          <w:rFonts w:ascii="Avenir Next LT Pro" w:hAnsi="Avenir Next LT Pro"/>
          <w:lang w:val="fr-CH"/>
        </w:rPr>
        <w:t>Examiner les budgets annuels et les rapports sur les dépenses du projet, et aviser le gestionnaire de projet s'il y a des divergences ou des problèmes ;</w:t>
      </w:r>
    </w:p>
    <w:p w14:paraId="75ABEBAB" w14:textId="7B2B9D2C" w:rsidR="003B0F23" w:rsidRPr="00086A8B" w:rsidRDefault="003B0F23" w:rsidP="00487A95">
      <w:pPr>
        <w:numPr>
          <w:ilvl w:val="0"/>
          <w:numId w:val="32"/>
        </w:numPr>
        <w:spacing w:after="0"/>
        <w:jc w:val="both"/>
        <w:rPr>
          <w:rFonts w:ascii="Avenir Next LT Pro" w:hAnsi="Avenir Next LT Pro"/>
          <w:lang w:val="fr-CH"/>
        </w:rPr>
      </w:pPr>
      <w:r w:rsidRPr="00086A8B">
        <w:rPr>
          <w:rFonts w:ascii="Avenir Next LT Pro" w:hAnsi="Avenir Next LT Pro"/>
          <w:lang w:val="fr-CH"/>
        </w:rPr>
        <w:t xml:space="preserve">Consolider les rapports d'avancement financier soumis par les </w:t>
      </w:r>
      <w:r w:rsidR="00B134B7">
        <w:rPr>
          <w:rFonts w:ascii="Avenir Next LT Pro" w:hAnsi="Avenir Next LT Pro"/>
          <w:lang w:val="fr-CH"/>
        </w:rPr>
        <w:t xml:space="preserve">partenaires </w:t>
      </w:r>
      <w:r w:rsidRPr="00086A8B">
        <w:rPr>
          <w:rFonts w:ascii="Avenir Next LT Pro" w:hAnsi="Avenir Next LT Pro"/>
          <w:lang w:val="fr-CH"/>
        </w:rPr>
        <w:t>pour la mise en œuvre des activités du projet ;</w:t>
      </w:r>
    </w:p>
    <w:p w14:paraId="5F7CFC66" w14:textId="228267DD" w:rsidR="003B0F23" w:rsidRPr="00086A8B" w:rsidRDefault="003B0F23" w:rsidP="00487A95">
      <w:pPr>
        <w:numPr>
          <w:ilvl w:val="0"/>
          <w:numId w:val="32"/>
        </w:numPr>
        <w:spacing w:after="0"/>
        <w:jc w:val="both"/>
        <w:rPr>
          <w:rFonts w:ascii="Avenir Next LT Pro" w:hAnsi="Avenir Next LT Pro"/>
          <w:lang w:val="fr-CH"/>
        </w:rPr>
      </w:pPr>
      <w:r w:rsidRPr="00086A8B">
        <w:rPr>
          <w:rFonts w:ascii="Avenir Next LT Pro" w:hAnsi="Avenir Next LT Pro"/>
          <w:lang w:val="fr-CH"/>
        </w:rPr>
        <w:t xml:space="preserve">Assurer la liaison et le suivi avec les </w:t>
      </w:r>
      <w:r w:rsidR="002C6ABD">
        <w:rPr>
          <w:rFonts w:ascii="Avenir Next LT Pro" w:hAnsi="Avenir Next LT Pro"/>
          <w:lang w:val="fr-CH"/>
        </w:rPr>
        <w:t xml:space="preserve">partenaires </w:t>
      </w:r>
      <w:r w:rsidRPr="00086A8B">
        <w:rPr>
          <w:rFonts w:ascii="Avenir Next LT Pro" w:hAnsi="Avenir Next LT Pro"/>
          <w:lang w:val="fr-CH"/>
        </w:rPr>
        <w:t>de mise en œuvre en ce qui concerne les fonds du projet et les rapports d'avancement financier.</w:t>
      </w:r>
    </w:p>
    <w:p w14:paraId="0561BDB2" w14:textId="77777777" w:rsidR="00F4315C" w:rsidRPr="00086A8B" w:rsidRDefault="00F4315C" w:rsidP="0017778E">
      <w:pPr>
        <w:spacing w:after="0"/>
        <w:jc w:val="both"/>
        <w:rPr>
          <w:rFonts w:ascii="Avenir Next LT Pro" w:hAnsi="Avenir Next LT Pro"/>
          <w:lang w:val="fr-CH"/>
        </w:rPr>
      </w:pPr>
    </w:p>
    <w:p w14:paraId="431076C4" w14:textId="77777777"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 xml:space="preserve">Compétences et expertise requises </w:t>
      </w:r>
    </w:p>
    <w:p w14:paraId="1153399C" w14:textId="77777777" w:rsidR="001413B1" w:rsidRPr="001413B1" w:rsidRDefault="001413B1" w:rsidP="00487A95">
      <w:pPr>
        <w:numPr>
          <w:ilvl w:val="0"/>
          <w:numId w:val="32"/>
        </w:numPr>
        <w:spacing w:after="0"/>
        <w:jc w:val="both"/>
        <w:rPr>
          <w:rFonts w:ascii="Avenir Next LT Pro" w:hAnsi="Avenir Next LT Pro"/>
          <w:lang w:val="fr-CH"/>
        </w:rPr>
      </w:pPr>
      <w:r w:rsidRPr="001413B1">
        <w:rPr>
          <w:rFonts w:ascii="Avenir Next LT Pro" w:hAnsi="Avenir Next LT Pro"/>
          <w:lang w:val="fr-CH"/>
        </w:rPr>
        <w:t>Être titulaire d'un baccalauréat ou d'un diplôme d'études supérieures en comptabilité/gestion financière ;</w:t>
      </w:r>
    </w:p>
    <w:p w14:paraId="40D5CE18" w14:textId="732D2505" w:rsidR="001413B1" w:rsidRPr="001413B1" w:rsidRDefault="001413B1" w:rsidP="00487A95">
      <w:pPr>
        <w:numPr>
          <w:ilvl w:val="0"/>
          <w:numId w:val="32"/>
        </w:numPr>
        <w:spacing w:after="0"/>
        <w:jc w:val="both"/>
        <w:rPr>
          <w:rFonts w:ascii="Avenir Next LT Pro" w:hAnsi="Avenir Next LT Pro"/>
          <w:lang w:val="fr-CH"/>
        </w:rPr>
      </w:pPr>
      <w:r w:rsidRPr="001413B1">
        <w:rPr>
          <w:rFonts w:ascii="Avenir Next LT Pro" w:hAnsi="Avenir Next LT Pro"/>
          <w:lang w:val="fr-CH"/>
        </w:rPr>
        <w:t>Au moins cinq ans d'expérience professionnelle pertinente, de préférence dans un cadre de gestion de projet impliquant un organisme de financement multilatéral ou international. ;</w:t>
      </w:r>
    </w:p>
    <w:p w14:paraId="65503FF0" w14:textId="77777777" w:rsidR="001413B1" w:rsidRPr="001413B1" w:rsidRDefault="001413B1" w:rsidP="00487A95">
      <w:pPr>
        <w:numPr>
          <w:ilvl w:val="0"/>
          <w:numId w:val="32"/>
        </w:numPr>
        <w:spacing w:after="0"/>
        <w:jc w:val="both"/>
        <w:rPr>
          <w:rFonts w:ascii="Avenir Next LT Pro" w:hAnsi="Avenir Next LT Pro"/>
          <w:lang w:val="fr-CH"/>
        </w:rPr>
      </w:pPr>
      <w:r w:rsidRPr="001413B1">
        <w:rPr>
          <w:rFonts w:ascii="Avenir Next LT Pro" w:hAnsi="Avenir Next LT Pro"/>
          <w:lang w:val="fr-CH"/>
        </w:rPr>
        <w:t>Maîtrise de l'utilisation d'applications logicielles, en particulier MS Excel ;</w:t>
      </w:r>
    </w:p>
    <w:p w14:paraId="52B1D67E" w14:textId="093A52CC" w:rsidR="001413B1" w:rsidRPr="001413B1" w:rsidRDefault="001413B1" w:rsidP="00487A95">
      <w:pPr>
        <w:numPr>
          <w:ilvl w:val="0"/>
          <w:numId w:val="32"/>
        </w:numPr>
        <w:spacing w:after="0"/>
        <w:jc w:val="both"/>
        <w:rPr>
          <w:rFonts w:ascii="Avenir Next LT Pro" w:hAnsi="Avenir Next LT Pro"/>
          <w:lang w:val="fr-CH"/>
        </w:rPr>
      </w:pPr>
      <w:r w:rsidRPr="001413B1">
        <w:rPr>
          <w:rFonts w:ascii="Avenir Next LT Pro" w:hAnsi="Avenir Next LT Pro"/>
          <w:lang w:val="fr-CH"/>
        </w:rPr>
        <w:t xml:space="preserve">Excellentes compétences linguistiques en français (écrit, oral et lu). </w:t>
      </w:r>
    </w:p>
    <w:p w14:paraId="054EF91F" w14:textId="77777777" w:rsidR="00980800" w:rsidRPr="007101BB" w:rsidRDefault="00980800" w:rsidP="0017778E">
      <w:pPr>
        <w:spacing w:after="0"/>
        <w:jc w:val="both"/>
        <w:rPr>
          <w:rFonts w:ascii="Avenir Next LT Pro" w:hAnsi="Avenir Next LT Pro"/>
          <w:lang w:val="fr-CD"/>
        </w:rPr>
      </w:pPr>
    </w:p>
    <w:p w14:paraId="45715C42" w14:textId="77777777" w:rsidR="00980800" w:rsidRPr="007101BB" w:rsidRDefault="00980800" w:rsidP="0017778E">
      <w:pPr>
        <w:spacing w:after="0"/>
        <w:jc w:val="both"/>
        <w:rPr>
          <w:rFonts w:ascii="Avenir Next LT Pro" w:hAnsi="Avenir Next LT Pro"/>
          <w:lang w:val="fr-CD"/>
        </w:rPr>
      </w:pPr>
    </w:p>
    <w:p w14:paraId="16C6353F" w14:textId="4CB55EA3" w:rsidR="009613A6" w:rsidRPr="00467389" w:rsidRDefault="00467389" w:rsidP="00413266">
      <w:pPr>
        <w:spacing w:after="120"/>
        <w:jc w:val="both"/>
        <w:rPr>
          <w:rFonts w:ascii="Avenir Next LT Pro" w:hAnsi="Avenir Next LT Pro"/>
          <w:b/>
          <w:lang w:val="fr-CH"/>
        </w:rPr>
      </w:pPr>
      <w:r w:rsidRPr="0007139B">
        <w:rPr>
          <w:rFonts w:ascii="Avenir Next LT Pro" w:hAnsi="Avenir Next LT Pro"/>
          <w:b/>
          <w:lang w:val="fr-CH"/>
        </w:rPr>
        <w:t>Chargé</w:t>
      </w:r>
      <w:r w:rsidR="001C5AC4" w:rsidRPr="0007139B">
        <w:rPr>
          <w:rFonts w:ascii="Avenir Next LT Pro" w:hAnsi="Avenir Next LT Pro"/>
          <w:b/>
          <w:lang w:val="fr-CH"/>
        </w:rPr>
        <w:t>(e)</w:t>
      </w:r>
      <w:r w:rsidRPr="0007139B">
        <w:rPr>
          <w:rFonts w:ascii="Avenir Next LT Pro" w:hAnsi="Avenir Next LT Pro"/>
          <w:b/>
          <w:lang w:val="fr-CH"/>
        </w:rPr>
        <w:t xml:space="preserve"> de </w:t>
      </w:r>
      <w:r w:rsidR="00F4315C" w:rsidRPr="0007139B">
        <w:rPr>
          <w:rFonts w:ascii="Avenir Next LT Pro" w:hAnsi="Avenir Next LT Pro"/>
          <w:b/>
          <w:lang w:val="fr-CH"/>
        </w:rPr>
        <w:t xml:space="preserve">Communications </w:t>
      </w:r>
      <w:r w:rsidR="009613A6" w:rsidRPr="0007139B">
        <w:rPr>
          <w:rFonts w:ascii="Avenir Next LT Pro" w:hAnsi="Avenir Next LT Pro"/>
          <w:bCs/>
          <w:lang w:val="fr-CH"/>
        </w:rPr>
        <w:t>(</w:t>
      </w:r>
      <w:r w:rsidRPr="0007139B">
        <w:rPr>
          <w:rFonts w:ascii="Avenir Next LT Pro" w:hAnsi="Avenir Next LT Pro"/>
          <w:bCs/>
          <w:lang w:val="fr-CH"/>
        </w:rPr>
        <w:t>si pertinent</w:t>
      </w:r>
      <w:r w:rsidR="009613A6" w:rsidRPr="0007139B">
        <w:rPr>
          <w:rFonts w:ascii="Avenir Next LT Pro" w:hAnsi="Avenir Next LT Pro"/>
          <w:bCs/>
          <w:lang w:val="fr-CH"/>
        </w:rPr>
        <w:t>)</w:t>
      </w:r>
    </w:p>
    <w:p w14:paraId="49B98B69" w14:textId="77777777" w:rsidR="00A952DA" w:rsidRPr="002B1082" w:rsidRDefault="00A952DA" w:rsidP="00A952DA">
      <w:pPr>
        <w:spacing w:after="0"/>
        <w:jc w:val="both"/>
        <w:rPr>
          <w:rFonts w:ascii="Avenir Next LT Pro" w:hAnsi="Avenir Next LT Pro" w:cs="Arial"/>
          <w:noProof/>
          <w:u w:val="single"/>
          <w:lang w:val="fr-CH" w:eastAsia="zh-CN"/>
        </w:rPr>
      </w:pPr>
      <w:r w:rsidRPr="002B1082">
        <w:rPr>
          <w:rFonts w:ascii="Avenir Next LT Pro" w:hAnsi="Avenir Next LT Pro" w:cs="Arial"/>
          <w:noProof/>
          <w:u w:val="single"/>
          <w:lang w:val="fr-CH" w:eastAsia="zh-CN"/>
        </w:rPr>
        <w:t>Généralités</w:t>
      </w:r>
    </w:p>
    <w:p w14:paraId="1F1467C1" w14:textId="1A51E756" w:rsidR="00AA131B" w:rsidRPr="00AA131B" w:rsidRDefault="00A952DA" w:rsidP="00B2109B">
      <w:pPr>
        <w:spacing w:after="0"/>
        <w:jc w:val="both"/>
        <w:rPr>
          <w:rFonts w:ascii="Avenir Next LT Pro" w:hAnsi="Avenir Next LT Pro"/>
          <w:lang w:val="fr-CH"/>
        </w:rPr>
      </w:pPr>
      <w:r w:rsidRPr="00692E50">
        <w:rPr>
          <w:rFonts w:ascii="Avenir Next LT Pro" w:hAnsi="Avenir Next LT Pro"/>
        </w:rPr>
        <w:t xml:space="preserve">Sous la supervision et la direction générales du chef de projet, </w:t>
      </w:r>
      <w:r w:rsidR="00C34DD9">
        <w:rPr>
          <w:rFonts w:ascii="Avenir Next LT Pro" w:hAnsi="Avenir Next LT Pro"/>
        </w:rPr>
        <w:t xml:space="preserve">le (la) </w:t>
      </w:r>
      <w:r w:rsidR="009E7BF9" w:rsidRPr="009E7BF9">
        <w:rPr>
          <w:rFonts w:ascii="Avenir Next LT Pro" w:hAnsi="Avenir Next LT Pro"/>
        </w:rPr>
        <w:t xml:space="preserve">Chargé(e) de Communications </w:t>
      </w:r>
      <w:r w:rsidR="00AA131B" w:rsidRPr="00AA131B">
        <w:rPr>
          <w:rFonts w:ascii="Avenir Next LT Pro" w:hAnsi="Avenir Next LT Pro"/>
          <w:lang w:val="fr-CH"/>
        </w:rPr>
        <w:t xml:space="preserve">aura la responsabilité de la gestion des connaissances, d’élaborer la stratégie de communication dès le début du projet et de coordonner sa mise en œuvre dans toutes les composantes du projet. </w:t>
      </w:r>
      <w:r w:rsidR="000B70C1">
        <w:rPr>
          <w:rFonts w:ascii="Avenir Next LT Pro" w:hAnsi="Avenir Next LT Pro"/>
        </w:rPr>
        <w:t xml:space="preserve">Le (la) </w:t>
      </w:r>
      <w:r w:rsidR="000B70C1" w:rsidRPr="009E7BF9">
        <w:rPr>
          <w:rFonts w:ascii="Avenir Next LT Pro" w:hAnsi="Avenir Next LT Pro"/>
        </w:rPr>
        <w:t xml:space="preserve">Chargé(e) </w:t>
      </w:r>
      <w:r w:rsidR="00AA131B" w:rsidRPr="00AA131B">
        <w:rPr>
          <w:rFonts w:ascii="Avenir Next LT Pro" w:hAnsi="Avenir Next LT Pro"/>
          <w:lang w:val="fr-CH"/>
        </w:rPr>
        <w:t xml:space="preserve">de communication travaillera en étroite collaboration avec </w:t>
      </w:r>
      <w:r w:rsidR="000B70C1">
        <w:rPr>
          <w:rFonts w:ascii="Avenir Next LT Pro" w:hAnsi="Avenir Next LT Pro"/>
        </w:rPr>
        <w:t xml:space="preserve">le (la) </w:t>
      </w:r>
      <w:r w:rsidR="000B70C1" w:rsidRPr="009E7BF9">
        <w:rPr>
          <w:rFonts w:ascii="Avenir Next LT Pro" w:hAnsi="Avenir Next LT Pro"/>
        </w:rPr>
        <w:t xml:space="preserve">Chargé(e) </w:t>
      </w:r>
      <w:r w:rsidR="00AA131B" w:rsidRPr="00AA131B">
        <w:rPr>
          <w:rFonts w:ascii="Avenir Next LT Pro" w:hAnsi="Avenir Next LT Pro"/>
          <w:lang w:val="fr-CH"/>
        </w:rPr>
        <w:t>de suivi et évaluation sur les aspects du projet liés à la gestion des connaissances.</w:t>
      </w:r>
    </w:p>
    <w:p w14:paraId="3E7120B4" w14:textId="4F5F88EA" w:rsidR="008D3942" w:rsidRPr="00AE5271" w:rsidRDefault="008D3942" w:rsidP="0017778E">
      <w:pPr>
        <w:spacing w:after="0"/>
        <w:jc w:val="both"/>
        <w:rPr>
          <w:rFonts w:ascii="Avenir Next LT Pro" w:hAnsi="Avenir Next LT Pro"/>
          <w:lang w:val="fr-CH"/>
        </w:rPr>
      </w:pPr>
    </w:p>
    <w:p w14:paraId="448993D4" w14:textId="77777777" w:rsidR="00C34DD9" w:rsidRPr="00B0540D" w:rsidRDefault="00C34DD9" w:rsidP="00C34DD9">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t>Tâches et responsabilités</w:t>
      </w:r>
    </w:p>
    <w:p w14:paraId="0EE4F5F7" w14:textId="14A003CB" w:rsidR="00523BE5" w:rsidRPr="00AE5271" w:rsidRDefault="00523BE5" w:rsidP="00487A95">
      <w:pPr>
        <w:numPr>
          <w:ilvl w:val="0"/>
          <w:numId w:val="33"/>
        </w:numPr>
        <w:spacing w:after="0"/>
        <w:jc w:val="both"/>
        <w:rPr>
          <w:rFonts w:ascii="Avenir Next LT Pro" w:hAnsi="Avenir Next LT Pro"/>
          <w:lang w:val="fr-CH"/>
        </w:rPr>
      </w:pPr>
      <w:r w:rsidRPr="00692E50">
        <w:rPr>
          <w:rFonts w:ascii="Avenir Next LT Pro" w:hAnsi="Avenir Next LT Pro"/>
        </w:rPr>
        <w:t xml:space="preserve">Élaborer une stratégie ou un plan de communication du projet, l'intégrer aux plans de travail annuels et le mettre à jour chaque année en consultation avec les parties prenantes du projet ; </w:t>
      </w:r>
      <w:r w:rsidR="00140A9C">
        <w:rPr>
          <w:rFonts w:ascii="Avenir Next LT Pro" w:hAnsi="Avenir Next LT Pro"/>
        </w:rPr>
        <w:t>C</w:t>
      </w:r>
      <w:r w:rsidRPr="00692E50">
        <w:rPr>
          <w:rFonts w:ascii="Avenir Next LT Pro" w:hAnsi="Avenir Next LT Pro"/>
        </w:rPr>
        <w:t>oordonner sa mise en œuvre</w:t>
      </w:r>
    </w:p>
    <w:p w14:paraId="00BCBB0F" w14:textId="77777777" w:rsidR="00523BE5" w:rsidRPr="00AE5271" w:rsidRDefault="00523BE5" w:rsidP="00487A95">
      <w:pPr>
        <w:numPr>
          <w:ilvl w:val="0"/>
          <w:numId w:val="33"/>
        </w:numPr>
        <w:spacing w:after="0"/>
        <w:jc w:val="both"/>
        <w:rPr>
          <w:rFonts w:ascii="Avenir Next LT Pro" w:hAnsi="Avenir Next LT Pro"/>
          <w:lang w:val="fr-CH"/>
        </w:rPr>
      </w:pPr>
      <w:r w:rsidRPr="00692E50">
        <w:rPr>
          <w:rFonts w:ascii="Avenir Next LT Pro" w:hAnsi="Avenir Next LT Pro"/>
        </w:rPr>
        <w:t>Coordonner la mise en œuvre des résultats du projet en matière de gestion des connaissances ;</w:t>
      </w:r>
    </w:p>
    <w:p w14:paraId="6360D602" w14:textId="77777777" w:rsidR="00523BE5" w:rsidRPr="00523BE5" w:rsidRDefault="00523BE5" w:rsidP="00487A95">
      <w:pPr>
        <w:numPr>
          <w:ilvl w:val="0"/>
          <w:numId w:val="33"/>
        </w:numPr>
        <w:spacing w:after="0"/>
        <w:jc w:val="both"/>
        <w:rPr>
          <w:rFonts w:ascii="Avenir Next LT Pro" w:hAnsi="Avenir Next LT Pro"/>
          <w:lang w:val="fr-CH"/>
        </w:rPr>
      </w:pPr>
      <w:r w:rsidRPr="00692E50">
        <w:rPr>
          <w:rFonts w:ascii="Avenir Next LT Pro" w:hAnsi="Avenir Next LT Pro"/>
        </w:rPr>
        <w:t>Coordonner et superviser la mise en œuvre des activités de sensibilisation du public dans toutes les composantes du projet ;</w:t>
      </w:r>
    </w:p>
    <w:p w14:paraId="14FF0756" w14:textId="77777777" w:rsidR="00523BE5" w:rsidRPr="00523BE5" w:rsidRDefault="00523BE5" w:rsidP="00487A95">
      <w:pPr>
        <w:numPr>
          <w:ilvl w:val="0"/>
          <w:numId w:val="33"/>
        </w:numPr>
        <w:spacing w:after="0"/>
        <w:jc w:val="both"/>
        <w:rPr>
          <w:rFonts w:ascii="Avenir Next LT Pro" w:hAnsi="Avenir Next LT Pro"/>
          <w:lang w:val="fr-CH"/>
        </w:rPr>
      </w:pPr>
      <w:r w:rsidRPr="00692E50">
        <w:rPr>
          <w:rFonts w:ascii="Avenir Next LT Pro" w:hAnsi="Avenir Next LT Pro"/>
        </w:rPr>
        <w:t>Faciliter la conception et la maintenance du site Web et des pages Web du projet et s'assurer qu'il est à jour et dynamique ;</w:t>
      </w:r>
    </w:p>
    <w:p w14:paraId="16C92FCF" w14:textId="77777777" w:rsidR="00523BE5" w:rsidRPr="00AE5271" w:rsidRDefault="00523BE5" w:rsidP="00487A95">
      <w:pPr>
        <w:numPr>
          <w:ilvl w:val="0"/>
          <w:numId w:val="33"/>
        </w:numPr>
        <w:spacing w:after="0"/>
        <w:jc w:val="both"/>
        <w:rPr>
          <w:rFonts w:ascii="Avenir Next LT Pro" w:hAnsi="Avenir Next LT Pro"/>
          <w:lang w:val="fr-CH"/>
        </w:rPr>
      </w:pPr>
      <w:r w:rsidRPr="00692E50">
        <w:rPr>
          <w:rFonts w:ascii="Avenir Next LT Pro" w:hAnsi="Avenir Next LT Pro"/>
        </w:rPr>
        <w:t>Faciliter l'apprentissage et le partage des connaissances et des expériences pertinentes pour le projet ;</w:t>
      </w:r>
    </w:p>
    <w:p w14:paraId="5D59D8C3" w14:textId="77777777" w:rsidR="00C34DD9" w:rsidRPr="00AE5271" w:rsidRDefault="00C34DD9" w:rsidP="00C34DD9">
      <w:pPr>
        <w:spacing w:after="0"/>
        <w:jc w:val="both"/>
        <w:rPr>
          <w:rFonts w:ascii="Avenir Next LT Pro" w:hAnsi="Avenir Next LT Pro"/>
          <w:lang w:val="fr-CH"/>
        </w:rPr>
      </w:pPr>
    </w:p>
    <w:p w14:paraId="6122A73D" w14:textId="77777777" w:rsidR="00B0540D" w:rsidRPr="00B0540D" w:rsidRDefault="00B0540D" w:rsidP="00B0540D">
      <w:pPr>
        <w:spacing w:after="0"/>
        <w:jc w:val="both"/>
        <w:rPr>
          <w:rFonts w:ascii="Avenir Next LT Pro" w:hAnsi="Avenir Next LT Pro" w:cs="Arial"/>
          <w:noProof/>
          <w:u w:val="single"/>
          <w:lang w:eastAsia="zh-CN"/>
        </w:rPr>
      </w:pPr>
      <w:r w:rsidRPr="00B0540D">
        <w:rPr>
          <w:rFonts w:ascii="Avenir Next LT Pro" w:hAnsi="Avenir Next LT Pro" w:cs="Arial"/>
          <w:noProof/>
          <w:u w:val="single"/>
          <w:lang w:eastAsia="zh-CN"/>
        </w:rPr>
        <w:lastRenderedPageBreak/>
        <w:t xml:space="preserve">Compétences et expertise requises </w:t>
      </w:r>
    </w:p>
    <w:p w14:paraId="4C8D0B14" w14:textId="1045DF78" w:rsidR="00180C40" w:rsidRPr="00A94F43" w:rsidRDefault="00AE5271" w:rsidP="00487A95">
      <w:pPr>
        <w:numPr>
          <w:ilvl w:val="0"/>
          <w:numId w:val="33"/>
        </w:numPr>
        <w:spacing w:after="0"/>
        <w:jc w:val="both"/>
        <w:rPr>
          <w:rFonts w:ascii="Avenir Next LT Pro" w:hAnsi="Avenir Next LT Pro"/>
          <w:lang w:val="fr-CH"/>
        </w:rPr>
      </w:pPr>
      <w:r w:rsidRPr="00AE5271">
        <w:rPr>
          <w:rFonts w:ascii="Avenir Next LT Pro" w:hAnsi="Avenir Next LT Pro"/>
          <w:lang w:val="fr-CH"/>
        </w:rPr>
        <w:t>Un diplôme en communication (</w:t>
      </w:r>
      <w:r w:rsidR="00FF28B1">
        <w:rPr>
          <w:rFonts w:ascii="Avenir Next LT Pro" w:hAnsi="Avenir Next LT Pro"/>
          <w:lang w:val="fr-CH"/>
        </w:rPr>
        <w:t>Baccalauréat</w:t>
      </w:r>
      <w:r w:rsidRPr="00AE5271">
        <w:rPr>
          <w:rFonts w:ascii="Avenir Next LT Pro" w:hAnsi="Avenir Next LT Pro"/>
          <w:lang w:val="fr-CH"/>
        </w:rPr>
        <w:t>, Licence)</w:t>
      </w:r>
      <w:r w:rsidR="005F5911">
        <w:rPr>
          <w:rFonts w:ascii="Avenir Next LT Pro" w:hAnsi="Avenir Next LT Pro"/>
          <w:lang w:val="fr-CH"/>
        </w:rPr>
        <w:t> ;</w:t>
      </w:r>
    </w:p>
    <w:p w14:paraId="56ADC03C" w14:textId="55494B54" w:rsidR="00180C40" w:rsidRDefault="00AE5271" w:rsidP="00487A95">
      <w:pPr>
        <w:numPr>
          <w:ilvl w:val="0"/>
          <w:numId w:val="33"/>
        </w:numPr>
        <w:spacing w:after="0"/>
        <w:jc w:val="both"/>
        <w:rPr>
          <w:rFonts w:ascii="Avenir Next LT Pro" w:hAnsi="Avenir Next LT Pro"/>
          <w:lang w:val="en-GB"/>
        </w:rPr>
      </w:pPr>
      <w:r w:rsidRPr="00AE5271">
        <w:rPr>
          <w:rFonts w:ascii="Avenir Next LT Pro" w:hAnsi="Avenir Next LT Pro"/>
          <w:lang w:val="fr-CH"/>
        </w:rPr>
        <w:t xml:space="preserve">Au moins trois ans d’expérience professionnelle pertinente dans le domaine de la communication pour la mise en œuvre de projets ou de programmes, impliquant idéalement des donateurs internationaux. </w:t>
      </w:r>
      <w:r w:rsidRPr="00AE5271">
        <w:rPr>
          <w:rFonts w:ascii="Avenir Next LT Pro" w:hAnsi="Avenir Next LT Pro"/>
          <w:lang w:val="en-GB"/>
        </w:rPr>
        <w:t xml:space="preserve">Une </w:t>
      </w:r>
      <w:r w:rsidR="002C27A4" w:rsidRPr="00AE5271">
        <w:rPr>
          <w:rFonts w:ascii="Avenir Next LT Pro" w:hAnsi="Avenir Next LT Pro"/>
          <w:lang w:val="en-GB"/>
        </w:rPr>
        <w:t>experience</w:t>
      </w:r>
      <w:r w:rsidRPr="00AE5271">
        <w:rPr>
          <w:rFonts w:ascii="Avenir Next LT Pro" w:hAnsi="Avenir Next LT Pro"/>
          <w:lang w:val="en-GB"/>
        </w:rPr>
        <w:t xml:space="preserve"> </w:t>
      </w:r>
      <w:proofErr w:type="spellStart"/>
      <w:r w:rsidRPr="00AE5271">
        <w:rPr>
          <w:rFonts w:ascii="Avenir Next LT Pro" w:hAnsi="Avenir Next LT Pro"/>
          <w:lang w:val="en-GB"/>
        </w:rPr>
        <w:t>antérieure</w:t>
      </w:r>
      <w:proofErr w:type="spellEnd"/>
      <w:r w:rsidRPr="00AE5271">
        <w:rPr>
          <w:rFonts w:ascii="Avenir Next LT Pro" w:hAnsi="Avenir Next LT Pro"/>
          <w:lang w:val="en-GB"/>
        </w:rPr>
        <w:t xml:space="preserve"> sera un </w:t>
      </w:r>
      <w:proofErr w:type="spellStart"/>
      <w:r w:rsidRPr="00AE5271">
        <w:rPr>
          <w:rFonts w:ascii="Avenir Next LT Pro" w:hAnsi="Avenir Next LT Pro"/>
          <w:lang w:val="en-GB"/>
        </w:rPr>
        <w:t>atout</w:t>
      </w:r>
      <w:proofErr w:type="spellEnd"/>
      <w:r w:rsidRPr="00AE5271">
        <w:rPr>
          <w:rFonts w:ascii="Avenir Next LT Pro" w:hAnsi="Avenir Next LT Pro"/>
          <w:lang w:val="en-GB"/>
        </w:rPr>
        <w:t xml:space="preserve"> </w:t>
      </w:r>
      <w:proofErr w:type="gramStart"/>
      <w:r w:rsidRPr="00AE5271">
        <w:rPr>
          <w:rFonts w:ascii="Avenir Next LT Pro" w:hAnsi="Avenir Next LT Pro"/>
          <w:lang w:val="en-GB"/>
        </w:rPr>
        <w:t>certain ;</w:t>
      </w:r>
      <w:proofErr w:type="gramEnd"/>
      <w:r w:rsidRPr="00AE5271">
        <w:rPr>
          <w:rFonts w:ascii="Avenir Next LT Pro" w:hAnsi="Avenir Next LT Pro"/>
          <w:lang w:val="en-GB"/>
        </w:rPr>
        <w:t xml:space="preserve"> </w:t>
      </w:r>
    </w:p>
    <w:p w14:paraId="2771B5B0" w14:textId="77777777" w:rsidR="00180C40" w:rsidRPr="00A94F43" w:rsidRDefault="00AE5271" w:rsidP="00487A95">
      <w:pPr>
        <w:numPr>
          <w:ilvl w:val="0"/>
          <w:numId w:val="33"/>
        </w:numPr>
        <w:spacing w:after="0"/>
        <w:jc w:val="both"/>
        <w:rPr>
          <w:rFonts w:ascii="Avenir Next LT Pro" w:hAnsi="Avenir Next LT Pro"/>
          <w:lang w:val="fr-CH"/>
        </w:rPr>
      </w:pPr>
      <w:r w:rsidRPr="00AE5271">
        <w:rPr>
          <w:rFonts w:ascii="Avenir Next LT Pro" w:hAnsi="Avenir Next LT Pro"/>
          <w:lang w:val="fr-CH"/>
        </w:rPr>
        <w:t xml:space="preserve">Expérience antérieure dans l’élaboration et la mise en œuvre de stratégies de communication pour des organisations ou des projets </w:t>
      </w:r>
    </w:p>
    <w:p w14:paraId="68B3E231" w14:textId="7E3FC63E" w:rsidR="00A94F43" w:rsidRPr="00A94F43" w:rsidRDefault="00AE5271" w:rsidP="00487A95">
      <w:pPr>
        <w:numPr>
          <w:ilvl w:val="0"/>
          <w:numId w:val="33"/>
        </w:numPr>
        <w:spacing w:after="0"/>
        <w:jc w:val="both"/>
        <w:rPr>
          <w:rFonts w:ascii="Avenir Next LT Pro" w:hAnsi="Avenir Next LT Pro"/>
          <w:lang w:val="fr-CH"/>
        </w:rPr>
      </w:pPr>
      <w:r w:rsidRPr="00AE5271">
        <w:rPr>
          <w:rFonts w:ascii="Avenir Next LT Pro" w:hAnsi="Avenir Next LT Pro"/>
          <w:lang w:val="fr-CH"/>
        </w:rPr>
        <w:t xml:space="preserve">Forte capacité </w:t>
      </w:r>
      <w:r w:rsidR="00BF4E8B">
        <w:rPr>
          <w:rFonts w:ascii="Avenir Next LT Pro" w:hAnsi="Avenir Next LT Pro"/>
          <w:lang w:val="fr-CH"/>
        </w:rPr>
        <w:t>dans l’utilisation de</w:t>
      </w:r>
      <w:r w:rsidRPr="00AE5271">
        <w:rPr>
          <w:rFonts w:ascii="Avenir Next LT Pro" w:hAnsi="Avenir Next LT Pro"/>
          <w:lang w:val="fr-CH"/>
        </w:rPr>
        <w:t xml:space="preserve">s technologies de l’information et de la communication, en particulier la conception de sites Web et les logiciels de publication assistée par ordinateur. </w:t>
      </w:r>
    </w:p>
    <w:p w14:paraId="3A81DF71" w14:textId="15DBBBDA" w:rsidR="00A94F43" w:rsidRPr="00BF4E8B" w:rsidRDefault="00A94F43" w:rsidP="00487A95">
      <w:pPr>
        <w:numPr>
          <w:ilvl w:val="0"/>
          <w:numId w:val="33"/>
        </w:numPr>
        <w:spacing w:after="0"/>
        <w:jc w:val="both"/>
        <w:rPr>
          <w:rFonts w:ascii="Avenir Next LT Pro" w:hAnsi="Avenir Next LT Pro"/>
          <w:lang w:val="fr-CH"/>
        </w:rPr>
      </w:pPr>
      <w:r w:rsidRPr="00BF4E8B">
        <w:rPr>
          <w:rFonts w:ascii="Avenir Next LT Pro" w:hAnsi="Avenir Next LT Pro"/>
          <w:lang w:val="fr-CH"/>
        </w:rPr>
        <w:t>La c</w:t>
      </w:r>
      <w:r w:rsidR="00AE5271" w:rsidRPr="00AE5271">
        <w:rPr>
          <w:rFonts w:ascii="Avenir Next LT Pro" w:hAnsi="Avenir Next LT Pro"/>
          <w:lang w:val="fr-CH"/>
        </w:rPr>
        <w:t xml:space="preserve">ompréhension de la conservation de la biodiversité, des moyens de subsistance durables et des questions connexes </w:t>
      </w:r>
      <w:r w:rsidRPr="00BF4E8B">
        <w:rPr>
          <w:rFonts w:ascii="Avenir Next LT Pro" w:hAnsi="Avenir Next LT Pro"/>
          <w:lang w:val="fr-CH"/>
        </w:rPr>
        <w:t>est un atout</w:t>
      </w:r>
      <w:r w:rsidR="00193F1A" w:rsidRPr="00BF4E8B">
        <w:rPr>
          <w:rFonts w:ascii="Avenir Next LT Pro" w:hAnsi="Avenir Next LT Pro"/>
          <w:lang w:val="fr-CH"/>
        </w:rPr>
        <w:t> </w:t>
      </w:r>
      <w:r w:rsidR="00AE5271" w:rsidRPr="00AE5271">
        <w:rPr>
          <w:rFonts w:ascii="Avenir Next LT Pro" w:hAnsi="Avenir Next LT Pro"/>
          <w:lang w:val="fr-CH"/>
        </w:rPr>
        <w:t xml:space="preserve">; </w:t>
      </w:r>
    </w:p>
    <w:p w14:paraId="69416037" w14:textId="77777777" w:rsidR="00BF4E8B" w:rsidRDefault="00AE5271" w:rsidP="00487A95">
      <w:pPr>
        <w:numPr>
          <w:ilvl w:val="0"/>
          <w:numId w:val="33"/>
        </w:numPr>
        <w:spacing w:after="0"/>
        <w:jc w:val="both"/>
        <w:rPr>
          <w:rFonts w:ascii="Avenir Next LT Pro" w:hAnsi="Avenir Next LT Pro"/>
          <w:lang w:val="fr-CH"/>
        </w:rPr>
      </w:pPr>
      <w:r w:rsidRPr="00AE5271">
        <w:rPr>
          <w:rFonts w:ascii="Avenir Next LT Pro" w:hAnsi="Avenir Next LT Pro"/>
          <w:lang w:val="fr-CH"/>
        </w:rPr>
        <w:t xml:space="preserve">Excellentes compétences interpersonnelles </w:t>
      </w:r>
    </w:p>
    <w:p w14:paraId="59A9C7DD" w14:textId="6BD1C361" w:rsidR="00AE5271" w:rsidRPr="00AE5271" w:rsidRDefault="00AE5271" w:rsidP="00487A95">
      <w:pPr>
        <w:numPr>
          <w:ilvl w:val="0"/>
          <w:numId w:val="33"/>
        </w:numPr>
        <w:spacing w:after="0"/>
        <w:jc w:val="both"/>
        <w:rPr>
          <w:rFonts w:ascii="Avenir Next LT Pro" w:hAnsi="Avenir Next LT Pro"/>
          <w:lang w:val="fr-CH"/>
        </w:rPr>
      </w:pPr>
      <w:r w:rsidRPr="00AE5271">
        <w:rPr>
          <w:rFonts w:ascii="Avenir Next LT Pro" w:hAnsi="Avenir Next LT Pro"/>
          <w:lang w:val="fr-CH"/>
        </w:rPr>
        <w:t>Excellentes compétences linguistiques en français (écrit, parlé et lu) et dans les langues locales</w:t>
      </w:r>
    </w:p>
    <w:p w14:paraId="2AB5AE50" w14:textId="3AC1251B" w:rsidR="00C34DD9" w:rsidRPr="007101BB" w:rsidRDefault="00C34DD9" w:rsidP="0017778E">
      <w:pPr>
        <w:jc w:val="both"/>
        <w:rPr>
          <w:rFonts w:ascii="Avenir Next LT Pro" w:hAnsi="Avenir Next LT Pro"/>
          <w:lang w:val="fr-CD"/>
        </w:rPr>
      </w:pPr>
    </w:p>
    <w:p w14:paraId="2ED448BC" w14:textId="1951BCB5" w:rsidR="000319EC" w:rsidRPr="007101BB" w:rsidRDefault="00BF36AC" w:rsidP="0017778E">
      <w:pPr>
        <w:jc w:val="both"/>
        <w:rPr>
          <w:rFonts w:ascii="Avenir Next LT Pro" w:hAnsi="Avenir Next LT Pro"/>
          <w:lang w:val="fr-CD"/>
        </w:rPr>
      </w:pPr>
      <w:r w:rsidRPr="007101BB">
        <w:rPr>
          <w:rFonts w:ascii="Avenir Next LT Pro" w:hAnsi="Avenir Next LT Pro"/>
          <w:lang w:val="fr-CD"/>
        </w:rPr>
        <w:br w:type="page"/>
      </w:r>
    </w:p>
    <w:p w14:paraId="4FFDD33A" w14:textId="26A18DBE" w:rsidR="00011DF8" w:rsidRPr="00C345C4" w:rsidRDefault="00011DF8" w:rsidP="00A7529C">
      <w:pPr>
        <w:pStyle w:val="Titre3"/>
      </w:pPr>
      <w:bookmarkStart w:id="86" w:name="_Toc163230406"/>
      <w:r w:rsidRPr="00C345C4">
        <w:lastRenderedPageBreak/>
        <w:t>ANNEXE 6 : Termes de référence des études à mener en année 1 pour un montant supérieur à 100</w:t>
      </w:r>
      <w:r w:rsidR="00282FA5">
        <w:t xml:space="preserve"> </w:t>
      </w:r>
      <w:r w:rsidRPr="00C345C4">
        <w:t>000 USD (version</w:t>
      </w:r>
      <w:r w:rsidR="0091503F" w:rsidRPr="00C345C4">
        <w:t>s</w:t>
      </w:r>
      <w:r w:rsidRPr="00C345C4">
        <w:t xml:space="preserve"> provisoire</w:t>
      </w:r>
      <w:r w:rsidR="0091503F" w:rsidRPr="00C345C4">
        <w:t>s</w:t>
      </w:r>
      <w:r w:rsidRPr="00C345C4">
        <w:t xml:space="preserve"> ou définitive</w:t>
      </w:r>
      <w:r w:rsidR="0091503F" w:rsidRPr="00C345C4">
        <w:t>s</w:t>
      </w:r>
      <w:r w:rsidRPr="00C345C4">
        <w:t>)</w:t>
      </w:r>
      <w:bookmarkEnd w:id="86"/>
    </w:p>
    <w:p w14:paraId="4982E8FF" w14:textId="07D16BBF" w:rsidR="00892FB1" w:rsidRDefault="001C5748" w:rsidP="00A7529C">
      <w:pPr>
        <w:spacing w:after="120"/>
      </w:pPr>
      <w:r>
        <w:t>N/A</w:t>
      </w:r>
    </w:p>
    <w:p w14:paraId="4BA3A4C4" w14:textId="116B30AE" w:rsidR="00BF36AC" w:rsidRDefault="00BF36AC" w:rsidP="00A7529C">
      <w:pPr>
        <w:spacing w:after="120"/>
      </w:pPr>
      <w:r>
        <w:br w:type="page"/>
      </w:r>
    </w:p>
    <w:p w14:paraId="123D1F11" w14:textId="705DFF42" w:rsidR="00000B03" w:rsidRPr="00C345C4" w:rsidRDefault="00000B03" w:rsidP="00A7529C">
      <w:pPr>
        <w:pStyle w:val="Titre3"/>
      </w:pPr>
      <w:bookmarkStart w:id="87" w:name="_Toc163230407"/>
      <w:r w:rsidRPr="00C345C4">
        <w:lastRenderedPageBreak/>
        <w:t xml:space="preserve">ANNEXE </w:t>
      </w:r>
      <w:r>
        <w:t>7</w:t>
      </w:r>
      <w:r w:rsidRPr="00C345C4">
        <w:t xml:space="preserve"> : </w:t>
      </w:r>
      <w:r>
        <w:t xml:space="preserve"> </w:t>
      </w:r>
      <w:r w:rsidRPr="00000B03">
        <w:t>Plan de renforcement et transfert de capacités clairement décrits</w:t>
      </w:r>
      <w:bookmarkEnd w:id="87"/>
    </w:p>
    <w:p w14:paraId="05DBB54E" w14:textId="77777777" w:rsidR="00A5592E" w:rsidRDefault="00A5592E" w:rsidP="00A5592E">
      <w:pPr>
        <w:tabs>
          <w:tab w:val="left" w:pos="2748"/>
        </w:tabs>
        <w:jc w:val="both"/>
      </w:pPr>
      <w:r>
        <w:t xml:space="preserve">Le plan de renforcement de capacités vise à doter les parties prenantes concernées par les la mise en œuvre de la CDN et le déploiement des marchés du carbone en RDC, de compétences et des connaissances nécessaires à l’accomplissement de leurs mandats et rôles respectifs. Il est conçu selon une approche progressive qui porte d’une part sur le processus d’amélioration des capacités techniques des institutions et d’autre part sur les compétences des individus (porteur de fonction). </w:t>
      </w:r>
    </w:p>
    <w:p w14:paraId="58C730E0" w14:textId="77777777" w:rsidR="00A5592E" w:rsidRDefault="00A5592E" w:rsidP="00A5592E">
      <w:pPr>
        <w:pStyle w:val="Paragraphedeliste"/>
        <w:numPr>
          <w:ilvl w:val="0"/>
          <w:numId w:val="53"/>
        </w:numPr>
        <w:tabs>
          <w:tab w:val="left" w:pos="2748"/>
        </w:tabs>
        <w:spacing w:before="120" w:after="0"/>
        <w:jc w:val="both"/>
        <w:rPr>
          <w:b/>
          <w:bCs/>
        </w:rPr>
      </w:pPr>
      <w:r w:rsidRPr="00CF6E04">
        <w:rPr>
          <w:b/>
          <w:bCs/>
        </w:rPr>
        <w:t xml:space="preserve">Logique de renforcement des capacités </w:t>
      </w:r>
    </w:p>
    <w:p w14:paraId="6CAADC69" w14:textId="77777777" w:rsidR="00A5592E" w:rsidRDefault="00A5592E" w:rsidP="00A5592E">
      <w:r>
        <w:t xml:space="preserve">Le renforcement des capacités se fera sur la base d’une évaluation préliminaire des lacunes identifiées en ce qui concerne les différentes fonctions administratives et techniques qui nécessitent d’être assurées pour un suivi efficace de la mise en œuvre de la CDN et le déploiement des activités liés aux marchés du carbone. </w:t>
      </w:r>
    </w:p>
    <w:p w14:paraId="71D69C95" w14:textId="77777777" w:rsidR="00A5592E" w:rsidRDefault="00A5592E" w:rsidP="00A5592E">
      <w:pPr>
        <w:pStyle w:val="Paragraphedeliste"/>
        <w:numPr>
          <w:ilvl w:val="0"/>
          <w:numId w:val="53"/>
        </w:numPr>
        <w:spacing w:before="120" w:after="0"/>
        <w:rPr>
          <w:b/>
          <w:bCs/>
        </w:rPr>
      </w:pPr>
      <w:r w:rsidRPr="009A5E0D">
        <w:rPr>
          <w:b/>
          <w:bCs/>
        </w:rPr>
        <w:t xml:space="preserve">Identification des lacunes </w:t>
      </w:r>
    </w:p>
    <w:p w14:paraId="5141E475" w14:textId="09DD4F41" w:rsidR="00A5592E" w:rsidRDefault="00A5592E" w:rsidP="00A5592E">
      <w:pPr>
        <w:sectPr w:rsidR="00A5592E" w:rsidSect="003A51CF">
          <w:pgSz w:w="11906" w:h="16838"/>
          <w:pgMar w:top="1440" w:right="1080" w:bottom="1440" w:left="1080" w:header="706" w:footer="706" w:gutter="0"/>
          <w:cols w:space="708"/>
          <w:docGrid w:linePitch="360"/>
        </w:sectPr>
      </w:pPr>
      <w:r>
        <w:t xml:space="preserve">Des lacunes ont été identifiées lors de la consultation des acteurs en vue de la réalisation de l’étude de cadrage. Les lacunes ont été identifiées à la fois    au niveau stratégique et des capacités techniques opérationnelles. Le tableau ci-après présente les différentes lacunes identifiées. </w:t>
      </w:r>
    </w:p>
    <w:p w14:paraId="67E63EBC" w14:textId="739B5415" w:rsidR="00A5592E" w:rsidRPr="00E275C0" w:rsidRDefault="00A5592E" w:rsidP="00FB7BE6">
      <w:pPr>
        <w:pStyle w:val="Titre2"/>
        <w:numPr>
          <w:ilvl w:val="0"/>
          <w:numId w:val="0"/>
        </w:numPr>
        <w:ind w:left="284"/>
      </w:pPr>
      <w:bookmarkStart w:id="88" w:name="_Toc171338498"/>
      <w:bookmarkStart w:id="89" w:name="_Toc172147842"/>
      <w:bookmarkStart w:id="90" w:name="_Toc172150545"/>
      <w:r>
        <w:lastRenderedPageBreak/>
        <w:t xml:space="preserve">Tableau 1. </w:t>
      </w:r>
      <w:r w:rsidRPr="00E275C0">
        <w:t>Gaps et besoins en renforcement des capacités des acteurs</w:t>
      </w:r>
      <w:bookmarkEnd w:id="88"/>
      <w:bookmarkEnd w:id="89"/>
      <w:bookmarkEnd w:id="90"/>
      <w:r w:rsidRPr="00E275C0">
        <w:t xml:space="preserve"> </w:t>
      </w:r>
    </w:p>
    <w:tbl>
      <w:tblPr>
        <w:tblStyle w:val="NatureCoDefaultTable"/>
        <w:tblW w:w="13320" w:type="dxa"/>
        <w:tblLook w:val="04A0" w:firstRow="1" w:lastRow="0" w:firstColumn="1" w:lastColumn="0" w:noHBand="0" w:noVBand="1"/>
      </w:tblPr>
      <w:tblGrid>
        <w:gridCol w:w="988"/>
        <w:gridCol w:w="3969"/>
        <w:gridCol w:w="3685"/>
        <w:gridCol w:w="4678"/>
      </w:tblGrid>
      <w:tr w:rsidR="00A5592E" w14:paraId="11F229FF" w14:textId="77777777" w:rsidTr="005B16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07019129" w14:textId="77777777" w:rsidR="00A5592E" w:rsidRDefault="00A5592E" w:rsidP="005B16B5">
            <w:pPr>
              <w:spacing w:before="240"/>
            </w:pPr>
          </w:p>
        </w:tc>
        <w:tc>
          <w:tcPr>
            <w:tcW w:w="3969" w:type="dxa"/>
          </w:tcPr>
          <w:p w14:paraId="622A83B8" w14:textId="77777777" w:rsidR="00A5592E" w:rsidRDefault="00A5592E" w:rsidP="005B16B5">
            <w:pPr>
              <w:spacing w:before="240"/>
              <w:cnfStyle w:val="100000000000" w:firstRow="1" w:lastRow="0" w:firstColumn="0" w:lastColumn="0" w:oddVBand="0" w:evenVBand="0" w:oddHBand="0" w:evenHBand="0" w:firstRowFirstColumn="0" w:firstRowLastColumn="0" w:lastRowFirstColumn="0" w:lastRowLastColumn="0"/>
            </w:pPr>
            <w:r>
              <w:t>Lacunes identifiées</w:t>
            </w:r>
          </w:p>
        </w:tc>
        <w:tc>
          <w:tcPr>
            <w:tcW w:w="3685" w:type="dxa"/>
          </w:tcPr>
          <w:p w14:paraId="140C2208" w14:textId="77777777" w:rsidR="00A5592E" w:rsidRDefault="00A5592E" w:rsidP="005B16B5">
            <w:pPr>
              <w:spacing w:before="240"/>
              <w:cnfStyle w:val="100000000000" w:firstRow="1" w:lastRow="0" w:firstColumn="0" w:lastColumn="0" w:oddVBand="0" w:evenVBand="0" w:oddHBand="0" w:evenHBand="0" w:firstRowFirstColumn="0" w:firstRowLastColumn="0" w:lastRowFirstColumn="0" w:lastRowLastColumn="0"/>
            </w:pPr>
            <w:r>
              <w:t xml:space="preserve">Acteurs concernés </w:t>
            </w:r>
          </w:p>
        </w:tc>
        <w:tc>
          <w:tcPr>
            <w:tcW w:w="4678" w:type="dxa"/>
          </w:tcPr>
          <w:p w14:paraId="30824DDF" w14:textId="77777777" w:rsidR="00A5592E" w:rsidRDefault="00A5592E" w:rsidP="005B16B5">
            <w:pPr>
              <w:spacing w:before="240"/>
              <w:cnfStyle w:val="100000000000" w:firstRow="1" w:lastRow="0" w:firstColumn="0" w:lastColumn="0" w:oddVBand="0" w:evenVBand="0" w:oddHBand="0" w:evenHBand="0" w:firstRowFirstColumn="0" w:firstRowLastColumn="0" w:lastRowFirstColumn="0" w:lastRowLastColumn="0"/>
            </w:pPr>
            <w:r>
              <w:t xml:space="preserve">Mesures correctives </w:t>
            </w:r>
          </w:p>
        </w:tc>
      </w:tr>
      <w:tr w:rsidR="00A5592E" w14:paraId="05737204" w14:textId="77777777" w:rsidTr="005B16B5">
        <w:trPr>
          <w:trHeight w:val="271"/>
        </w:trPr>
        <w:tc>
          <w:tcPr>
            <w:cnfStyle w:val="001000000000" w:firstRow="0" w:lastRow="0" w:firstColumn="1" w:lastColumn="0" w:oddVBand="0" w:evenVBand="0" w:oddHBand="0" w:evenHBand="0" w:firstRowFirstColumn="0" w:firstRowLastColumn="0" w:lastRowFirstColumn="0" w:lastRowLastColumn="0"/>
            <w:tcW w:w="13320" w:type="dxa"/>
            <w:gridSpan w:val="4"/>
            <w:shd w:val="clear" w:color="auto" w:fill="D9D9D9" w:themeFill="background1" w:themeFillShade="D9"/>
          </w:tcPr>
          <w:p w14:paraId="1241E824" w14:textId="77777777" w:rsidR="00A5592E" w:rsidRPr="00151A76" w:rsidRDefault="00A5592E" w:rsidP="005B16B5">
            <w:pPr>
              <w:spacing w:before="240"/>
            </w:pPr>
            <w:r w:rsidRPr="00151A76">
              <w:t xml:space="preserve">CDN </w:t>
            </w:r>
          </w:p>
        </w:tc>
      </w:tr>
      <w:tr w:rsidR="00A5592E" w:rsidRPr="00B06EE7" w14:paraId="37AE658A" w14:textId="77777777" w:rsidTr="005B16B5">
        <w:tc>
          <w:tcPr>
            <w:cnfStyle w:val="001000000000" w:firstRow="0" w:lastRow="0" w:firstColumn="1" w:lastColumn="0" w:oddVBand="0" w:evenVBand="0" w:oddHBand="0" w:evenHBand="0" w:firstRowFirstColumn="0" w:firstRowLastColumn="0" w:lastRowFirstColumn="0" w:lastRowLastColumn="0"/>
            <w:tcW w:w="988" w:type="dxa"/>
            <w:vMerge w:val="restart"/>
            <w:shd w:val="clear" w:color="auto" w:fill="D9D9D9" w:themeFill="background1" w:themeFillShade="D9"/>
            <w:textDirection w:val="btLr"/>
          </w:tcPr>
          <w:p w14:paraId="38E9BB20" w14:textId="77777777" w:rsidR="00A5592E" w:rsidRDefault="00A5592E" w:rsidP="005B16B5">
            <w:pPr>
              <w:spacing w:before="240"/>
              <w:ind w:left="113" w:right="113"/>
            </w:pPr>
            <w:r>
              <w:t xml:space="preserve">Considérations stratégiques </w:t>
            </w:r>
          </w:p>
        </w:tc>
        <w:tc>
          <w:tcPr>
            <w:tcW w:w="3969" w:type="dxa"/>
          </w:tcPr>
          <w:p w14:paraId="79BC92E3"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Non prise en compte de la CDN dans les cadres de planification opérationnel et budgétaire de certaines administrations clés intervenant dans le processus de rapportage sur la CDN </w:t>
            </w:r>
          </w:p>
        </w:tc>
        <w:tc>
          <w:tcPr>
            <w:tcW w:w="3685" w:type="dxa"/>
          </w:tcPr>
          <w:p w14:paraId="525C0D9E"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clés (Environnement, Plan, Energie, agriculture, Finance...)</w:t>
            </w:r>
          </w:p>
        </w:tc>
        <w:tc>
          <w:tcPr>
            <w:tcW w:w="4678" w:type="dxa"/>
          </w:tcPr>
          <w:p w14:paraId="308349AE"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Renforcer les capacités techniques des administrations concernées afin d’aboutir à l’intégration des questions climatiques dans leurs cadres de planification respectifs</w:t>
            </w:r>
          </w:p>
        </w:tc>
      </w:tr>
      <w:tr w:rsidR="00A5592E" w:rsidRPr="00B06EE7" w14:paraId="2ABE61CC"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387A23FE" w14:textId="77777777" w:rsidR="00A5592E" w:rsidRDefault="00A5592E" w:rsidP="005B16B5">
            <w:pPr>
              <w:spacing w:before="240"/>
            </w:pPr>
          </w:p>
        </w:tc>
        <w:tc>
          <w:tcPr>
            <w:tcW w:w="3969" w:type="dxa"/>
          </w:tcPr>
          <w:p w14:paraId="40C39E57"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d’une stratégie de mobilisation et de suivi du financement de l’action climatique </w:t>
            </w:r>
          </w:p>
        </w:tc>
        <w:tc>
          <w:tcPr>
            <w:tcW w:w="3685" w:type="dxa"/>
          </w:tcPr>
          <w:p w14:paraId="2B9E4BFE" w14:textId="77777777" w:rsidR="00A5592E" w:rsidRDefault="00A5592E" w:rsidP="00A5592E">
            <w:pPr>
              <w:pStyle w:val="Paragraphedeliste"/>
              <w:numPr>
                <w:ilvl w:val="0"/>
                <w:numId w:val="52"/>
              </w:numPr>
              <w:spacing w:before="240" w:after="120" w:line="240" w:lineRule="auto"/>
              <w:ind w:left="339"/>
              <w:cnfStyle w:val="000000000000" w:firstRow="0" w:lastRow="0" w:firstColumn="0" w:lastColumn="0" w:oddVBand="0" w:evenVBand="0" w:oddHBand="0" w:evenHBand="0" w:firstRowFirstColumn="0" w:firstRowLastColumn="0" w:lastRowFirstColumn="0" w:lastRowLastColumn="0"/>
            </w:pPr>
            <w:r w:rsidRPr="00015CC9">
              <w:t xml:space="preserve">Ministère des Finances </w:t>
            </w:r>
          </w:p>
          <w:p w14:paraId="72D627B0" w14:textId="77777777" w:rsidR="00A5592E" w:rsidRPr="00015CC9" w:rsidRDefault="00A5592E" w:rsidP="00A5592E">
            <w:pPr>
              <w:pStyle w:val="Paragraphedeliste"/>
              <w:numPr>
                <w:ilvl w:val="0"/>
                <w:numId w:val="52"/>
              </w:numPr>
              <w:spacing w:before="240" w:after="120" w:line="240" w:lineRule="auto"/>
              <w:ind w:left="339"/>
              <w:cnfStyle w:val="000000000000" w:firstRow="0" w:lastRow="0" w:firstColumn="0" w:lastColumn="0" w:oddVBand="0" w:evenVBand="0" w:oddHBand="0" w:evenHBand="0" w:firstRowFirstColumn="0" w:firstRowLastColumn="0" w:lastRowFirstColumn="0" w:lastRowLastColumn="0"/>
            </w:pPr>
            <w:r w:rsidRPr="00015CC9">
              <w:t xml:space="preserve">MINEDD à travers le </w:t>
            </w:r>
            <w:r w:rsidRPr="00015CC9">
              <w:rPr>
                <w:color w:val="auto"/>
              </w:rPr>
              <w:t>fonds d’intervention pour l’environnement</w:t>
            </w:r>
          </w:p>
        </w:tc>
        <w:tc>
          <w:tcPr>
            <w:tcW w:w="4678" w:type="dxa"/>
          </w:tcPr>
          <w:p w14:paraId="1CBD71AB"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Elaborer une stratégie de financement climatique de la CDN et renforcer les capacités des instances en charge du suivi des flux de financement climatique. </w:t>
            </w:r>
          </w:p>
        </w:tc>
      </w:tr>
      <w:tr w:rsidR="00A5592E" w:rsidRPr="00B06EE7" w14:paraId="45EDED27"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64BA9D2F" w14:textId="77777777" w:rsidR="00A5592E" w:rsidRDefault="00A5592E" w:rsidP="005B16B5">
            <w:pPr>
              <w:spacing w:before="240"/>
            </w:pPr>
          </w:p>
        </w:tc>
        <w:tc>
          <w:tcPr>
            <w:tcW w:w="3969" w:type="dxa"/>
          </w:tcPr>
          <w:p w14:paraId="662CF840"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Faible coordination intersectorielle pour le suivi des progrès liés à la mise en œuvre de la CDN et la préparation du rapport Biennal sur la Transparence </w:t>
            </w:r>
          </w:p>
        </w:tc>
        <w:tc>
          <w:tcPr>
            <w:tcW w:w="3685" w:type="dxa"/>
          </w:tcPr>
          <w:p w14:paraId="663CA9D5"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clés (Environnement, Plan, Energie, agriculture, Finance...)</w:t>
            </w:r>
          </w:p>
        </w:tc>
        <w:tc>
          <w:tcPr>
            <w:tcW w:w="4678" w:type="dxa"/>
          </w:tcPr>
          <w:p w14:paraId="404C3083"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Renforcement des capacités des points focaux identifiées, sur la structure du rapportage relative au cadre de transparence renforcé de l’accord de Paris. </w:t>
            </w:r>
          </w:p>
        </w:tc>
      </w:tr>
      <w:tr w:rsidR="00A5592E" w:rsidRPr="00B06EE7" w14:paraId="4777B4B0" w14:textId="77777777" w:rsidTr="005B16B5">
        <w:tc>
          <w:tcPr>
            <w:cnfStyle w:val="001000000000" w:firstRow="0" w:lastRow="0" w:firstColumn="1" w:lastColumn="0" w:oddVBand="0" w:evenVBand="0" w:oddHBand="0" w:evenHBand="0" w:firstRowFirstColumn="0" w:firstRowLastColumn="0" w:lastRowFirstColumn="0" w:lastRowLastColumn="0"/>
            <w:tcW w:w="988" w:type="dxa"/>
            <w:shd w:val="clear" w:color="auto" w:fill="D9D9D9" w:themeFill="background1" w:themeFillShade="D9"/>
            <w:textDirection w:val="btLr"/>
          </w:tcPr>
          <w:p w14:paraId="53AFC9A8" w14:textId="77777777" w:rsidR="00A5592E" w:rsidRDefault="00A5592E" w:rsidP="005B16B5">
            <w:pPr>
              <w:spacing w:before="240"/>
              <w:ind w:left="113" w:right="113"/>
            </w:pPr>
            <w:r>
              <w:t xml:space="preserve">Considérations opérationnelles </w:t>
            </w:r>
          </w:p>
        </w:tc>
        <w:tc>
          <w:tcPr>
            <w:tcW w:w="3969" w:type="dxa"/>
          </w:tcPr>
          <w:p w14:paraId="19D81FBB"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 Non fonctionnalité des systèmes MRV </w:t>
            </w:r>
          </w:p>
        </w:tc>
        <w:tc>
          <w:tcPr>
            <w:tcW w:w="3685" w:type="dxa"/>
          </w:tcPr>
          <w:p w14:paraId="1345F96A"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en charge des secteurs agriculture, énergie, Déchets et Transport)</w:t>
            </w:r>
          </w:p>
        </w:tc>
        <w:tc>
          <w:tcPr>
            <w:tcW w:w="4678" w:type="dxa"/>
          </w:tcPr>
          <w:p w14:paraId="7E7E1EFC"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Renforcement des capacités des administrations sectorielles concernés, en matière de collecte des données d’activités et d’estimation des émissions de GES </w:t>
            </w:r>
          </w:p>
        </w:tc>
      </w:tr>
      <w:tr w:rsidR="00A5592E" w14:paraId="1586D889" w14:textId="77777777" w:rsidTr="005B16B5">
        <w:tc>
          <w:tcPr>
            <w:cnfStyle w:val="001000000000" w:firstRow="0" w:lastRow="0" w:firstColumn="1" w:lastColumn="0" w:oddVBand="0" w:evenVBand="0" w:oddHBand="0" w:evenHBand="0" w:firstRowFirstColumn="0" w:firstRowLastColumn="0" w:lastRowFirstColumn="0" w:lastRowLastColumn="0"/>
            <w:tcW w:w="13320" w:type="dxa"/>
            <w:gridSpan w:val="4"/>
            <w:shd w:val="clear" w:color="auto" w:fill="D9D9D9" w:themeFill="background1" w:themeFillShade="D9"/>
          </w:tcPr>
          <w:p w14:paraId="565BA99D" w14:textId="77777777" w:rsidR="00A5592E" w:rsidRDefault="00A5592E" w:rsidP="005B16B5">
            <w:pPr>
              <w:spacing w:before="240"/>
            </w:pPr>
            <w:r>
              <w:t xml:space="preserve">MARCHES DU CARBONE </w:t>
            </w:r>
          </w:p>
        </w:tc>
      </w:tr>
      <w:tr w:rsidR="00A5592E" w:rsidRPr="00B06EE7" w14:paraId="6AB59854" w14:textId="77777777" w:rsidTr="005B16B5">
        <w:tc>
          <w:tcPr>
            <w:cnfStyle w:val="001000000000" w:firstRow="0" w:lastRow="0" w:firstColumn="1" w:lastColumn="0" w:oddVBand="0" w:evenVBand="0" w:oddHBand="0" w:evenHBand="0" w:firstRowFirstColumn="0" w:firstRowLastColumn="0" w:lastRowFirstColumn="0" w:lastRowLastColumn="0"/>
            <w:tcW w:w="988" w:type="dxa"/>
            <w:vMerge w:val="restart"/>
            <w:shd w:val="clear" w:color="auto" w:fill="D9D9D9" w:themeFill="background1" w:themeFillShade="D9"/>
            <w:textDirection w:val="btLr"/>
          </w:tcPr>
          <w:p w14:paraId="712DB3D8" w14:textId="77777777" w:rsidR="00A5592E" w:rsidRDefault="00A5592E" w:rsidP="005B16B5">
            <w:pPr>
              <w:spacing w:before="240"/>
              <w:ind w:left="113" w:right="113"/>
            </w:pPr>
            <w:r>
              <w:t xml:space="preserve">Considérations stratégiques </w:t>
            </w:r>
          </w:p>
        </w:tc>
        <w:tc>
          <w:tcPr>
            <w:tcW w:w="3969" w:type="dxa"/>
          </w:tcPr>
          <w:p w14:paraId="01594887"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d’une stratégie d’accès aux marchés du carbone </w:t>
            </w:r>
          </w:p>
        </w:tc>
        <w:tc>
          <w:tcPr>
            <w:tcW w:w="3685" w:type="dxa"/>
          </w:tcPr>
          <w:p w14:paraId="59401B9D"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Administrations sectorielles clés, ARMCA, secteur privé, société civile, PTF </w:t>
            </w:r>
          </w:p>
        </w:tc>
        <w:tc>
          <w:tcPr>
            <w:tcW w:w="4678" w:type="dxa"/>
          </w:tcPr>
          <w:p w14:paraId="0B703533"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rsidRPr="007A5332">
              <w:t>Renforce</w:t>
            </w:r>
            <w:r>
              <w:t xml:space="preserve">ment </w:t>
            </w:r>
            <w:r w:rsidRPr="007A5332">
              <w:t xml:space="preserve">des capacités et partage d’expérience sur les </w:t>
            </w:r>
            <w:r>
              <w:t>considérations stratégiques spécifiques liées au déploiement des marchés du carbone (engagement vers le marchés volontaires, lien avec la CDN, critères d’éligibilité, qualité des crédits carbone, autres critères d’intégrité)</w:t>
            </w:r>
          </w:p>
        </w:tc>
      </w:tr>
      <w:tr w:rsidR="00A5592E" w:rsidRPr="00B06EE7" w14:paraId="37EFDCA5"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53A1AE33" w14:textId="77777777" w:rsidR="00A5592E" w:rsidRPr="007A5332" w:rsidRDefault="00A5592E" w:rsidP="005B16B5">
            <w:pPr>
              <w:spacing w:before="240"/>
            </w:pPr>
          </w:p>
        </w:tc>
        <w:tc>
          <w:tcPr>
            <w:tcW w:w="3969" w:type="dxa"/>
          </w:tcPr>
          <w:p w14:paraId="7CA4B2A4"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d’un cadre réglementaire sur les marchés du carbone. </w:t>
            </w:r>
          </w:p>
        </w:tc>
        <w:tc>
          <w:tcPr>
            <w:tcW w:w="3685" w:type="dxa"/>
          </w:tcPr>
          <w:p w14:paraId="55662ECB"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clés, ARMCA, secteur privé, société civile, PTF</w:t>
            </w:r>
          </w:p>
        </w:tc>
        <w:tc>
          <w:tcPr>
            <w:tcW w:w="4678" w:type="dxa"/>
          </w:tcPr>
          <w:p w14:paraId="4C1E0D45"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Renforcement des capacités et partages d’’expérience sur les différentes dispositions réglementaires relatives au marché du carbone </w:t>
            </w:r>
          </w:p>
        </w:tc>
      </w:tr>
      <w:tr w:rsidR="00A5592E" w:rsidRPr="00B06EE7" w14:paraId="2B399E59"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07F071D9" w14:textId="77777777" w:rsidR="00A5592E" w:rsidRPr="007A5332" w:rsidRDefault="00A5592E" w:rsidP="005B16B5">
            <w:pPr>
              <w:spacing w:before="240"/>
            </w:pPr>
          </w:p>
        </w:tc>
        <w:tc>
          <w:tcPr>
            <w:tcW w:w="3969" w:type="dxa"/>
          </w:tcPr>
          <w:p w14:paraId="2E4C4562"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d’un cadre de mise en œuvre de l’article 6 de l’Accord de Paris </w:t>
            </w:r>
          </w:p>
        </w:tc>
        <w:tc>
          <w:tcPr>
            <w:tcW w:w="3685" w:type="dxa"/>
          </w:tcPr>
          <w:p w14:paraId="3F0E993E"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clés, ARMCA, secteur privé, société civile, PTF</w:t>
            </w:r>
          </w:p>
        </w:tc>
        <w:tc>
          <w:tcPr>
            <w:tcW w:w="4678" w:type="dxa"/>
          </w:tcPr>
          <w:p w14:paraId="2E19B4CB"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Renforcement des capacités et partages d’expérience sur les différentes dispositions réglementaires relatives au marché du carbone</w:t>
            </w:r>
          </w:p>
        </w:tc>
      </w:tr>
      <w:tr w:rsidR="00A5592E" w:rsidRPr="00B06EE7" w14:paraId="2850E8E8"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5C7C8490" w14:textId="77777777" w:rsidR="00A5592E" w:rsidRPr="007A5332" w:rsidRDefault="00A5592E" w:rsidP="005B16B5">
            <w:pPr>
              <w:spacing w:before="240"/>
            </w:pPr>
          </w:p>
        </w:tc>
        <w:tc>
          <w:tcPr>
            <w:tcW w:w="3969" w:type="dxa"/>
          </w:tcPr>
          <w:p w14:paraId="2FF6660D"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Non prise en compte des thématiques liées aux marchés du carbone dans les curricula de formation supérieurs </w:t>
            </w:r>
          </w:p>
        </w:tc>
        <w:tc>
          <w:tcPr>
            <w:tcW w:w="3685" w:type="dxa"/>
          </w:tcPr>
          <w:p w14:paraId="1AB5BD1E"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Universités</w:t>
            </w:r>
          </w:p>
        </w:tc>
        <w:tc>
          <w:tcPr>
            <w:tcW w:w="4678" w:type="dxa"/>
          </w:tcPr>
          <w:p w14:paraId="4924EACF"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Appuyer le développement de curricula de formation sur les marchés du carbone au niveau universitaire </w:t>
            </w:r>
          </w:p>
        </w:tc>
      </w:tr>
      <w:tr w:rsidR="00A5592E" w:rsidRPr="00B06EE7" w14:paraId="463D1470" w14:textId="77777777" w:rsidTr="005B16B5">
        <w:tc>
          <w:tcPr>
            <w:cnfStyle w:val="001000000000" w:firstRow="0" w:lastRow="0" w:firstColumn="1" w:lastColumn="0" w:oddVBand="0" w:evenVBand="0" w:oddHBand="0" w:evenHBand="0" w:firstRowFirstColumn="0" w:firstRowLastColumn="0" w:lastRowFirstColumn="0" w:lastRowLastColumn="0"/>
            <w:tcW w:w="988" w:type="dxa"/>
            <w:vMerge w:val="restart"/>
            <w:shd w:val="clear" w:color="auto" w:fill="D9D9D9" w:themeFill="background1" w:themeFillShade="D9"/>
            <w:textDirection w:val="btLr"/>
          </w:tcPr>
          <w:p w14:paraId="4303E0BA" w14:textId="77777777" w:rsidR="00A5592E" w:rsidRPr="007A5332" w:rsidRDefault="00A5592E" w:rsidP="005B16B5">
            <w:pPr>
              <w:spacing w:before="240"/>
              <w:ind w:left="113" w:right="113"/>
            </w:pPr>
            <w:r>
              <w:t xml:space="preserve">Considérations opérationnelles </w:t>
            </w:r>
          </w:p>
        </w:tc>
        <w:tc>
          <w:tcPr>
            <w:tcW w:w="3969" w:type="dxa"/>
          </w:tcPr>
          <w:p w14:paraId="06D10E40"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Faible connaissance technique sur les marchés du carbone </w:t>
            </w:r>
          </w:p>
        </w:tc>
        <w:tc>
          <w:tcPr>
            <w:tcW w:w="3685" w:type="dxa"/>
          </w:tcPr>
          <w:p w14:paraId="1D1C5617"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clés, ARMCA, secteur privé, société civile, PTF</w:t>
            </w:r>
          </w:p>
        </w:tc>
        <w:tc>
          <w:tcPr>
            <w:tcW w:w="4678" w:type="dxa"/>
          </w:tcPr>
          <w:p w14:paraId="631F639B"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Renforcer les capacités des acteurs sur les concepts clés des marchés du carbone (Marché volontaire et Article 6)</w:t>
            </w:r>
          </w:p>
        </w:tc>
      </w:tr>
      <w:tr w:rsidR="00A5592E" w:rsidRPr="00B06EE7" w14:paraId="036B97A9"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3045F271" w14:textId="77777777" w:rsidR="00A5592E" w:rsidRPr="007A5332" w:rsidRDefault="00A5592E" w:rsidP="005B16B5">
            <w:pPr>
              <w:spacing w:before="240"/>
            </w:pPr>
          </w:p>
        </w:tc>
        <w:tc>
          <w:tcPr>
            <w:tcW w:w="3969" w:type="dxa"/>
          </w:tcPr>
          <w:p w14:paraId="0672A628"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Inexistence des principes directeurs et mesures de sauvegardes nationales liés aux marchés du carbone </w:t>
            </w:r>
          </w:p>
        </w:tc>
        <w:tc>
          <w:tcPr>
            <w:tcW w:w="3685" w:type="dxa"/>
          </w:tcPr>
          <w:p w14:paraId="775CFC7B"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clés, ARMCA, secteur privé, société civile, PTF</w:t>
            </w:r>
          </w:p>
        </w:tc>
        <w:tc>
          <w:tcPr>
            <w:tcW w:w="4678" w:type="dxa"/>
          </w:tcPr>
          <w:p w14:paraId="454F047A"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Renforcer les capacités des acteurs pour la définition des principes directeurs et des mesures de sauvegardes</w:t>
            </w:r>
          </w:p>
        </w:tc>
      </w:tr>
      <w:tr w:rsidR="00A5592E" w:rsidRPr="00B06EE7" w14:paraId="2B174F18"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51A5F1FB" w14:textId="77777777" w:rsidR="00A5592E" w:rsidRPr="007A5332" w:rsidRDefault="00A5592E" w:rsidP="005B16B5">
            <w:pPr>
              <w:spacing w:before="240"/>
            </w:pPr>
          </w:p>
        </w:tc>
        <w:tc>
          <w:tcPr>
            <w:tcW w:w="3969" w:type="dxa"/>
          </w:tcPr>
          <w:p w14:paraId="6640FDE0"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de critères d’éligibilité des activités de mitigations sous l’article 6 </w:t>
            </w:r>
          </w:p>
        </w:tc>
        <w:tc>
          <w:tcPr>
            <w:tcW w:w="3685" w:type="dxa"/>
          </w:tcPr>
          <w:p w14:paraId="66587674"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clés, ARMCA, secteur privé, société civile, PTF</w:t>
            </w:r>
          </w:p>
        </w:tc>
        <w:tc>
          <w:tcPr>
            <w:tcW w:w="4678" w:type="dxa"/>
          </w:tcPr>
          <w:p w14:paraId="6AC5388C"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Former les acteurs sur les critères d’éligibilité pertinent et comment les définir </w:t>
            </w:r>
          </w:p>
        </w:tc>
      </w:tr>
      <w:tr w:rsidR="00A5592E" w:rsidRPr="00B06EE7" w14:paraId="77E96F83"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3842057D" w14:textId="77777777" w:rsidR="00A5592E" w:rsidRPr="007A5332" w:rsidRDefault="00A5592E" w:rsidP="005B16B5">
            <w:pPr>
              <w:spacing w:before="240"/>
            </w:pPr>
          </w:p>
        </w:tc>
        <w:tc>
          <w:tcPr>
            <w:tcW w:w="3969" w:type="dxa"/>
          </w:tcPr>
          <w:p w14:paraId="57D967F9"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de formulaire type pour faciliter les engagements légaux de l’Etat dans le cadre de l’approche de coopération de l’article 6 </w:t>
            </w:r>
          </w:p>
        </w:tc>
        <w:tc>
          <w:tcPr>
            <w:tcW w:w="3685" w:type="dxa"/>
          </w:tcPr>
          <w:p w14:paraId="4A7693F2"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ARMCA</w:t>
            </w:r>
          </w:p>
        </w:tc>
        <w:tc>
          <w:tcPr>
            <w:tcW w:w="4678" w:type="dxa"/>
          </w:tcPr>
          <w:p w14:paraId="4216989C" w14:textId="77777777" w:rsidR="00A5592E" w:rsidRPr="007A5332" w:rsidRDefault="00A5592E" w:rsidP="005B16B5">
            <w:pPr>
              <w:spacing w:before="240"/>
              <w:cnfStyle w:val="000000000000" w:firstRow="0" w:lastRow="0" w:firstColumn="0" w:lastColumn="0" w:oddVBand="0" w:evenVBand="0" w:oddHBand="0" w:evenHBand="0" w:firstRowFirstColumn="0" w:firstRowLastColumn="0" w:lastRowFirstColumn="0" w:lastRowLastColumn="0"/>
            </w:pPr>
            <w:r>
              <w:t>Planifier des sessions de formations et séances de travail pour l’élaboration des modèles de documents contractuels (</w:t>
            </w:r>
            <w:proofErr w:type="spellStart"/>
            <w:r>
              <w:t>MOUs</w:t>
            </w:r>
            <w:proofErr w:type="spellEnd"/>
            <w:r>
              <w:t>, accords bilatéraux)</w:t>
            </w:r>
          </w:p>
        </w:tc>
      </w:tr>
      <w:tr w:rsidR="00A5592E" w:rsidRPr="00B06EE7" w14:paraId="1F3B586F"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5167E26F" w14:textId="77777777" w:rsidR="00A5592E" w:rsidRPr="007A5332" w:rsidRDefault="00A5592E" w:rsidP="005B16B5">
            <w:pPr>
              <w:spacing w:before="240"/>
            </w:pPr>
          </w:p>
        </w:tc>
        <w:tc>
          <w:tcPr>
            <w:tcW w:w="3969" w:type="dxa"/>
          </w:tcPr>
          <w:p w14:paraId="1966A141"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d’une stratégie de tarification des </w:t>
            </w:r>
            <w:proofErr w:type="spellStart"/>
            <w:r>
              <w:t>ITMOs</w:t>
            </w:r>
            <w:proofErr w:type="spellEnd"/>
            <w:r>
              <w:t xml:space="preserve"> ainsi que les frais administratifs liées aux projets carbones et les ajustements correspondants </w:t>
            </w:r>
          </w:p>
        </w:tc>
        <w:tc>
          <w:tcPr>
            <w:tcW w:w="3685" w:type="dxa"/>
          </w:tcPr>
          <w:p w14:paraId="114507CB"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Administrations sectorielles, ARMCA, PTF, société civile </w:t>
            </w:r>
          </w:p>
        </w:tc>
        <w:tc>
          <w:tcPr>
            <w:tcW w:w="4678" w:type="dxa"/>
          </w:tcPr>
          <w:p w14:paraId="2048ADAC"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Organiser des sessions de formations sur la tarification des </w:t>
            </w:r>
            <w:proofErr w:type="spellStart"/>
            <w:r>
              <w:t>ITMOs</w:t>
            </w:r>
            <w:proofErr w:type="spellEnd"/>
            <w:r>
              <w:t xml:space="preserve"> et les directives techniques pour les options stratégiques pour les frais administratifs </w:t>
            </w:r>
          </w:p>
        </w:tc>
      </w:tr>
      <w:tr w:rsidR="00A5592E" w:rsidRPr="00B06EE7" w14:paraId="56917EEA"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42BC4F99" w14:textId="77777777" w:rsidR="00A5592E" w:rsidRPr="007A5332" w:rsidRDefault="00A5592E" w:rsidP="005B16B5">
            <w:pPr>
              <w:spacing w:before="240"/>
            </w:pPr>
          </w:p>
        </w:tc>
        <w:tc>
          <w:tcPr>
            <w:tcW w:w="3969" w:type="dxa"/>
          </w:tcPr>
          <w:p w14:paraId="4D46800A"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Faible connaissance sur les cycles de projets carbones (Marchés Volontaires et article 6)</w:t>
            </w:r>
          </w:p>
        </w:tc>
        <w:tc>
          <w:tcPr>
            <w:tcW w:w="3685" w:type="dxa"/>
          </w:tcPr>
          <w:p w14:paraId="24AAE935"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ARMCA, Société civile </w:t>
            </w:r>
          </w:p>
        </w:tc>
        <w:tc>
          <w:tcPr>
            <w:tcW w:w="4678" w:type="dxa"/>
          </w:tcPr>
          <w:p w14:paraId="4BC16D78"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Renforcer les capacités des acteurs concernées sur les cycles de projets sous les différents mécanismes </w:t>
            </w:r>
          </w:p>
        </w:tc>
      </w:tr>
      <w:tr w:rsidR="00A5592E" w:rsidRPr="00B06EE7" w14:paraId="456C40AF"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26BECD8C" w14:textId="77777777" w:rsidR="00A5592E" w:rsidRPr="007A5332" w:rsidRDefault="00A5592E" w:rsidP="005B16B5">
            <w:pPr>
              <w:spacing w:before="240"/>
            </w:pPr>
          </w:p>
        </w:tc>
        <w:tc>
          <w:tcPr>
            <w:tcW w:w="3969" w:type="dxa"/>
          </w:tcPr>
          <w:p w14:paraId="00E034FA"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d’une procédure d’approbation techniques des projets </w:t>
            </w:r>
          </w:p>
        </w:tc>
        <w:tc>
          <w:tcPr>
            <w:tcW w:w="3685" w:type="dxa"/>
          </w:tcPr>
          <w:p w14:paraId="345D0861"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ARMCA, Société civile, PTF</w:t>
            </w:r>
          </w:p>
        </w:tc>
        <w:tc>
          <w:tcPr>
            <w:tcW w:w="4678" w:type="dxa"/>
          </w:tcPr>
          <w:p w14:paraId="7017357F"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Renforcer les capacités techniques des acteurs, en matière d’approbation des projets carbones et activités de mitigation sous l’article 6.4.</w:t>
            </w:r>
          </w:p>
        </w:tc>
      </w:tr>
      <w:tr w:rsidR="00A5592E" w:rsidRPr="00B06EE7" w14:paraId="71C9DA68"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64FA5F40" w14:textId="77777777" w:rsidR="00A5592E" w:rsidRPr="007A5332" w:rsidRDefault="00A5592E" w:rsidP="005B16B5">
            <w:pPr>
              <w:spacing w:before="240"/>
            </w:pPr>
          </w:p>
        </w:tc>
        <w:tc>
          <w:tcPr>
            <w:tcW w:w="3969" w:type="dxa"/>
          </w:tcPr>
          <w:p w14:paraId="742506BE"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Absence d’une procédure pour les ajustements correspondants </w:t>
            </w:r>
          </w:p>
        </w:tc>
        <w:tc>
          <w:tcPr>
            <w:tcW w:w="3685" w:type="dxa"/>
          </w:tcPr>
          <w:p w14:paraId="4B80A7D3"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ARMCA, Administrations sectorielles, Société civile, PTF</w:t>
            </w:r>
          </w:p>
        </w:tc>
        <w:tc>
          <w:tcPr>
            <w:tcW w:w="4678" w:type="dxa"/>
          </w:tcPr>
          <w:p w14:paraId="21B32CC9"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Renforcer les capacités des acteurs sur le développement d’une procédure pour les ajustements correspondant </w:t>
            </w:r>
          </w:p>
        </w:tc>
      </w:tr>
      <w:tr w:rsidR="00A5592E" w:rsidRPr="00B06EE7" w14:paraId="7CF742FA"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67CCBB3E" w14:textId="77777777" w:rsidR="00A5592E" w:rsidRPr="007A5332" w:rsidRDefault="00A5592E" w:rsidP="005B16B5">
            <w:pPr>
              <w:spacing w:before="240"/>
            </w:pPr>
          </w:p>
        </w:tc>
        <w:tc>
          <w:tcPr>
            <w:tcW w:w="3969" w:type="dxa"/>
          </w:tcPr>
          <w:p w14:paraId="34383648"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Inexistence d’activités de mitigation sous le mécanisme de l’article 6.4. </w:t>
            </w:r>
          </w:p>
        </w:tc>
        <w:tc>
          <w:tcPr>
            <w:tcW w:w="3685" w:type="dxa"/>
          </w:tcPr>
          <w:p w14:paraId="6B872C30"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Société civile, PTF</w:t>
            </w:r>
          </w:p>
        </w:tc>
        <w:tc>
          <w:tcPr>
            <w:tcW w:w="4678" w:type="dxa"/>
          </w:tcPr>
          <w:p w14:paraId="3BB72AF1"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Organiser une session de formation sur la formulation des activités de mitigation conformément aux exigences de l’article 6.4. </w:t>
            </w:r>
          </w:p>
        </w:tc>
      </w:tr>
      <w:tr w:rsidR="00A5592E" w:rsidRPr="00B06EE7" w14:paraId="3C139B03"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34D17273" w14:textId="77777777" w:rsidR="00A5592E" w:rsidRPr="007A5332" w:rsidRDefault="00A5592E" w:rsidP="005B16B5">
            <w:pPr>
              <w:spacing w:before="240"/>
            </w:pPr>
          </w:p>
        </w:tc>
        <w:tc>
          <w:tcPr>
            <w:tcW w:w="3969" w:type="dxa"/>
          </w:tcPr>
          <w:p w14:paraId="6220628B"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Absence d’un mécanisme de rapportage</w:t>
            </w:r>
          </w:p>
        </w:tc>
        <w:tc>
          <w:tcPr>
            <w:tcW w:w="3685" w:type="dxa"/>
          </w:tcPr>
          <w:p w14:paraId="0F715441"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Administrations sectorielles, ARMCA</w:t>
            </w:r>
          </w:p>
        </w:tc>
        <w:tc>
          <w:tcPr>
            <w:tcW w:w="4678" w:type="dxa"/>
          </w:tcPr>
          <w:p w14:paraId="09B9E85B"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Renforcement des capacités sur le mécanisme de rapportage de l’article 6 </w:t>
            </w:r>
          </w:p>
        </w:tc>
      </w:tr>
      <w:tr w:rsidR="00A5592E" w:rsidRPr="00B06EE7" w14:paraId="234A0D3C" w14:textId="77777777" w:rsidTr="005B16B5">
        <w:tc>
          <w:tcPr>
            <w:cnfStyle w:val="001000000000" w:firstRow="0" w:lastRow="0" w:firstColumn="1" w:lastColumn="0" w:oddVBand="0" w:evenVBand="0" w:oddHBand="0" w:evenHBand="0" w:firstRowFirstColumn="0" w:firstRowLastColumn="0" w:lastRowFirstColumn="0" w:lastRowLastColumn="0"/>
            <w:tcW w:w="988" w:type="dxa"/>
            <w:vMerge/>
            <w:shd w:val="clear" w:color="auto" w:fill="D9D9D9" w:themeFill="background1" w:themeFillShade="D9"/>
          </w:tcPr>
          <w:p w14:paraId="572EA585" w14:textId="77777777" w:rsidR="00A5592E" w:rsidRPr="007A5332" w:rsidRDefault="00A5592E" w:rsidP="005B16B5">
            <w:pPr>
              <w:spacing w:before="240"/>
            </w:pPr>
          </w:p>
        </w:tc>
        <w:tc>
          <w:tcPr>
            <w:tcW w:w="3969" w:type="dxa"/>
          </w:tcPr>
          <w:p w14:paraId="3390BA95"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Faible connaissance de l’utilisation des registres carbones internationaux et nationaux </w:t>
            </w:r>
          </w:p>
        </w:tc>
        <w:tc>
          <w:tcPr>
            <w:tcW w:w="3685" w:type="dxa"/>
          </w:tcPr>
          <w:p w14:paraId="5252A2BF"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Administrations sectorielles, ARMCA, société civile, </w:t>
            </w:r>
          </w:p>
        </w:tc>
        <w:tc>
          <w:tcPr>
            <w:tcW w:w="4678" w:type="dxa"/>
          </w:tcPr>
          <w:p w14:paraId="473A5134" w14:textId="77777777" w:rsidR="00A5592E" w:rsidRDefault="00A5592E" w:rsidP="005B16B5">
            <w:pPr>
              <w:spacing w:before="240"/>
              <w:cnfStyle w:val="000000000000" w:firstRow="0" w:lastRow="0" w:firstColumn="0" w:lastColumn="0" w:oddVBand="0" w:evenVBand="0" w:oddHBand="0" w:evenHBand="0" w:firstRowFirstColumn="0" w:firstRowLastColumn="0" w:lastRowFirstColumn="0" w:lastRowLastColumn="0"/>
            </w:pPr>
            <w:r>
              <w:t xml:space="preserve">Renforcer les capacités des acteurs sur le </w:t>
            </w:r>
            <w:proofErr w:type="spellStart"/>
            <w:r>
              <w:t>tracking</w:t>
            </w:r>
            <w:proofErr w:type="spellEnd"/>
            <w:r>
              <w:t xml:space="preserve"> des émissions et des transactions au niveau des différents registres </w:t>
            </w:r>
          </w:p>
        </w:tc>
      </w:tr>
    </w:tbl>
    <w:p w14:paraId="6AEA8C5D" w14:textId="77777777" w:rsidR="00A5592E" w:rsidRDefault="00A5592E" w:rsidP="00A5592E">
      <w:pPr>
        <w:sectPr w:rsidR="00A5592E" w:rsidSect="003A51CF">
          <w:pgSz w:w="16838" w:h="11906" w:orient="landscape"/>
          <w:pgMar w:top="1077" w:right="1440" w:bottom="1077" w:left="1440" w:header="709" w:footer="709" w:gutter="0"/>
          <w:cols w:space="708"/>
          <w:docGrid w:linePitch="360"/>
        </w:sectPr>
      </w:pPr>
    </w:p>
    <w:p w14:paraId="4317B642" w14:textId="77777777" w:rsidR="00A5592E" w:rsidRPr="00741BEE" w:rsidRDefault="00A5592E" w:rsidP="00A5592E">
      <w:pPr>
        <w:rPr>
          <w:lang w:eastAsia="en-AU"/>
        </w:rPr>
      </w:pPr>
    </w:p>
    <w:p w14:paraId="7FB7E028" w14:textId="77777777" w:rsidR="00A5592E" w:rsidRPr="00161907" w:rsidRDefault="00A5592E" w:rsidP="00A5592E">
      <w:pPr>
        <w:pStyle w:val="Paragraphedeliste"/>
        <w:numPr>
          <w:ilvl w:val="0"/>
          <w:numId w:val="53"/>
        </w:numPr>
        <w:spacing w:before="120" w:after="0"/>
        <w:rPr>
          <w:b/>
          <w:bCs/>
        </w:rPr>
      </w:pPr>
      <w:bookmarkStart w:id="91" w:name="_Toc171338500"/>
      <w:r>
        <w:rPr>
          <w:b/>
          <w:bCs/>
        </w:rPr>
        <w:t>Plan de renforcement des capacités</w:t>
      </w:r>
      <w:r w:rsidRPr="00161907">
        <w:rPr>
          <w:b/>
          <w:bCs/>
        </w:rPr>
        <w:t xml:space="preserve"> </w:t>
      </w:r>
    </w:p>
    <w:p w14:paraId="4C1F6B19" w14:textId="77777777" w:rsidR="00A5592E" w:rsidRPr="00161907" w:rsidRDefault="00A5592E" w:rsidP="00FB7BE6">
      <w:pPr>
        <w:pStyle w:val="Titre2"/>
        <w:numPr>
          <w:ilvl w:val="0"/>
          <w:numId w:val="0"/>
        </w:numPr>
        <w:ind w:left="284"/>
        <w:rPr>
          <w:rFonts w:asciiTheme="minorHAnsi" w:eastAsiaTheme="minorHAnsi" w:hAnsiTheme="minorHAnsi" w:cstheme="minorBidi"/>
          <w:b w:val="0"/>
          <w:color w:val="3C3C3B"/>
          <w:sz w:val="20"/>
          <w:lang w:eastAsia="en-AU"/>
        </w:rPr>
      </w:pPr>
      <w:r>
        <w:rPr>
          <w:lang w:eastAsia="en-AU"/>
        </w:rPr>
        <w:t xml:space="preserve">     </w:t>
      </w:r>
      <w:bookmarkStart w:id="92" w:name="_Toc172147843"/>
      <w:bookmarkStart w:id="93" w:name="_Toc172150546"/>
      <w:r w:rsidRPr="00161907">
        <w:rPr>
          <w:rFonts w:asciiTheme="minorHAnsi" w:eastAsiaTheme="minorHAnsi" w:hAnsiTheme="minorHAnsi" w:cstheme="minorBidi"/>
          <w:b w:val="0"/>
          <w:color w:val="3C3C3B"/>
          <w:sz w:val="20"/>
          <w:lang w:eastAsia="en-AU"/>
        </w:rPr>
        <w:t xml:space="preserve">Le plan de renforcement des capacités du présent projet </w:t>
      </w:r>
      <w:r>
        <w:rPr>
          <w:rFonts w:asciiTheme="minorHAnsi" w:eastAsiaTheme="minorHAnsi" w:hAnsiTheme="minorHAnsi" w:cstheme="minorBidi"/>
          <w:b w:val="0"/>
          <w:color w:val="3C3C3B"/>
          <w:sz w:val="20"/>
          <w:lang w:eastAsia="en-AU"/>
        </w:rPr>
        <w:t>découle de l’évaluation des lacunes qui a permis de ressortir les besoins en renforcement des capacités des différents acteurs. Le tableau ci-dessous présente le plan les différentes thématiques de formation qui seront dispensés dans le cadre du projet.</w:t>
      </w:r>
      <w:bookmarkEnd w:id="92"/>
      <w:bookmarkEnd w:id="93"/>
      <w:r>
        <w:rPr>
          <w:rFonts w:asciiTheme="minorHAnsi" w:eastAsiaTheme="minorHAnsi" w:hAnsiTheme="minorHAnsi" w:cstheme="minorBidi"/>
          <w:b w:val="0"/>
          <w:color w:val="3C3C3B"/>
          <w:sz w:val="20"/>
          <w:lang w:eastAsia="en-AU"/>
        </w:rPr>
        <w:t xml:space="preserve"> </w:t>
      </w:r>
    </w:p>
    <w:p w14:paraId="6C5C6EA1" w14:textId="77777777" w:rsidR="00A5592E" w:rsidRPr="00E275C0" w:rsidRDefault="00A5592E" w:rsidP="00FB7BE6">
      <w:pPr>
        <w:pStyle w:val="Titre2"/>
        <w:numPr>
          <w:ilvl w:val="0"/>
          <w:numId w:val="0"/>
        </w:numPr>
        <w:ind w:left="284"/>
        <w:rPr>
          <w:lang w:eastAsia="en-AU"/>
        </w:rPr>
      </w:pPr>
      <w:bookmarkStart w:id="94" w:name="_Toc172147844"/>
      <w:bookmarkStart w:id="95" w:name="_Toc172150547"/>
      <w:r w:rsidRPr="00E275C0">
        <w:rPr>
          <w:lang w:eastAsia="en-AU"/>
        </w:rPr>
        <w:t>Tableau 1</w:t>
      </w:r>
      <w:r>
        <w:rPr>
          <w:lang w:eastAsia="en-AU"/>
        </w:rPr>
        <w:t>6</w:t>
      </w:r>
      <w:r w:rsidRPr="00E275C0">
        <w:rPr>
          <w:lang w:eastAsia="en-AU"/>
        </w:rPr>
        <w:t>. Plan de renforcement des capacités</w:t>
      </w:r>
      <w:bookmarkEnd w:id="91"/>
      <w:bookmarkEnd w:id="94"/>
      <w:bookmarkEnd w:id="95"/>
      <w:r w:rsidRPr="00E275C0">
        <w:rPr>
          <w:lang w:eastAsia="en-AU"/>
        </w:rPr>
        <w:t xml:space="preserve"> </w:t>
      </w:r>
    </w:p>
    <w:tbl>
      <w:tblPr>
        <w:tblStyle w:val="NatureCoDefaultTable"/>
        <w:tblW w:w="0" w:type="auto"/>
        <w:tblLook w:val="04A0" w:firstRow="1" w:lastRow="0" w:firstColumn="1" w:lastColumn="0" w:noHBand="0" w:noVBand="1"/>
      </w:tblPr>
      <w:tblGrid>
        <w:gridCol w:w="2830"/>
        <w:gridCol w:w="2835"/>
        <w:gridCol w:w="3828"/>
        <w:gridCol w:w="2835"/>
        <w:gridCol w:w="1559"/>
      </w:tblGrid>
      <w:tr w:rsidR="00A5592E" w14:paraId="2F1B2840" w14:textId="77777777" w:rsidTr="005B16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10CFA72" w14:textId="77777777" w:rsidR="00A5592E" w:rsidRDefault="00A5592E" w:rsidP="005B16B5">
            <w:pPr>
              <w:rPr>
                <w:lang w:eastAsia="en-AU"/>
              </w:rPr>
            </w:pPr>
            <w:r>
              <w:rPr>
                <w:lang w:eastAsia="en-AU"/>
              </w:rPr>
              <w:t xml:space="preserve">Thématique </w:t>
            </w:r>
          </w:p>
        </w:tc>
        <w:tc>
          <w:tcPr>
            <w:tcW w:w="2835" w:type="dxa"/>
          </w:tcPr>
          <w:p w14:paraId="59F0A6E1" w14:textId="77777777" w:rsidR="00A5592E" w:rsidRDefault="00A5592E" w:rsidP="005B16B5">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 xml:space="preserve">Description </w:t>
            </w:r>
          </w:p>
        </w:tc>
        <w:tc>
          <w:tcPr>
            <w:tcW w:w="3828" w:type="dxa"/>
          </w:tcPr>
          <w:p w14:paraId="003ED9D0" w14:textId="77777777" w:rsidR="00A5592E" w:rsidRDefault="00A5592E" w:rsidP="005B16B5">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 xml:space="preserve">Approche </w:t>
            </w:r>
          </w:p>
        </w:tc>
        <w:tc>
          <w:tcPr>
            <w:tcW w:w="2835" w:type="dxa"/>
          </w:tcPr>
          <w:p w14:paraId="0636AC66" w14:textId="77777777" w:rsidR="00A5592E" w:rsidRDefault="00A5592E" w:rsidP="005B16B5">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 xml:space="preserve">Cible </w:t>
            </w:r>
          </w:p>
        </w:tc>
        <w:tc>
          <w:tcPr>
            <w:tcW w:w="1559" w:type="dxa"/>
          </w:tcPr>
          <w:p w14:paraId="7A80827E" w14:textId="77777777" w:rsidR="00A5592E" w:rsidRDefault="00A5592E" w:rsidP="005B16B5">
            <w:pPr>
              <w:cnfStyle w:val="100000000000" w:firstRow="1" w:lastRow="0" w:firstColumn="0" w:lastColumn="0" w:oddVBand="0" w:evenVBand="0" w:oddHBand="0" w:evenHBand="0" w:firstRowFirstColumn="0" w:firstRowLastColumn="0" w:lastRowFirstColumn="0" w:lastRowLastColumn="0"/>
              <w:rPr>
                <w:lang w:eastAsia="en-AU"/>
              </w:rPr>
            </w:pPr>
            <w:r>
              <w:rPr>
                <w:lang w:eastAsia="en-AU"/>
              </w:rPr>
              <w:t xml:space="preserve">Période </w:t>
            </w:r>
          </w:p>
        </w:tc>
      </w:tr>
      <w:tr w:rsidR="00A5592E" w14:paraId="3EF9D64F"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3FE3F857" w14:textId="77777777" w:rsidR="00A5592E" w:rsidRPr="00904851" w:rsidRDefault="00A5592E" w:rsidP="005B16B5">
            <w:pPr>
              <w:rPr>
                <w:b w:val="0"/>
                <w:bCs/>
                <w:lang w:eastAsia="en-AU"/>
              </w:rPr>
            </w:pPr>
            <w:r>
              <w:rPr>
                <w:b w:val="0"/>
                <w:bCs/>
              </w:rPr>
              <w:t xml:space="preserve">Atelier de formation sur la prise en compte/intégration de la CDN dans les cadres de planification sectorielle </w:t>
            </w:r>
          </w:p>
        </w:tc>
        <w:tc>
          <w:tcPr>
            <w:tcW w:w="2835" w:type="dxa"/>
          </w:tcPr>
          <w:p w14:paraId="27BAFA53"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Organiser un atelier à l’intention des administrations de tutelle des secteurs clés mentionnés dans la CDN pour intégrer les activités liées à la CDN dans leur cadre de planification et leur budget </w:t>
            </w:r>
          </w:p>
        </w:tc>
        <w:tc>
          <w:tcPr>
            <w:tcW w:w="3828" w:type="dxa"/>
          </w:tcPr>
          <w:p w14:paraId="4B21F807"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Cet atelier se fera en présentiel dans un premier temps et ensuite, un webinaire en ligne sera organisé chaque année dès l’année 2 pour le suivi post formation.  </w:t>
            </w:r>
          </w:p>
        </w:tc>
        <w:tc>
          <w:tcPr>
            <w:tcW w:w="2835" w:type="dxa"/>
          </w:tcPr>
          <w:p w14:paraId="7134EF05"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Ministères en charge de : Plan, Environnement Développement Durable, finance, énergie, agriculture, transport  </w:t>
            </w:r>
          </w:p>
        </w:tc>
        <w:tc>
          <w:tcPr>
            <w:tcW w:w="1559" w:type="dxa"/>
          </w:tcPr>
          <w:p w14:paraId="16C281CA"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Trimestre 2 </w:t>
            </w:r>
          </w:p>
        </w:tc>
      </w:tr>
      <w:tr w:rsidR="00A5592E" w14:paraId="1DC42BA9"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119F69D2" w14:textId="77777777" w:rsidR="00A5592E" w:rsidRPr="00904851" w:rsidRDefault="00A5592E" w:rsidP="005B16B5">
            <w:pPr>
              <w:rPr>
                <w:b w:val="0"/>
                <w:bCs/>
                <w:lang w:eastAsia="en-AU"/>
              </w:rPr>
            </w:pPr>
            <w:r>
              <w:rPr>
                <w:b w:val="0"/>
                <w:bCs/>
              </w:rPr>
              <w:t>Formation sur le suivi de flux financiers liés aux changements climatiques en RDC.</w:t>
            </w:r>
            <w:r w:rsidRPr="00904851">
              <w:rPr>
                <w:b w:val="0"/>
                <w:bCs/>
              </w:rPr>
              <w:t xml:space="preserve"> </w:t>
            </w:r>
          </w:p>
        </w:tc>
        <w:tc>
          <w:tcPr>
            <w:tcW w:w="2835" w:type="dxa"/>
          </w:tcPr>
          <w:p w14:paraId="2BAB5DF4"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Organiser à l’intention des responsables du </w:t>
            </w:r>
            <w:proofErr w:type="spellStart"/>
            <w:r>
              <w:rPr>
                <w:lang w:eastAsia="en-AU"/>
              </w:rPr>
              <w:t>Minfi</w:t>
            </w:r>
            <w:proofErr w:type="spellEnd"/>
            <w:r>
              <w:rPr>
                <w:lang w:eastAsia="en-AU"/>
              </w:rPr>
              <w:t xml:space="preserve"> et MINEDD, un atelier de formation sur le suivi des flux financiers liées au climat. </w:t>
            </w:r>
          </w:p>
        </w:tc>
        <w:tc>
          <w:tcPr>
            <w:tcW w:w="3828" w:type="dxa"/>
          </w:tcPr>
          <w:p w14:paraId="68402A1D"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Cet atelier se fera en présentiel dans un premier, dans le cadre de la réalisation de l’étude sur le suivi des flux financiers du climat, et ensuite, un webinaire en ligne sera organisé chaque année dès l’année 2 pour le suivi post formation.  </w:t>
            </w:r>
          </w:p>
        </w:tc>
        <w:tc>
          <w:tcPr>
            <w:tcW w:w="2835" w:type="dxa"/>
          </w:tcPr>
          <w:p w14:paraId="009C7786"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proofErr w:type="spellStart"/>
            <w:r>
              <w:rPr>
                <w:lang w:eastAsia="en-AU"/>
              </w:rPr>
              <w:t>Minfi</w:t>
            </w:r>
            <w:proofErr w:type="spellEnd"/>
            <w:r>
              <w:rPr>
                <w:lang w:eastAsia="en-AU"/>
              </w:rPr>
              <w:t xml:space="preserve"> et MINEDD</w:t>
            </w:r>
          </w:p>
        </w:tc>
        <w:tc>
          <w:tcPr>
            <w:tcW w:w="1559" w:type="dxa"/>
          </w:tcPr>
          <w:p w14:paraId="0DA2131E"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2</w:t>
            </w:r>
          </w:p>
        </w:tc>
      </w:tr>
      <w:tr w:rsidR="00A5592E" w14:paraId="196C9181"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09CBB57F" w14:textId="77777777" w:rsidR="00A5592E" w:rsidRPr="00904851" w:rsidRDefault="00A5592E" w:rsidP="005B16B5">
            <w:pPr>
              <w:rPr>
                <w:b w:val="0"/>
                <w:bCs/>
                <w:lang w:eastAsia="en-AU"/>
              </w:rPr>
            </w:pPr>
            <w:r>
              <w:rPr>
                <w:b w:val="0"/>
                <w:bCs/>
              </w:rPr>
              <w:t xml:space="preserve">Formation sur le cadre de transparence renforcé de l’accord de paris et la structure de rapportage du Rapport biennal sur la Transparence </w:t>
            </w:r>
          </w:p>
        </w:tc>
        <w:tc>
          <w:tcPr>
            <w:tcW w:w="2835" w:type="dxa"/>
          </w:tcPr>
          <w:p w14:paraId="66FE82B8"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Organiser un atelier de formation des cadres des administrations impliquées dans le processus de rapportage sur la CDN </w:t>
            </w:r>
          </w:p>
        </w:tc>
        <w:tc>
          <w:tcPr>
            <w:tcW w:w="3828" w:type="dxa"/>
          </w:tcPr>
          <w:p w14:paraId="4CE9AA2B"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Cet atelier se fera en présentiel </w:t>
            </w:r>
          </w:p>
        </w:tc>
        <w:tc>
          <w:tcPr>
            <w:tcW w:w="2835" w:type="dxa"/>
          </w:tcPr>
          <w:p w14:paraId="3B320332"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Ministères en charge de : l’Environnement Développement Durable, finance, énergie, agriculture, transport  </w:t>
            </w:r>
          </w:p>
        </w:tc>
        <w:tc>
          <w:tcPr>
            <w:tcW w:w="1559" w:type="dxa"/>
          </w:tcPr>
          <w:p w14:paraId="08B16B43"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3</w:t>
            </w:r>
          </w:p>
        </w:tc>
      </w:tr>
      <w:tr w:rsidR="00A5592E" w14:paraId="58C871BD"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7516C31F" w14:textId="77777777" w:rsidR="00A5592E" w:rsidRPr="00904851" w:rsidRDefault="00A5592E" w:rsidP="005B16B5">
            <w:pPr>
              <w:rPr>
                <w:b w:val="0"/>
                <w:bCs/>
                <w:lang w:eastAsia="en-AU"/>
              </w:rPr>
            </w:pPr>
            <w:r>
              <w:rPr>
                <w:b w:val="0"/>
                <w:bCs/>
              </w:rPr>
              <w:t xml:space="preserve">Formation </w:t>
            </w:r>
            <w:r w:rsidRPr="00904851">
              <w:rPr>
                <w:b w:val="0"/>
                <w:bCs/>
              </w:rPr>
              <w:t>des cadres administrations sectoriel</w:t>
            </w:r>
            <w:r>
              <w:rPr>
                <w:b w:val="0"/>
                <w:bCs/>
              </w:rPr>
              <w:t>le</w:t>
            </w:r>
            <w:r w:rsidRPr="00904851">
              <w:rPr>
                <w:b w:val="0"/>
                <w:bCs/>
              </w:rPr>
              <w:t xml:space="preserve">s, en matière de collecte des données d’activités et d’estimation des émissions de GES </w:t>
            </w:r>
          </w:p>
        </w:tc>
        <w:tc>
          <w:tcPr>
            <w:tcW w:w="2835" w:type="dxa"/>
          </w:tcPr>
          <w:p w14:paraId="0548847C"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Organisation d’un atelier de formation sur la collecte des données d’activités et estimations des émissions de GES des secteurs énergie, agriculture, transport </w:t>
            </w:r>
          </w:p>
        </w:tc>
        <w:tc>
          <w:tcPr>
            <w:tcW w:w="3828" w:type="dxa"/>
          </w:tcPr>
          <w:p w14:paraId="4A0F4537"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Cet atelier se fera en présentiel dans un premier et ensuite, un webinaire en ligne sera organisé chaque année dès l’année 2 pour le suivi post formation.  </w:t>
            </w:r>
          </w:p>
        </w:tc>
        <w:tc>
          <w:tcPr>
            <w:tcW w:w="2835" w:type="dxa"/>
          </w:tcPr>
          <w:p w14:paraId="46DF235A"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Ministères en charge de : l’Environnement Développement Durable, finance, énergie, agriculture, transport  </w:t>
            </w:r>
          </w:p>
        </w:tc>
        <w:tc>
          <w:tcPr>
            <w:tcW w:w="1559" w:type="dxa"/>
          </w:tcPr>
          <w:p w14:paraId="795BFB66"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Trimestre 3 </w:t>
            </w:r>
          </w:p>
        </w:tc>
      </w:tr>
      <w:tr w:rsidR="00A5592E" w14:paraId="6EF5FD98"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1CC038E7" w14:textId="77777777" w:rsidR="00A5592E" w:rsidRPr="001F7FB5" w:rsidRDefault="00A5592E" w:rsidP="005B16B5">
            <w:pPr>
              <w:rPr>
                <w:b w:val="0"/>
                <w:bCs/>
                <w:lang w:eastAsia="en-AU"/>
              </w:rPr>
            </w:pPr>
            <w:r w:rsidRPr="001F7FB5">
              <w:rPr>
                <w:b w:val="0"/>
                <w:bCs/>
                <w:lang w:eastAsia="en-AU"/>
              </w:rPr>
              <w:lastRenderedPageBreak/>
              <w:t xml:space="preserve">Formation Introductive sur les marchés du carbone </w:t>
            </w:r>
          </w:p>
        </w:tc>
        <w:tc>
          <w:tcPr>
            <w:tcW w:w="2835" w:type="dxa"/>
          </w:tcPr>
          <w:p w14:paraId="1553B636"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notions de base sur les marchés du carbone et les principes clés d’intégrité </w:t>
            </w:r>
          </w:p>
        </w:tc>
        <w:tc>
          <w:tcPr>
            <w:tcW w:w="3828" w:type="dxa"/>
          </w:tcPr>
          <w:p w14:paraId="4781E340"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Cet atelier se fera en présentiel dans un premier et ensuite, un webinaire en ligne sera organisé chaque année dès l’année 2 pour le suivi post formation.  </w:t>
            </w:r>
          </w:p>
        </w:tc>
        <w:tc>
          <w:tcPr>
            <w:tcW w:w="2835" w:type="dxa"/>
          </w:tcPr>
          <w:p w14:paraId="5CF7D97A" w14:textId="77777777" w:rsidR="00A5592E" w:rsidRPr="006265DE" w:rsidRDefault="00A5592E" w:rsidP="00A5592E">
            <w:pPr>
              <w:pStyle w:val="Paragraphedeliste"/>
              <w:numPr>
                <w:ilvl w:val="0"/>
                <w:numId w:val="54"/>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 xml:space="preserve">Personnel ARMCA, </w:t>
            </w:r>
          </w:p>
          <w:p w14:paraId="2B5F053F" w14:textId="77777777" w:rsidR="00A5592E" w:rsidRPr="006265DE" w:rsidRDefault="00A5592E" w:rsidP="00A5592E">
            <w:pPr>
              <w:pStyle w:val="Paragraphedeliste"/>
              <w:numPr>
                <w:ilvl w:val="0"/>
                <w:numId w:val="54"/>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Point focal Article 6</w:t>
            </w:r>
          </w:p>
          <w:p w14:paraId="77591940" w14:textId="77777777" w:rsidR="00A5592E" w:rsidRPr="006265DE" w:rsidRDefault="00A5592E" w:rsidP="00A5592E">
            <w:pPr>
              <w:pStyle w:val="Paragraphedeliste"/>
              <w:numPr>
                <w:ilvl w:val="0"/>
                <w:numId w:val="54"/>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Société civile</w:t>
            </w:r>
          </w:p>
        </w:tc>
        <w:tc>
          <w:tcPr>
            <w:tcW w:w="1559" w:type="dxa"/>
          </w:tcPr>
          <w:p w14:paraId="302AA483"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Trimestre 1 </w:t>
            </w:r>
          </w:p>
        </w:tc>
      </w:tr>
      <w:tr w:rsidR="00A5592E" w14:paraId="095F048A"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6E0E9F69" w14:textId="77777777" w:rsidR="00A5592E" w:rsidRPr="001F7FB5" w:rsidRDefault="00A5592E" w:rsidP="005B16B5">
            <w:pPr>
              <w:rPr>
                <w:b w:val="0"/>
                <w:bCs/>
                <w:lang w:eastAsia="en-AU"/>
              </w:rPr>
            </w:pPr>
            <w:r>
              <w:rPr>
                <w:b w:val="0"/>
                <w:bCs/>
              </w:rPr>
              <w:t>Atelier de r</w:t>
            </w:r>
            <w:r w:rsidRPr="001F7FB5">
              <w:rPr>
                <w:b w:val="0"/>
                <w:bCs/>
              </w:rPr>
              <w:t>enforcement des capacités et partage d’expérience sur les considérations stratégiques spécifiques liées au déploiement des marchés du carbone (Engagement vers le marchés volontaires, lien avec la CDN, critères d’éligibilité, qualité des crédits carbone, autres critères d’intégrité)</w:t>
            </w:r>
          </w:p>
        </w:tc>
        <w:tc>
          <w:tcPr>
            <w:tcW w:w="2835" w:type="dxa"/>
          </w:tcPr>
          <w:p w14:paraId="42066E43"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Cet atelier se fera dans le cadre de l’élaboration de la stratégie d’accès aux marchés du carbone</w:t>
            </w:r>
          </w:p>
        </w:tc>
        <w:tc>
          <w:tcPr>
            <w:tcW w:w="3828" w:type="dxa"/>
          </w:tcPr>
          <w:p w14:paraId="0BC0E892"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Atelier en présentiel réalisé dans le cadre de la consultation et le renforcement des capacités des acteurs en vue de l’élaboration de la stratégie nationale d’accès aux marchés du carbone </w:t>
            </w:r>
          </w:p>
        </w:tc>
        <w:tc>
          <w:tcPr>
            <w:tcW w:w="2835" w:type="dxa"/>
          </w:tcPr>
          <w:p w14:paraId="02A6CF8E" w14:textId="77777777" w:rsidR="00A5592E" w:rsidRDefault="00A5592E" w:rsidP="00A5592E">
            <w:pPr>
              <w:pStyle w:val="Paragraphedeliste"/>
              <w:numPr>
                <w:ilvl w:val="0"/>
                <w:numId w:val="55"/>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 xml:space="preserve">Administrations sectorielles (MINEDD, </w:t>
            </w:r>
            <w:proofErr w:type="spellStart"/>
            <w:r w:rsidRPr="006265DE">
              <w:rPr>
                <w:lang w:eastAsia="en-AU"/>
              </w:rPr>
              <w:t>Minfi</w:t>
            </w:r>
            <w:proofErr w:type="spellEnd"/>
            <w:r w:rsidRPr="006265DE">
              <w:rPr>
                <w:lang w:eastAsia="en-AU"/>
              </w:rPr>
              <w:t xml:space="preserve">, relations extérieures et coopération internationale, agriculture, énergie, etc.), </w:t>
            </w:r>
          </w:p>
          <w:p w14:paraId="54753BFF" w14:textId="77777777" w:rsidR="00A5592E" w:rsidRDefault="00A5592E" w:rsidP="00A5592E">
            <w:pPr>
              <w:pStyle w:val="Paragraphedeliste"/>
              <w:numPr>
                <w:ilvl w:val="0"/>
                <w:numId w:val="55"/>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Personnel de l’ARMCA,</w:t>
            </w:r>
          </w:p>
          <w:p w14:paraId="308B956F" w14:textId="77777777" w:rsidR="00A5592E" w:rsidRDefault="00A5592E" w:rsidP="00A5592E">
            <w:pPr>
              <w:pStyle w:val="Paragraphedeliste"/>
              <w:numPr>
                <w:ilvl w:val="0"/>
                <w:numId w:val="55"/>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 xml:space="preserve">Développeurs de projets, </w:t>
            </w:r>
          </w:p>
          <w:p w14:paraId="75F08E1A" w14:textId="77777777" w:rsidR="00A5592E" w:rsidRPr="006265DE" w:rsidRDefault="00A5592E" w:rsidP="00A5592E">
            <w:pPr>
              <w:pStyle w:val="Paragraphedeliste"/>
              <w:numPr>
                <w:ilvl w:val="0"/>
                <w:numId w:val="55"/>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 xml:space="preserve">Société civile </w:t>
            </w:r>
          </w:p>
          <w:p w14:paraId="28885FED"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p>
        </w:tc>
        <w:tc>
          <w:tcPr>
            <w:tcW w:w="1559" w:type="dxa"/>
          </w:tcPr>
          <w:p w14:paraId="12D4D0E8"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Trimestre 1 </w:t>
            </w:r>
          </w:p>
        </w:tc>
      </w:tr>
      <w:tr w:rsidR="00A5592E" w14:paraId="08782605"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1D3DD4B6" w14:textId="77777777" w:rsidR="00A5592E" w:rsidRPr="001F7FB5" w:rsidRDefault="00A5592E" w:rsidP="005B16B5">
            <w:pPr>
              <w:rPr>
                <w:b w:val="0"/>
                <w:bCs/>
                <w:lang w:eastAsia="en-AU"/>
              </w:rPr>
            </w:pPr>
            <w:r>
              <w:rPr>
                <w:b w:val="0"/>
                <w:bCs/>
              </w:rPr>
              <w:t>Atelier de r</w:t>
            </w:r>
            <w:r w:rsidRPr="001F7FB5">
              <w:rPr>
                <w:b w:val="0"/>
                <w:bCs/>
              </w:rPr>
              <w:t xml:space="preserve">enforcement des capacités et partages d’’expérience sur les différentes dispositions réglementaires relatives au marché du carbone </w:t>
            </w:r>
          </w:p>
        </w:tc>
        <w:tc>
          <w:tcPr>
            <w:tcW w:w="2835" w:type="dxa"/>
          </w:tcPr>
          <w:p w14:paraId="681614E5"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théoriques et partager les expériences réussis sur la mise en place des cadres réglementaires relatifs aux marchés du carbone </w:t>
            </w:r>
          </w:p>
        </w:tc>
        <w:tc>
          <w:tcPr>
            <w:tcW w:w="3828" w:type="dxa"/>
          </w:tcPr>
          <w:p w14:paraId="322C79AC"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Atelier en présentiel réalisé dans le cadre du processus d’élaboration du cadre réglementaire relatifs aux marchés du carbone </w:t>
            </w:r>
          </w:p>
        </w:tc>
        <w:tc>
          <w:tcPr>
            <w:tcW w:w="2835" w:type="dxa"/>
          </w:tcPr>
          <w:p w14:paraId="6F448536" w14:textId="77777777" w:rsidR="00A5592E" w:rsidRPr="006265DE" w:rsidRDefault="00A5592E" w:rsidP="00A5592E">
            <w:pPr>
              <w:pStyle w:val="Paragraphedeliste"/>
              <w:numPr>
                <w:ilvl w:val="0"/>
                <w:numId w:val="56"/>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 xml:space="preserve">Personnel de l’ARMCA </w:t>
            </w:r>
          </w:p>
          <w:p w14:paraId="32B75EA1" w14:textId="77777777" w:rsidR="00A5592E" w:rsidRPr="006265DE" w:rsidRDefault="00A5592E" w:rsidP="00A5592E">
            <w:pPr>
              <w:pStyle w:val="Paragraphedeliste"/>
              <w:numPr>
                <w:ilvl w:val="0"/>
                <w:numId w:val="56"/>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Représentant des administrations clés</w:t>
            </w:r>
          </w:p>
          <w:p w14:paraId="3FB623A0" w14:textId="77777777" w:rsidR="00A5592E" w:rsidRPr="006265DE" w:rsidRDefault="00A5592E" w:rsidP="00A5592E">
            <w:pPr>
              <w:pStyle w:val="Paragraphedeliste"/>
              <w:numPr>
                <w:ilvl w:val="0"/>
                <w:numId w:val="56"/>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6265DE">
              <w:rPr>
                <w:lang w:eastAsia="en-AU"/>
              </w:rPr>
              <w:t xml:space="preserve">Développeurs de projets, société civile </w:t>
            </w:r>
          </w:p>
        </w:tc>
        <w:tc>
          <w:tcPr>
            <w:tcW w:w="1559" w:type="dxa"/>
          </w:tcPr>
          <w:p w14:paraId="4981827F"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Trimestre 1 </w:t>
            </w:r>
          </w:p>
        </w:tc>
      </w:tr>
      <w:tr w:rsidR="00A5592E" w14:paraId="59B9958F"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0457462B" w14:textId="77777777" w:rsidR="00A5592E" w:rsidRPr="001F7FB5" w:rsidRDefault="00A5592E" w:rsidP="005B16B5">
            <w:pPr>
              <w:rPr>
                <w:b w:val="0"/>
                <w:bCs/>
                <w:lang w:eastAsia="en-AU"/>
              </w:rPr>
            </w:pPr>
            <w:r>
              <w:rPr>
                <w:b w:val="0"/>
                <w:bCs/>
                <w:lang w:eastAsia="en-AU"/>
              </w:rPr>
              <w:t xml:space="preserve">Atelier de renforcement des capacités des acteurs sur les principes directeurs et la définition des mesures sauvegardes nationales dans le cadre de l'article 6 </w:t>
            </w:r>
          </w:p>
        </w:tc>
        <w:tc>
          <w:tcPr>
            <w:tcW w:w="2835" w:type="dxa"/>
          </w:tcPr>
          <w:p w14:paraId="232B8384"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théoriques sur les principes directeurs de l’article 6 et recueillir des éléments pour bâtir le cadre national de mise en œuvre de l’article 6 </w:t>
            </w:r>
          </w:p>
        </w:tc>
        <w:tc>
          <w:tcPr>
            <w:tcW w:w="3828" w:type="dxa"/>
          </w:tcPr>
          <w:p w14:paraId="576112A7"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Atelier réaliser en présentiel dans le cadre de l’élaboration du cadre de mise en œuvre de l’article 6</w:t>
            </w:r>
          </w:p>
        </w:tc>
        <w:tc>
          <w:tcPr>
            <w:tcW w:w="2835" w:type="dxa"/>
          </w:tcPr>
          <w:p w14:paraId="4215773F" w14:textId="77777777" w:rsidR="00A5592E" w:rsidRPr="001D2B77" w:rsidRDefault="00A5592E" w:rsidP="00A5592E">
            <w:pPr>
              <w:pStyle w:val="Paragraphedeliste"/>
              <w:numPr>
                <w:ilvl w:val="0"/>
                <w:numId w:val="57"/>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Personnel de l’ARMCA </w:t>
            </w:r>
          </w:p>
          <w:p w14:paraId="4C8C78EA" w14:textId="77777777" w:rsidR="00A5592E" w:rsidRPr="001D2B77" w:rsidRDefault="00A5592E" w:rsidP="00A5592E">
            <w:pPr>
              <w:pStyle w:val="Paragraphedeliste"/>
              <w:numPr>
                <w:ilvl w:val="0"/>
                <w:numId w:val="57"/>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Représentant des administrations clés</w:t>
            </w:r>
          </w:p>
          <w:p w14:paraId="4407785B" w14:textId="77777777" w:rsidR="00A5592E" w:rsidRPr="001D2B77" w:rsidRDefault="00A5592E" w:rsidP="00A5592E">
            <w:pPr>
              <w:pStyle w:val="Paragraphedeliste"/>
              <w:numPr>
                <w:ilvl w:val="0"/>
                <w:numId w:val="57"/>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Développeurs de projets, société civile</w:t>
            </w:r>
          </w:p>
        </w:tc>
        <w:tc>
          <w:tcPr>
            <w:tcW w:w="1559" w:type="dxa"/>
          </w:tcPr>
          <w:p w14:paraId="6DA1229B"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1</w:t>
            </w:r>
          </w:p>
        </w:tc>
      </w:tr>
      <w:tr w:rsidR="00A5592E" w14:paraId="0FBEF0E8"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3FAB7587" w14:textId="77777777" w:rsidR="00A5592E" w:rsidRPr="001F7FB5" w:rsidRDefault="00A5592E" w:rsidP="005B16B5">
            <w:pPr>
              <w:rPr>
                <w:b w:val="0"/>
                <w:bCs/>
                <w:lang w:eastAsia="en-AU"/>
              </w:rPr>
            </w:pPr>
            <w:r w:rsidRPr="00714884">
              <w:rPr>
                <w:b w:val="0"/>
                <w:bCs/>
                <w:lang w:eastAsia="en-AU"/>
              </w:rPr>
              <w:t xml:space="preserve">Former les acteurs sur les critères d’éligibilité </w:t>
            </w:r>
            <w:r>
              <w:rPr>
                <w:b w:val="0"/>
                <w:bCs/>
                <w:lang w:eastAsia="en-AU"/>
              </w:rPr>
              <w:t xml:space="preserve">des </w:t>
            </w:r>
            <w:r w:rsidRPr="00714884">
              <w:rPr>
                <w:b w:val="0"/>
                <w:bCs/>
                <w:lang w:eastAsia="en-AU"/>
              </w:rPr>
              <w:t>pertinent</w:t>
            </w:r>
            <w:r>
              <w:rPr>
                <w:b w:val="0"/>
                <w:bCs/>
                <w:lang w:eastAsia="en-AU"/>
              </w:rPr>
              <w:t xml:space="preserve">s pour les activités de mitigation sous le mécanisme de l’article 6 </w:t>
            </w:r>
            <w:r w:rsidRPr="00714884">
              <w:rPr>
                <w:b w:val="0"/>
                <w:bCs/>
                <w:lang w:eastAsia="en-AU"/>
              </w:rPr>
              <w:t xml:space="preserve">et comment les définir </w:t>
            </w:r>
          </w:p>
        </w:tc>
        <w:tc>
          <w:tcPr>
            <w:tcW w:w="2835" w:type="dxa"/>
          </w:tcPr>
          <w:p w14:paraId="2FC88912"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théoriques sur les critères d’éligibilité des activités de mitigation sous le mécanismes de l’article 6  et recueillir des éléments </w:t>
            </w:r>
            <w:r>
              <w:rPr>
                <w:lang w:eastAsia="en-AU"/>
              </w:rPr>
              <w:lastRenderedPageBreak/>
              <w:t>pour bâtir le cadre national de mise en œuvre de l’article 6</w:t>
            </w:r>
          </w:p>
        </w:tc>
        <w:tc>
          <w:tcPr>
            <w:tcW w:w="3828" w:type="dxa"/>
          </w:tcPr>
          <w:p w14:paraId="3B3F46E4"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lastRenderedPageBreak/>
              <w:t xml:space="preserve">Atelier en présentiel dans le cadre de l’élaboration du cadre de mise en œuvre de l’article 6 </w:t>
            </w:r>
          </w:p>
        </w:tc>
        <w:tc>
          <w:tcPr>
            <w:tcW w:w="2835" w:type="dxa"/>
          </w:tcPr>
          <w:p w14:paraId="058F5A05" w14:textId="77777777" w:rsidR="00A5592E" w:rsidRPr="001D2B77" w:rsidRDefault="00A5592E" w:rsidP="00A5592E">
            <w:pPr>
              <w:pStyle w:val="Paragraphedeliste"/>
              <w:numPr>
                <w:ilvl w:val="0"/>
                <w:numId w:val="58"/>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Personnel de l’ARMCA </w:t>
            </w:r>
          </w:p>
          <w:p w14:paraId="677D2657" w14:textId="77777777" w:rsidR="00A5592E" w:rsidRPr="001D2B77" w:rsidRDefault="00A5592E" w:rsidP="00A5592E">
            <w:pPr>
              <w:pStyle w:val="Paragraphedeliste"/>
              <w:numPr>
                <w:ilvl w:val="0"/>
                <w:numId w:val="58"/>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Représentant des administrations clés</w:t>
            </w:r>
          </w:p>
          <w:p w14:paraId="4734BE1B" w14:textId="77777777" w:rsidR="00A5592E" w:rsidRPr="001D2B77" w:rsidRDefault="00A5592E" w:rsidP="00A5592E">
            <w:pPr>
              <w:pStyle w:val="Paragraphedeliste"/>
              <w:numPr>
                <w:ilvl w:val="0"/>
                <w:numId w:val="58"/>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Développeurs de projets, société civile</w:t>
            </w:r>
          </w:p>
        </w:tc>
        <w:tc>
          <w:tcPr>
            <w:tcW w:w="1559" w:type="dxa"/>
          </w:tcPr>
          <w:p w14:paraId="4D6DFE3B"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1</w:t>
            </w:r>
          </w:p>
        </w:tc>
      </w:tr>
      <w:tr w:rsidR="00A5592E" w14:paraId="56E8C1DF"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2B2CB519" w14:textId="77777777" w:rsidR="00A5592E" w:rsidRPr="00714884" w:rsidRDefault="00A5592E" w:rsidP="005B16B5">
            <w:pPr>
              <w:rPr>
                <w:b w:val="0"/>
                <w:bCs/>
                <w:lang w:eastAsia="en-AU"/>
              </w:rPr>
            </w:pPr>
            <w:r w:rsidRPr="00714884">
              <w:rPr>
                <w:b w:val="0"/>
                <w:bCs/>
                <w:lang w:eastAsia="en-AU"/>
              </w:rPr>
              <w:t>Planifier des sessions de formations et séances de travail pour l’élaboration des modèles de documents contractuels (</w:t>
            </w:r>
            <w:proofErr w:type="spellStart"/>
            <w:r w:rsidRPr="00714884">
              <w:rPr>
                <w:b w:val="0"/>
                <w:bCs/>
                <w:lang w:eastAsia="en-AU"/>
              </w:rPr>
              <w:t>MOUs</w:t>
            </w:r>
            <w:proofErr w:type="spellEnd"/>
            <w:r w:rsidRPr="00714884">
              <w:rPr>
                <w:b w:val="0"/>
                <w:bCs/>
                <w:lang w:eastAsia="en-AU"/>
              </w:rPr>
              <w:t>, accords bilatéraux)</w:t>
            </w:r>
          </w:p>
        </w:tc>
        <w:tc>
          <w:tcPr>
            <w:tcW w:w="2835" w:type="dxa"/>
          </w:tcPr>
          <w:p w14:paraId="6D2C3820"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Elaborer de façon participative les modèles de documents contractuels liées au mécanisme de l’article 6 </w:t>
            </w:r>
          </w:p>
        </w:tc>
        <w:tc>
          <w:tcPr>
            <w:tcW w:w="3828" w:type="dxa"/>
          </w:tcPr>
          <w:p w14:paraId="54721EBB"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Atelier en présentiel dans le cadre de l’élaboration du cadre de mise en œuvre et des procédures opérationnelles de l’article 6 </w:t>
            </w:r>
          </w:p>
        </w:tc>
        <w:tc>
          <w:tcPr>
            <w:tcW w:w="2835" w:type="dxa"/>
          </w:tcPr>
          <w:p w14:paraId="3911D68F" w14:textId="77777777" w:rsidR="00A5592E" w:rsidRPr="001D2B77" w:rsidRDefault="00A5592E" w:rsidP="00A5592E">
            <w:pPr>
              <w:pStyle w:val="Paragraphedeliste"/>
              <w:numPr>
                <w:ilvl w:val="0"/>
                <w:numId w:val="59"/>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Personnel de l’ARMCA </w:t>
            </w:r>
          </w:p>
          <w:p w14:paraId="7C60F1A1" w14:textId="77777777" w:rsidR="00A5592E" w:rsidRPr="001D2B77" w:rsidRDefault="00A5592E" w:rsidP="00A5592E">
            <w:pPr>
              <w:pStyle w:val="Paragraphedeliste"/>
              <w:numPr>
                <w:ilvl w:val="0"/>
                <w:numId w:val="59"/>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Représentant des administrations clés</w:t>
            </w:r>
          </w:p>
          <w:p w14:paraId="2E22AAD8" w14:textId="77777777" w:rsidR="00A5592E" w:rsidRPr="001D2B77" w:rsidRDefault="00A5592E" w:rsidP="00A5592E">
            <w:pPr>
              <w:pStyle w:val="Paragraphedeliste"/>
              <w:numPr>
                <w:ilvl w:val="0"/>
                <w:numId w:val="59"/>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Développeurs de projets, société civile</w:t>
            </w:r>
          </w:p>
        </w:tc>
        <w:tc>
          <w:tcPr>
            <w:tcW w:w="1559" w:type="dxa"/>
          </w:tcPr>
          <w:p w14:paraId="0300F5F7"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2</w:t>
            </w:r>
          </w:p>
        </w:tc>
      </w:tr>
      <w:tr w:rsidR="00A5592E" w14:paraId="47F29118"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3A626A3F" w14:textId="77777777" w:rsidR="00A5592E" w:rsidRPr="00CC5FE6" w:rsidRDefault="00A5592E" w:rsidP="005B16B5">
            <w:pPr>
              <w:rPr>
                <w:b w:val="0"/>
                <w:bCs/>
                <w:lang w:eastAsia="en-AU"/>
              </w:rPr>
            </w:pPr>
            <w:r w:rsidRPr="00CC5FE6">
              <w:rPr>
                <w:b w:val="0"/>
                <w:bCs/>
              </w:rPr>
              <w:t xml:space="preserve">Organiser des sessions de formations sur la tarification des </w:t>
            </w:r>
            <w:proofErr w:type="spellStart"/>
            <w:r w:rsidRPr="00CC5FE6">
              <w:rPr>
                <w:b w:val="0"/>
                <w:bCs/>
              </w:rPr>
              <w:t>ITMOs</w:t>
            </w:r>
            <w:proofErr w:type="spellEnd"/>
            <w:r w:rsidRPr="00CC5FE6">
              <w:rPr>
                <w:b w:val="0"/>
                <w:bCs/>
              </w:rPr>
              <w:t xml:space="preserve"> et les directives techniques pour les options stratégiques pour les frais administratifs </w:t>
            </w:r>
          </w:p>
        </w:tc>
        <w:tc>
          <w:tcPr>
            <w:tcW w:w="2835" w:type="dxa"/>
          </w:tcPr>
          <w:p w14:paraId="6C92C262"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théoriques sur les approches de tarifications des </w:t>
            </w:r>
            <w:proofErr w:type="spellStart"/>
            <w:r>
              <w:rPr>
                <w:lang w:eastAsia="en-AU"/>
              </w:rPr>
              <w:t>ITMOs</w:t>
            </w:r>
            <w:proofErr w:type="spellEnd"/>
            <w:r>
              <w:rPr>
                <w:lang w:eastAsia="en-AU"/>
              </w:rPr>
              <w:t xml:space="preserve"> et autres frais administratifs tout en recueillant des propositions concrète pour bâtir le cadre réglementaire lié au marché du carbone </w:t>
            </w:r>
          </w:p>
        </w:tc>
        <w:tc>
          <w:tcPr>
            <w:tcW w:w="3828" w:type="dxa"/>
          </w:tcPr>
          <w:p w14:paraId="55381F17"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Atelier en présentiel dans le cadre du processus d’élaboration de la politique nationale carbone </w:t>
            </w:r>
          </w:p>
        </w:tc>
        <w:tc>
          <w:tcPr>
            <w:tcW w:w="2835" w:type="dxa"/>
          </w:tcPr>
          <w:p w14:paraId="650D8800" w14:textId="77777777" w:rsidR="00A5592E" w:rsidRPr="001D2B77" w:rsidRDefault="00A5592E" w:rsidP="00A5592E">
            <w:pPr>
              <w:pStyle w:val="Paragraphedeliste"/>
              <w:numPr>
                <w:ilvl w:val="0"/>
                <w:numId w:val="60"/>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Personnel de l’ARMCA </w:t>
            </w:r>
          </w:p>
          <w:p w14:paraId="53274F40" w14:textId="77777777" w:rsidR="00A5592E" w:rsidRPr="001D2B77" w:rsidRDefault="00A5592E" w:rsidP="00A5592E">
            <w:pPr>
              <w:pStyle w:val="Paragraphedeliste"/>
              <w:numPr>
                <w:ilvl w:val="0"/>
                <w:numId w:val="60"/>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Représentant des administrations clés</w:t>
            </w:r>
          </w:p>
          <w:p w14:paraId="26182FA1" w14:textId="77777777" w:rsidR="00A5592E" w:rsidRPr="001D2B77" w:rsidRDefault="00A5592E" w:rsidP="00A5592E">
            <w:pPr>
              <w:pStyle w:val="Paragraphedeliste"/>
              <w:numPr>
                <w:ilvl w:val="0"/>
                <w:numId w:val="60"/>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Développeurs de projets, société civile</w:t>
            </w:r>
          </w:p>
        </w:tc>
        <w:tc>
          <w:tcPr>
            <w:tcW w:w="1559" w:type="dxa"/>
          </w:tcPr>
          <w:p w14:paraId="08E8041D"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3-Trimestre 11</w:t>
            </w:r>
          </w:p>
        </w:tc>
      </w:tr>
      <w:tr w:rsidR="00A5592E" w14:paraId="5A577837"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3FB52747" w14:textId="77777777" w:rsidR="00A5592E" w:rsidRPr="00CC5FE6" w:rsidRDefault="00A5592E" w:rsidP="005B16B5">
            <w:pPr>
              <w:rPr>
                <w:b w:val="0"/>
                <w:bCs/>
                <w:lang w:eastAsia="en-AU"/>
              </w:rPr>
            </w:pPr>
            <w:r w:rsidRPr="00CC5FE6">
              <w:rPr>
                <w:b w:val="0"/>
                <w:bCs/>
              </w:rPr>
              <w:t>Renforcer les capacités des acteurs concernées sur les cycles de projets sou</w:t>
            </w:r>
            <w:r>
              <w:rPr>
                <w:b w:val="0"/>
                <w:bCs/>
              </w:rPr>
              <w:t>s</w:t>
            </w:r>
            <w:r w:rsidRPr="00CC5FE6">
              <w:rPr>
                <w:b w:val="0"/>
                <w:bCs/>
              </w:rPr>
              <w:t xml:space="preserve"> les différents mécanismes </w:t>
            </w:r>
          </w:p>
        </w:tc>
        <w:tc>
          <w:tcPr>
            <w:tcW w:w="2835" w:type="dxa"/>
          </w:tcPr>
          <w:p w14:paraId="23B0954D"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théoriques sur les cycles de projets carbone sous les principaux standards (Gold standard, VERAA, ART </w:t>
            </w:r>
            <w:proofErr w:type="spellStart"/>
            <w:r>
              <w:rPr>
                <w:lang w:eastAsia="en-AU"/>
              </w:rPr>
              <w:t>trees</w:t>
            </w:r>
            <w:proofErr w:type="spellEnd"/>
            <w:r>
              <w:rPr>
                <w:lang w:eastAsia="en-AU"/>
              </w:rPr>
              <w:t xml:space="preserve">) et le mécanisme de l’article 6.4. </w:t>
            </w:r>
          </w:p>
        </w:tc>
        <w:tc>
          <w:tcPr>
            <w:tcW w:w="3828" w:type="dxa"/>
          </w:tcPr>
          <w:p w14:paraId="485C81E4"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Webinaire en ligne qui se tiendra une fois par an. </w:t>
            </w:r>
          </w:p>
        </w:tc>
        <w:tc>
          <w:tcPr>
            <w:tcW w:w="2835" w:type="dxa"/>
          </w:tcPr>
          <w:p w14:paraId="1FEFD648" w14:textId="77777777" w:rsidR="00A5592E" w:rsidRPr="001D2B77" w:rsidRDefault="00A5592E" w:rsidP="00A5592E">
            <w:pPr>
              <w:pStyle w:val="Paragraphedeliste"/>
              <w:numPr>
                <w:ilvl w:val="0"/>
                <w:numId w:val="61"/>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Personnel de l’ARMCA</w:t>
            </w:r>
          </w:p>
          <w:p w14:paraId="4EFC4273" w14:textId="77777777" w:rsidR="00A5592E" w:rsidRPr="001D2B77" w:rsidRDefault="00A5592E" w:rsidP="00A5592E">
            <w:pPr>
              <w:pStyle w:val="Paragraphedeliste"/>
              <w:numPr>
                <w:ilvl w:val="0"/>
                <w:numId w:val="61"/>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Société civile  </w:t>
            </w:r>
          </w:p>
          <w:p w14:paraId="3E8E1BC1"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p>
        </w:tc>
        <w:tc>
          <w:tcPr>
            <w:tcW w:w="1559" w:type="dxa"/>
          </w:tcPr>
          <w:p w14:paraId="6CCB9D1E"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1- Trimestre 11</w:t>
            </w:r>
          </w:p>
        </w:tc>
      </w:tr>
      <w:tr w:rsidR="00A5592E" w14:paraId="2F1E6C4D"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68ABBA9B" w14:textId="77777777" w:rsidR="00A5592E" w:rsidRPr="00CC5FE6" w:rsidRDefault="00A5592E" w:rsidP="005B16B5">
            <w:pPr>
              <w:rPr>
                <w:b w:val="0"/>
                <w:bCs/>
                <w:lang w:eastAsia="en-AU"/>
              </w:rPr>
            </w:pPr>
            <w:r w:rsidRPr="00CC5FE6">
              <w:rPr>
                <w:b w:val="0"/>
                <w:bCs/>
              </w:rPr>
              <w:t xml:space="preserve">Renforcer les capacités techniques des acteurs, en matière d’approbation des projets carbones et activités de mitigation </w:t>
            </w:r>
          </w:p>
        </w:tc>
        <w:tc>
          <w:tcPr>
            <w:tcW w:w="2835" w:type="dxa"/>
          </w:tcPr>
          <w:p w14:paraId="1F22CA57"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d’aptitudes techniques pour l’analyse technique des projets carbone </w:t>
            </w:r>
          </w:p>
        </w:tc>
        <w:tc>
          <w:tcPr>
            <w:tcW w:w="3828" w:type="dxa"/>
          </w:tcPr>
          <w:p w14:paraId="14B93304"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Atelier en présentiel dans le cadre de l’appui continue apporter à l’ARMCA et webinaire en ligne en fonction de l’évolution des exigences techniques des standards </w:t>
            </w:r>
          </w:p>
        </w:tc>
        <w:tc>
          <w:tcPr>
            <w:tcW w:w="2835" w:type="dxa"/>
          </w:tcPr>
          <w:p w14:paraId="1FE6D7E7" w14:textId="77777777" w:rsidR="00A5592E" w:rsidRPr="001D2B77" w:rsidRDefault="00A5592E" w:rsidP="00A5592E">
            <w:pPr>
              <w:pStyle w:val="Paragraphedeliste"/>
              <w:numPr>
                <w:ilvl w:val="0"/>
                <w:numId w:val="62"/>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Personnel de l’ARMCA</w:t>
            </w:r>
          </w:p>
          <w:p w14:paraId="75F57C47" w14:textId="77777777" w:rsidR="00A5592E" w:rsidRPr="001D2B77" w:rsidRDefault="00A5592E" w:rsidP="00A5592E">
            <w:pPr>
              <w:pStyle w:val="Paragraphedeliste"/>
              <w:numPr>
                <w:ilvl w:val="0"/>
                <w:numId w:val="62"/>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Organes techniques d’examen des projets </w:t>
            </w:r>
          </w:p>
          <w:p w14:paraId="65AD94F2"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p>
        </w:tc>
        <w:tc>
          <w:tcPr>
            <w:tcW w:w="1559" w:type="dxa"/>
          </w:tcPr>
          <w:p w14:paraId="4F37EA25"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1- Trimestre 11</w:t>
            </w:r>
          </w:p>
        </w:tc>
      </w:tr>
      <w:tr w:rsidR="00A5592E" w14:paraId="0DE806B0"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3D2D9E2A" w14:textId="77777777" w:rsidR="00A5592E" w:rsidRPr="00CC5FE6" w:rsidRDefault="00A5592E" w:rsidP="005B16B5">
            <w:pPr>
              <w:rPr>
                <w:b w:val="0"/>
                <w:bCs/>
                <w:lang w:eastAsia="en-AU"/>
              </w:rPr>
            </w:pPr>
            <w:r w:rsidRPr="00CC5FE6">
              <w:rPr>
                <w:b w:val="0"/>
                <w:bCs/>
              </w:rPr>
              <w:t xml:space="preserve">Renforcer les capacités des acteurs sur le développement d’une procédure pour les ajustements correspondant </w:t>
            </w:r>
          </w:p>
        </w:tc>
        <w:tc>
          <w:tcPr>
            <w:tcW w:w="2835" w:type="dxa"/>
          </w:tcPr>
          <w:p w14:paraId="1A198315"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théorique sur les ajustements correspondants et recueillir des orientations pour l’élaboration de la procédure nationale y relative </w:t>
            </w:r>
          </w:p>
        </w:tc>
        <w:tc>
          <w:tcPr>
            <w:tcW w:w="3828" w:type="dxa"/>
          </w:tcPr>
          <w:p w14:paraId="5FC67D97"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Atelier en présentiel dans le cadre de l’élaboration du cadre de mise en œuvre et des procédures opérationnelles de l’article 6 de l’accord de paris </w:t>
            </w:r>
          </w:p>
        </w:tc>
        <w:tc>
          <w:tcPr>
            <w:tcW w:w="2835" w:type="dxa"/>
          </w:tcPr>
          <w:p w14:paraId="5CCCF633" w14:textId="77777777" w:rsidR="00A5592E" w:rsidRPr="001D2B77" w:rsidRDefault="00A5592E" w:rsidP="00A5592E">
            <w:pPr>
              <w:pStyle w:val="Paragraphedeliste"/>
              <w:numPr>
                <w:ilvl w:val="0"/>
                <w:numId w:val="63"/>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Personnel de l’ARMCA</w:t>
            </w:r>
          </w:p>
          <w:p w14:paraId="3E0DF565" w14:textId="77777777" w:rsidR="00A5592E" w:rsidRPr="001D2B77" w:rsidRDefault="00A5592E" w:rsidP="00A5592E">
            <w:pPr>
              <w:pStyle w:val="Paragraphedeliste"/>
              <w:numPr>
                <w:ilvl w:val="0"/>
                <w:numId w:val="63"/>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Société civile</w:t>
            </w:r>
          </w:p>
          <w:p w14:paraId="388BE8A0" w14:textId="77777777" w:rsidR="00A5592E" w:rsidRPr="001D2B77" w:rsidRDefault="00A5592E" w:rsidP="00A5592E">
            <w:pPr>
              <w:pStyle w:val="Paragraphedeliste"/>
              <w:numPr>
                <w:ilvl w:val="0"/>
                <w:numId w:val="63"/>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Développeurs de projets </w:t>
            </w:r>
          </w:p>
          <w:p w14:paraId="6A682028"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p>
        </w:tc>
        <w:tc>
          <w:tcPr>
            <w:tcW w:w="1559" w:type="dxa"/>
          </w:tcPr>
          <w:p w14:paraId="37A69D29"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Trimestre 3</w:t>
            </w:r>
          </w:p>
        </w:tc>
      </w:tr>
      <w:tr w:rsidR="00A5592E" w14:paraId="7C943301"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19554AC8" w14:textId="77777777" w:rsidR="00A5592E" w:rsidRPr="00CC5FE6" w:rsidRDefault="00A5592E" w:rsidP="005B16B5">
            <w:pPr>
              <w:rPr>
                <w:b w:val="0"/>
                <w:bCs/>
                <w:lang w:eastAsia="en-AU"/>
              </w:rPr>
            </w:pPr>
            <w:r w:rsidRPr="00CC5FE6">
              <w:rPr>
                <w:b w:val="0"/>
                <w:bCs/>
              </w:rPr>
              <w:lastRenderedPageBreak/>
              <w:t xml:space="preserve">Organiser une session de formation sur la formulation des activités de mitigation conformément aux exigences de l’article 6.4. </w:t>
            </w:r>
          </w:p>
        </w:tc>
        <w:tc>
          <w:tcPr>
            <w:tcW w:w="2835" w:type="dxa"/>
          </w:tcPr>
          <w:p w14:paraId="7822A103"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techniques pour l’élaboration d’activités de mitigation sous le mécanisme de l’article 6.4 </w:t>
            </w:r>
          </w:p>
        </w:tc>
        <w:tc>
          <w:tcPr>
            <w:tcW w:w="3828" w:type="dxa"/>
          </w:tcPr>
          <w:p w14:paraId="6387DF6E"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Webinaire en ligne </w:t>
            </w:r>
          </w:p>
        </w:tc>
        <w:tc>
          <w:tcPr>
            <w:tcW w:w="2835" w:type="dxa"/>
          </w:tcPr>
          <w:p w14:paraId="6E937C2A" w14:textId="77777777" w:rsidR="00A5592E" w:rsidRPr="001D2B77" w:rsidRDefault="00A5592E" w:rsidP="00A5592E">
            <w:pPr>
              <w:pStyle w:val="Paragraphedeliste"/>
              <w:numPr>
                <w:ilvl w:val="0"/>
                <w:numId w:val="64"/>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Personnel de l’ARMCA </w:t>
            </w:r>
          </w:p>
          <w:p w14:paraId="2B0F451B" w14:textId="77777777" w:rsidR="00A5592E" w:rsidRPr="001D2B77" w:rsidRDefault="00A5592E" w:rsidP="00A5592E">
            <w:pPr>
              <w:pStyle w:val="Paragraphedeliste"/>
              <w:numPr>
                <w:ilvl w:val="0"/>
                <w:numId w:val="64"/>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Société civile </w:t>
            </w:r>
          </w:p>
          <w:p w14:paraId="03DADB61" w14:textId="77777777" w:rsidR="00A5592E" w:rsidRPr="001D2B77" w:rsidRDefault="00A5592E" w:rsidP="00A5592E">
            <w:pPr>
              <w:pStyle w:val="Paragraphedeliste"/>
              <w:numPr>
                <w:ilvl w:val="0"/>
                <w:numId w:val="64"/>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1D2B77">
              <w:rPr>
                <w:lang w:eastAsia="en-AU"/>
              </w:rPr>
              <w:t xml:space="preserve">Développeurs de projets </w:t>
            </w:r>
          </w:p>
        </w:tc>
        <w:tc>
          <w:tcPr>
            <w:tcW w:w="1559" w:type="dxa"/>
          </w:tcPr>
          <w:p w14:paraId="7E1EBF0C"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Trimestre 4 </w:t>
            </w:r>
          </w:p>
        </w:tc>
      </w:tr>
      <w:tr w:rsidR="00A5592E" w14:paraId="6F46C5A2" w14:textId="77777777" w:rsidTr="005B16B5">
        <w:tc>
          <w:tcPr>
            <w:cnfStyle w:val="001000000000" w:firstRow="0" w:lastRow="0" w:firstColumn="1" w:lastColumn="0" w:oddVBand="0" w:evenVBand="0" w:oddHBand="0" w:evenHBand="0" w:firstRowFirstColumn="0" w:firstRowLastColumn="0" w:lastRowFirstColumn="0" w:lastRowLastColumn="0"/>
            <w:tcW w:w="2830" w:type="dxa"/>
          </w:tcPr>
          <w:p w14:paraId="5C75B31C" w14:textId="77777777" w:rsidR="00A5592E" w:rsidRPr="009E3203" w:rsidRDefault="00A5592E" w:rsidP="005B16B5">
            <w:pPr>
              <w:rPr>
                <w:b w:val="0"/>
                <w:bCs/>
                <w:lang w:eastAsia="en-AU"/>
              </w:rPr>
            </w:pPr>
            <w:r w:rsidRPr="009E3203">
              <w:rPr>
                <w:b w:val="0"/>
                <w:bCs/>
                <w:lang w:eastAsia="en-AU"/>
              </w:rPr>
              <w:t xml:space="preserve">Renforcer les capacités des acteurs à l’utilisation des registres carbone </w:t>
            </w:r>
          </w:p>
        </w:tc>
        <w:tc>
          <w:tcPr>
            <w:tcW w:w="2835" w:type="dxa"/>
          </w:tcPr>
          <w:p w14:paraId="2A651BDB"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Doter les participants de connaissances théorique en matière de consultation des registres carbone et d’exploitation des données qui s’y trouvent </w:t>
            </w:r>
          </w:p>
        </w:tc>
        <w:tc>
          <w:tcPr>
            <w:tcW w:w="3828" w:type="dxa"/>
          </w:tcPr>
          <w:p w14:paraId="03EA5C81"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Formation en présentiel, webinaire en ligne et diffusion des tutoriels d’utilisation des registres carbone </w:t>
            </w:r>
          </w:p>
        </w:tc>
        <w:tc>
          <w:tcPr>
            <w:tcW w:w="2835" w:type="dxa"/>
          </w:tcPr>
          <w:p w14:paraId="50EB8054" w14:textId="77777777" w:rsidR="00A5592E" w:rsidRPr="002C0AB8" w:rsidRDefault="00A5592E" w:rsidP="00A5592E">
            <w:pPr>
              <w:pStyle w:val="Paragraphedeliste"/>
              <w:numPr>
                <w:ilvl w:val="0"/>
                <w:numId w:val="65"/>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2C0AB8">
              <w:rPr>
                <w:lang w:eastAsia="en-AU"/>
              </w:rPr>
              <w:t xml:space="preserve">Personnel de l’ARMCA </w:t>
            </w:r>
          </w:p>
          <w:p w14:paraId="75A6EA95" w14:textId="77777777" w:rsidR="00A5592E" w:rsidRPr="002C0AB8" w:rsidRDefault="00A5592E" w:rsidP="00A5592E">
            <w:pPr>
              <w:pStyle w:val="Paragraphedeliste"/>
              <w:numPr>
                <w:ilvl w:val="0"/>
                <w:numId w:val="65"/>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2C0AB8">
              <w:rPr>
                <w:lang w:eastAsia="en-AU"/>
              </w:rPr>
              <w:t xml:space="preserve">Société civile </w:t>
            </w:r>
          </w:p>
          <w:p w14:paraId="1F824EB1" w14:textId="77777777" w:rsidR="00A5592E" w:rsidRPr="002C0AB8" w:rsidRDefault="00A5592E" w:rsidP="00A5592E">
            <w:pPr>
              <w:pStyle w:val="Paragraphedeliste"/>
              <w:numPr>
                <w:ilvl w:val="0"/>
                <w:numId w:val="65"/>
              </w:numPr>
              <w:spacing w:after="120" w:line="240" w:lineRule="auto"/>
              <w:cnfStyle w:val="000000000000" w:firstRow="0" w:lastRow="0" w:firstColumn="0" w:lastColumn="0" w:oddVBand="0" w:evenVBand="0" w:oddHBand="0" w:evenHBand="0" w:firstRowFirstColumn="0" w:firstRowLastColumn="0" w:lastRowFirstColumn="0" w:lastRowLastColumn="0"/>
              <w:rPr>
                <w:lang w:eastAsia="en-AU"/>
              </w:rPr>
            </w:pPr>
            <w:r w:rsidRPr="002C0AB8">
              <w:rPr>
                <w:lang w:eastAsia="en-AU"/>
              </w:rPr>
              <w:t>Développeurs de projets</w:t>
            </w:r>
          </w:p>
        </w:tc>
        <w:tc>
          <w:tcPr>
            <w:tcW w:w="1559" w:type="dxa"/>
          </w:tcPr>
          <w:p w14:paraId="651199D1" w14:textId="77777777" w:rsidR="00A5592E" w:rsidRDefault="00A5592E" w:rsidP="005B16B5">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 xml:space="preserve">Trimestre 6 </w:t>
            </w:r>
          </w:p>
        </w:tc>
      </w:tr>
    </w:tbl>
    <w:p w14:paraId="709CAF31" w14:textId="77777777" w:rsidR="00707B0E" w:rsidRDefault="00707B0E" w:rsidP="009C2355"/>
    <w:p w14:paraId="45F43C62" w14:textId="77777777" w:rsidR="00A5592E" w:rsidRDefault="00A5592E" w:rsidP="00046095">
      <w:pPr>
        <w:rPr>
          <w:rFonts w:ascii="Avenir Next LT Pro" w:hAnsi="Avenir Next LT Pro"/>
          <w:lang w:val="fr-CH"/>
        </w:rPr>
      </w:pPr>
    </w:p>
    <w:p w14:paraId="08DA6060" w14:textId="77777777" w:rsidR="00A5592E" w:rsidRDefault="00A5592E" w:rsidP="00046095">
      <w:pPr>
        <w:rPr>
          <w:rFonts w:ascii="Avenir Next LT Pro" w:hAnsi="Avenir Next LT Pro"/>
          <w:lang w:val="fr-CH"/>
        </w:rPr>
      </w:pPr>
    </w:p>
    <w:p w14:paraId="481CEEC0" w14:textId="77777777" w:rsidR="00A5592E" w:rsidRDefault="00A5592E" w:rsidP="00046095">
      <w:pPr>
        <w:rPr>
          <w:rFonts w:ascii="Avenir Next LT Pro" w:hAnsi="Avenir Next LT Pro"/>
          <w:lang w:val="fr-CH"/>
        </w:rPr>
      </w:pPr>
    </w:p>
    <w:p w14:paraId="358519CB" w14:textId="77777777" w:rsidR="00A5592E" w:rsidRDefault="00A5592E" w:rsidP="00046095">
      <w:pPr>
        <w:rPr>
          <w:rFonts w:ascii="Avenir Next LT Pro" w:hAnsi="Avenir Next LT Pro"/>
          <w:lang w:val="fr-CH"/>
        </w:rPr>
      </w:pPr>
    </w:p>
    <w:p w14:paraId="53D2F7E6" w14:textId="77777777" w:rsidR="00A5592E" w:rsidRDefault="00A5592E" w:rsidP="00046095">
      <w:pPr>
        <w:rPr>
          <w:rFonts w:ascii="Avenir Next LT Pro" w:hAnsi="Avenir Next LT Pro"/>
          <w:lang w:val="fr-CH"/>
        </w:rPr>
      </w:pPr>
    </w:p>
    <w:p w14:paraId="5D6AD82E" w14:textId="77777777" w:rsidR="00A5592E" w:rsidRDefault="00A5592E" w:rsidP="00046095">
      <w:pPr>
        <w:rPr>
          <w:rFonts w:ascii="Avenir Next LT Pro" w:hAnsi="Avenir Next LT Pro"/>
          <w:lang w:val="fr-CH"/>
        </w:rPr>
      </w:pPr>
    </w:p>
    <w:p w14:paraId="414AF77E" w14:textId="77777777" w:rsidR="00A5592E" w:rsidRDefault="00A5592E" w:rsidP="00046095">
      <w:pPr>
        <w:rPr>
          <w:rFonts w:ascii="Avenir Next LT Pro" w:hAnsi="Avenir Next LT Pro"/>
          <w:lang w:val="fr-CH"/>
        </w:rPr>
      </w:pPr>
    </w:p>
    <w:p w14:paraId="711DECB9" w14:textId="77777777" w:rsidR="00046095" w:rsidRDefault="00046095" w:rsidP="00046095">
      <w:pPr>
        <w:rPr>
          <w:rFonts w:ascii="Avenir Next LT Pro" w:hAnsi="Avenir Next LT Pro"/>
          <w:lang w:val="fr-CH"/>
        </w:rPr>
      </w:pPr>
    </w:p>
    <w:p w14:paraId="393765BF" w14:textId="77777777" w:rsidR="000A347F" w:rsidRDefault="00046095" w:rsidP="00046095">
      <w:pPr>
        <w:rPr>
          <w:rFonts w:ascii="Avenir Next LT Pro" w:hAnsi="Avenir Next LT Pro"/>
          <w:lang w:val="fr-CH"/>
        </w:rPr>
      </w:pPr>
      <w:r>
        <w:rPr>
          <w:rFonts w:ascii="Avenir Next LT Pro" w:hAnsi="Avenir Next LT Pro"/>
          <w:lang w:val="fr-CH"/>
        </w:rPr>
        <w:t xml:space="preserve"> </w:t>
      </w:r>
    </w:p>
    <w:p w14:paraId="3F122C38" w14:textId="729E2D29" w:rsidR="001C5748" w:rsidRDefault="001C5748" w:rsidP="00FB7BE6">
      <w:pPr>
        <w:rPr>
          <w:rFonts w:ascii="Avenir Next LT Pro" w:hAnsi="Avenir Next LT Pro"/>
          <w:lang w:val="fr-CH"/>
        </w:rPr>
      </w:pPr>
    </w:p>
    <w:p w14:paraId="0E2621B5" w14:textId="77777777" w:rsidR="00046095" w:rsidRDefault="00046095" w:rsidP="00046095">
      <w:pPr>
        <w:pStyle w:val="Paragraphedeliste"/>
        <w:ind w:left="775"/>
        <w:rPr>
          <w:rFonts w:ascii="Avenir Next LT Pro" w:hAnsi="Avenir Next LT Pro"/>
          <w:lang w:val="fr-CH"/>
        </w:rPr>
      </w:pPr>
    </w:p>
    <w:p w14:paraId="5564E307" w14:textId="77777777" w:rsidR="00046095" w:rsidRDefault="00046095" w:rsidP="00046095">
      <w:pPr>
        <w:pStyle w:val="Paragraphedeliste"/>
        <w:ind w:left="775"/>
        <w:rPr>
          <w:rFonts w:ascii="Avenir Next LT Pro" w:hAnsi="Avenir Next LT Pro"/>
          <w:lang w:val="fr-CH"/>
        </w:rPr>
      </w:pPr>
    </w:p>
    <w:p w14:paraId="07A94140" w14:textId="77777777" w:rsidR="00046095" w:rsidRPr="00FB7BE6" w:rsidRDefault="00046095" w:rsidP="00FB7BE6">
      <w:pPr>
        <w:pStyle w:val="Paragraphedeliste"/>
        <w:ind w:left="775"/>
        <w:rPr>
          <w:rFonts w:ascii="Avenir Next LT Pro" w:hAnsi="Avenir Next LT Pro"/>
          <w:lang w:val="fr-CH"/>
        </w:rPr>
      </w:pPr>
    </w:p>
    <w:p w14:paraId="2A53E200" w14:textId="77777777" w:rsidR="00BF36AC" w:rsidRDefault="00BF36AC" w:rsidP="001C5748">
      <w:pPr>
        <w:rPr>
          <w:rFonts w:ascii="Avenir Next LT Pro" w:hAnsi="Avenir Next LT Pro"/>
          <w:lang w:val="fr-CH"/>
        </w:rPr>
      </w:pPr>
    </w:p>
    <w:p w14:paraId="0C89DBC9" w14:textId="62DA38A2" w:rsidR="00707B0E" w:rsidRDefault="00707B0E" w:rsidP="009D6FD2">
      <w:pPr>
        <w:pStyle w:val="Titre3"/>
      </w:pPr>
      <w:bookmarkStart w:id="96" w:name="_Toc163230408"/>
      <w:r w:rsidRPr="00CF394C">
        <w:t xml:space="preserve">ANNEXE 8 : Conditions de signature du projet et décaissement des tranches de financement imposées par </w:t>
      </w:r>
      <w:r w:rsidR="008A3781" w:rsidRPr="00CF394C">
        <w:t>les Organes de Gouvernance du Partenariat</w:t>
      </w:r>
      <w:bookmarkEnd w:id="96"/>
      <w:r w:rsidR="008A3781">
        <w:t xml:space="preserve"> </w:t>
      </w:r>
    </w:p>
    <w:p w14:paraId="6038BBCE" w14:textId="77777777" w:rsidR="006F3BF4" w:rsidRDefault="006F3BF4" w:rsidP="009D6FD2">
      <w:pPr>
        <w:spacing w:before="240" w:after="0" w:line="254" w:lineRule="auto"/>
        <w:rPr>
          <w:rFonts w:eastAsia="Aptos"/>
          <w:sz w:val="20"/>
          <w:szCs w:val="20"/>
        </w:rPr>
      </w:pPr>
      <w:r w:rsidRPr="00AE44B9">
        <w:rPr>
          <w:rFonts w:eastAsia="Aptos"/>
          <w:b/>
          <w:bCs/>
          <w:i/>
          <w:iCs/>
          <w:sz w:val="20"/>
          <w:szCs w:val="20"/>
        </w:rPr>
        <w:t>1</w:t>
      </w:r>
      <w:r w:rsidRPr="00AE44B9">
        <w:rPr>
          <w:rFonts w:eastAsia="Aptos"/>
          <w:b/>
          <w:bCs/>
          <w:i/>
          <w:iCs/>
          <w:sz w:val="20"/>
          <w:szCs w:val="20"/>
          <w:vertAlign w:val="superscript"/>
        </w:rPr>
        <w:t>ère</w:t>
      </w:r>
      <w:r w:rsidRPr="00AE44B9">
        <w:rPr>
          <w:rFonts w:eastAsia="Aptos"/>
          <w:b/>
          <w:bCs/>
          <w:i/>
          <w:iCs/>
          <w:sz w:val="20"/>
          <w:szCs w:val="20"/>
        </w:rPr>
        <w:t xml:space="preserve"> tranche</w:t>
      </w:r>
      <w:r w:rsidRPr="00AE44B9">
        <w:rPr>
          <w:rFonts w:eastAsia="Aptos"/>
          <w:sz w:val="20"/>
          <w:szCs w:val="20"/>
        </w:rPr>
        <w:t xml:space="preserve"> : CAFI </w:t>
      </w:r>
      <w:r w:rsidRPr="00AE44B9">
        <w:rPr>
          <w:rFonts w:eastAsia="Aptos"/>
          <w:i/>
          <w:iCs/>
          <w:sz w:val="20"/>
          <w:szCs w:val="20"/>
          <w:u w:val="single"/>
        </w:rPr>
        <w:t>demande</w:t>
      </w:r>
      <w:r w:rsidRPr="00AE44B9">
        <w:rPr>
          <w:rFonts w:eastAsia="Aptos"/>
          <w:sz w:val="20"/>
          <w:szCs w:val="20"/>
        </w:rPr>
        <w:t xml:space="preserve"> que le décaissement de la 1</w:t>
      </w:r>
      <w:r w:rsidRPr="00AE44B9">
        <w:rPr>
          <w:rFonts w:eastAsia="Aptos"/>
          <w:sz w:val="20"/>
          <w:szCs w:val="20"/>
          <w:vertAlign w:val="superscript"/>
        </w:rPr>
        <w:t>ère</w:t>
      </w:r>
      <w:r w:rsidRPr="00AE44B9">
        <w:rPr>
          <w:rFonts w:eastAsia="Aptos"/>
          <w:sz w:val="20"/>
          <w:szCs w:val="20"/>
        </w:rPr>
        <w:t xml:space="preserve"> tranche de financement soit conditionné par la signature du document de programme par les trois ministères sectoriels concernés, au premier plan, par le projet (i.e. MEDD, </w:t>
      </w:r>
      <w:proofErr w:type="spellStart"/>
      <w:r w:rsidRPr="00AE44B9">
        <w:rPr>
          <w:rFonts w:eastAsia="Aptos"/>
          <w:sz w:val="20"/>
          <w:szCs w:val="20"/>
        </w:rPr>
        <w:t>MinFin</w:t>
      </w:r>
      <w:proofErr w:type="spellEnd"/>
      <w:r w:rsidRPr="00AE44B9">
        <w:rPr>
          <w:rFonts w:eastAsia="Aptos"/>
          <w:sz w:val="20"/>
          <w:szCs w:val="20"/>
        </w:rPr>
        <w:t xml:space="preserve"> et </w:t>
      </w:r>
      <w:proofErr w:type="spellStart"/>
      <w:r w:rsidRPr="00AE44B9">
        <w:rPr>
          <w:rFonts w:eastAsia="Aptos"/>
          <w:sz w:val="20"/>
          <w:szCs w:val="20"/>
        </w:rPr>
        <w:t>MinPlan</w:t>
      </w:r>
      <w:proofErr w:type="spellEnd"/>
      <w:r w:rsidRPr="00AE44B9">
        <w:rPr>
          <w:rFonts w:eastAsia="Aptos"/>
          <w:sz w:val="20"/>
          <w:szCs w:val="20"/>
        </w:rPr>
        <w:t>) ;</w:t>
      </w:r>
    </w:p>
    <w:p w14:paraId="7B89AEF1" w14:textId="77777777" w:rsidR="006F3BF4" w:rsidRDefault="006F3BF4" w:rsidP="006F3BF4">
      <w:pPr>
        <w:spacing w:after="0" w:line="254" w:lineRule="auto"/>
        <w:rPr>
          <w:rFonts w:eastAsia="Aptos"/>
          <w:sz w:val="20"/>
          <w:szCs w:val="20"/>
        </w:rPr>
      </w:pPr>
    </w:p>
    <w:p w14:paraId="6C093CF9" w14:textId="77777777" w:rsidR="006F3BF4" w:rsidRPr="00AE44B9" w:rsidRDefault="006F3BF4" w:rsidP="006F3BF4">
      <w:pPr>
        <w:spacing w:after="0" w:line="254" w:lineRule="auto"/>
        <w:rPr>
          <w:rFonts w:eastAsia="Aptos"/>
          <w:b/>
          <w:bCs/>
          <w:i/>
          <w:iCs/>
          <w:sz w:val="20"/>
          <w:szCs w:val="20"/>
        </w:rPr>
      </w:pPr>
      <w:r w:rsidRPr="00AE44B9">
        <w:rPr>
          <w:rFonts w:eastAsia="Aptos"/>
          <w:b/>
          <w:bCs/>
          <w:i/>
          <w:iCs/>
          <w:sz w:val="20"/>
          <w:szCs w:val="20"/>
        </w:rPr>
        <w:t>2</w:t>
      </w:r>
      <w:r w:rsidRPr="00AE44B9">
        <w:rPr>
          <w:rFonts w:eastAsia="Aptos"/>
          <w:b/>
          <w:bCs/>
          <w:i/>
          <w:iCs/>
          <w:sz w:val="20"/>
          <w:szCs w:val="20"/>
          <w:vertAlign w:val="superscript"/>
        </w:rPr>
        <w:t>ème</w:t>
      </w:r>
      <w:r w:rsidRPr="00AE44B9">
        <w:rPr>
          <w:rFonts w:eastAsia="Aptos"/>
          <w:b/>
          <w:bCs/>
          <w:i/>
          <w:iCs/>
          <w:sz w:val="20"/>
          <w:szCs w:val="20"/>
        </w:rPr>
        <w:t xml:space="preserve"> tranche : </w:t>
      </w:r>
      <w:r>
        <w:rPr>
          <w:rFonts w:eastAsia="Aptos"/>
          <w:sz w:val="20"/>
          <w:szCs w:val="20"/>
        </w:rPr>
        <w:t>L</w:t>
      </w:r>
      <w:r w:rsidRPr="00AE44B9">
        <w:rPr>
          <w:rFonts w:eastAsia="Aptos"/>
          <w:sz w:val="20"/>
          <w:szCs w:val="20"/>
        </w:rPr>
        <w:t>e décaissement de la 2</w:t>
      </w:r>
      <w:r w:rsidRPr="00AE44B9">
        <w:rPr>
          <w:rFonts w:eastAsia="Aptos"/>
          <w:sz w:val="20"/>
          <w:szCs w:val="20"/>
          <w:vertAlign w:val="superscript"/>
        </w:rPr>
        <w:t>ème</w:t>
      </w:r>
      <w:r w:rsidRPr="00AE44B9">
        <w:rPr>
          <w:rFonts w:eastAsia="Aptos"/>
          <w:sz w:val="20"/>
          <w:szCs w:val="20"/>
        </w:rPr>
        <w:t xml:space="preserve"> tranche de financement </w:t>
      </w:r>
      <w:r>
        <w:rPr>
          <w:rFonts w:eastAsia="Aptos"/>
          <w:sz w:val="20"/>
          <w:szCs w:val="20"/>
        </w:rPr>
        <w:t xml:space="preserve">sera </w:t>
      </w:r>
      <w:r w:rsidRPr="00AE44B9">
        <w:rPr>
          <w:rFonts w:eastAsia="Aptos"/>
          <w:sz w:val="20"/>
          <w:szCs w:val="20"/>
        </w:rPr>
        <w:t>conditionné par la réalisation des livrables suivants :</w:t>
      </w:r>
    </w:p>
    <w:p w14:paraId="39750C2D" w14:textId="77777777" w:rsidR="006F3BF4" w:rsidRPr="00AE44B9" w:rsidRDefault="006F3BF4" w:rsidP="006F3BF4">
      <w:pPr>
        <w:numPr>
          <w:ilvl w:val="1"/>
          <w:numId w:val="66"/>
        </w:numPr>
        <w:spacing w:after="0" w:line="254" w:lineRule="auto"/>
        <w:ind w:left="307"/>
        <w:jc w:val="both"/>
        <w:rPr>
          <w:rFonts w:eastAsia="Aptos"/>
          <w:i/>
          <w:iCs/>
          <w:sz w:val="20"/>
          <w:szCs w:val="20"/>
        </w:rPr>
      </w:pPr>
      <w:r w:rsidRPr="00AE44B9">
        <w:rPr>
          <w:rFonts w:eastAsia="Aptos"/>
          <w:i/>
          <w:iCs/>
          <w:sz w:val="20"/>
          <w:szCs w:val="20"/>
        </w:rPr>
        <w:t xml:space="preserve">Produit 1.1 </w:t>
      </w:r>
      <w:r w:rsidRPr="00AE44B9">
        <w:rPr>
          <w:rFonts w:eastAsia="Aptos"/>
          <w:sz w:val="20"/>
          <w:szCs w:val="20"/>
        </w:rPr>
        <w:t>- Le CNEDD est établi et opérationnel</w:t>
      </w:r>
    </w:p>
    <w:p w14:paraId="5A60ED97" w14:textId="77777777" w:rsidR="006F3BF4" w:rsidRPr="00AE44B9" w:rsidRDefault="006F3BF4" w:rsidP="006F3BF4">
      <w:pPr>
        <w:numPr>
          <w:ilvl w:val="1"/>
          <w:numId w:val="66"/>
        </w:numPr>
        <w:spacing w:after="0" w:line="254" w:lineRule="auto"/>
        <w:ind w:left="307"/>
        <w:jc w:val="both"/>
        <w:rPr>
          <w:rFonts w:eastAsia="Aptos"/>
          <w:i/>
          <w:iCs/>
          <w:sz w:val="20"/>
          <w:szCs w:val="20"/>
        </w:rPr>
      </w:pPr>
      <w:r w:rsidRPr="00AE44B9">
        <w:rPr>
          <w:rFonts w:eastAsia="Aptos"/>
          <w:i/>
          <w:iCs/>
          <w:sz w:val="20"/>
          <w:szCs w:val="20"/>
        </w:rPr>
        <w:t xml:space="preserve">Produit 1.2 </w:t>
      </w:r>
      <w:r w:rsidRPr="00AE44B9">
        <w:rPr>
          <w:rFonts w:eastAsia="Aptos"/>
          <w:sz w:val="20"/>
          <w:szCs w:val="20"/>
        </w:rPr>
        <w:t>- La cellule technique de la CDN est opérationnelle</w:t>
      </w:r>
    </w:p>
    <w:p w14:paraId="5387B27D" w14:textId="77777777" w:rsidR="006F3BF4" w:rsidRPr="00AE44B9" w:rsidRDefault="006F3BF4" w:rsidP="006F3BF4">
      <w:pPr>
        <w:numPr>
          <w:ilvl w:val="1"/>
          <w:numId w:val="66"/>
        </w:numPr>
        <w:spacing w:after="0" w:line="254" w:lineRule="auto"/>
        <w:ind w:left="307"/>
        <w:jc w:val="both"/>
        <w:rPr>
          <w:rFonts w:eastAsia="Aptos"/>
          <w:i/>
          <w:iCs/>
          <w:sz w:val="20"/>
          <w:szCs w:val="20"/>
        </w:rPr>
      </w:pPr>
      <w:r w:rsidRPr="00AE44B9">
        <w:rPr>
          <w:rFonts w:eastAsia="Aptos"/>
          <w:i/>
          <w:iCs/>
          <w:sz w:val="20"/>
          <w:szCs w:val="20"/>
        </w:rPr>
        <w:t xml:space="preserve">Produit 1.3 - </w:t>
      </w:r>
      <w:r w:rsidRPr="00AE44B9">
        <w:rPr>
          <w:rFonts w:eastAsia="Aptos"/>
          <w:sz w:val="20"/>
          <w:szCs w:val="20"/>
        </w:rPr>
        <w:t>La stratégie nationale de financement climatique de la CDN est validée</w:t>
      </w:r>
    </w:p>
    <w:p w14:paraId="17D75030" w14:textId="77777777" w:rsidR="006F3BF4" w:rsidRPr="00AE44B9" w:rsidRDefault="006F3BF4" w:rsidP="006F3BF4">
      <w:pPr>
        <w:numPr>
          <w:ilvl w:val="1"/>
          <w:numId w:val="66"/>
        </w:numPr>
        <w:spacing w:after="0" w:line="254" w:lineRule="auto"/>
        <w:ind w:left="307"/>
        <w:jc w:val="both"/>
        <w:rPr>
          <w:rFonts w:eastAsia="Aptos"/>
          <w:i/>
          <w:iCs/>
          <w:sz w:val="20"/>
          <w:szCs w:val="20"/>
        </w:rPr>
      </w:pPr>
      <w:r w:rsidRPr="00AE44B9">
        <w:rPr>
          <w:rFonts w:eastAsia="Aptos"/>
          <w:i/>
          <w:iCs/>
          <w:sz w:val="20"/>
          <w:szCs w:val="20"/>
        </w:rPr>
        <w:t xml:space="preserve">Produit 1.5 - </w:t>
      </w:r>
      <w:r w:rsidRPr="00AE44B9">
        <w:rPr>
          <w:rFonts w:eastAsia="Aptos"/>
          <w:sz w:val="20"/>
          <w:szCs w:val="20"/>
        </w:rPr>
        <w:t>Au moins 2 secteurs clés mentionnés dans la CDN intègrent les questions d’atténuation et de suivi des progrès de la mise en œuvre de la CDN dans leur cadre programmatique et budgétaire</w:t>
      </w:r>
    </w:p>
    <w:p w14:paraId="3A2BEEB2" w14:textId="77777777" w:rsidR="006F3BF4" w:rsidRPr="00AE44B9" w:rsidRDefault="006F3BF4" w:rsidP="006F3BF4">
      <w:pPr>
        <w:numPr>
          <w:ilvl w:val="1"/>
          <w:numId w:val="66"/>
        </w:numPr>
        <w:spacing w:after="0" w:line="254" w:lineRule="auto"/>
        <w:ind w:left="307"/>
        <w:jc w:val="both"/>
        <w:rPr>
          <w:rFonts w:eastAsia="Aptos"/>
          <w:i/>
          <w:iCs/>
          <w:sz w:val="20"/>
          <w:szCs w:val="20"/>
        </w:rPr>
      </w:pPr>
      <w:r w:rsidRPr="00AE44B9">
        <w:rPr>
          <w:rFonts w:eastAsia="Aptos"/>
          <w:i/>
          <w:iCs/>
          <w:sz w:val="20"/>
          <w:szCs w:val="20"/>
        </w:rPr>
        <w:t xml:space="preserve">Produit 2.1 - </w:t>
      </w:r>
      <w:r w:rsidRPr="00AE44B9">
        <w:rPr>
          <w:rFonts w:eastAsia="Aptos"/>
          <w:sz w:val="20"/>
          <w:szCs w:val="20"/>
        </w:rPr>
        <w:t>La stratégie nationale d’accès aux marchés du carbone est validée</w:t>
      </w:r>
    </w:p>
    <w:p w14:paraId="3515DC7D" w14:textId="77777777" w:rsidR="00BC0E41" w:rsidRPr="006F3BF4" w:rsidRDefault="00BC0E41" w:rsidP="00BC0E41">
      <w:pPr>
        <w:numPr>
          <w:ilvl w:val="1"/>
          <w:numId w:val="66"/>
        </w:numPr>
        <w:spacing w:after="0" w:line="254" w:lineRule="auto"/>
        <w:ind w:left="307"/>
        <w:jc w:val="both"/>
        <w:rPr>
          <w:rFonts w:eastAsia="Aptos"/>
          <w:sz w:val="20"/>
          <w:szCs w:val="20"/>
        </w:rPr>
      </w:pPr>
      <w:r w:rsidRPr="006F3BF4">
        <w:rPr>
          <w:rFonts w:eastAsia="Aptos"/>
          <w:i/>
          <w:iCs/>
          <w:sz w:val="20"/>
          <w:szCs w:val="20"/>
        </w:rPr>
        <w:t>Produit 2.4</w:t>
      </w:r>
      <w:r w:rsidRPr="006F3BF4">
        <w:rPr>
          <w:rFonts w:eastAsia="Aptos"/>
          <w:sz w:val="20"/>
          <w:szCs w:val="20"/>
        </w:rPr>
        <w:t xml:space="preserve"> - Le cadre réglementaire pour l’opérationnalisation des marchés du carbone est élaboré et soumis au Conseil des Ministres pour adoption</w:t>
      </w:r>
    </w:p>
    <w:p w14:paraId="4270F16A" w14:textId="2F368CB4" w:rsidR="006F3BF4" w:rsidRDefault="006F3BF4" w:rsidP="006F3BF4">
      <w:pPr>
        <w:numPr>
          <w:ilvl w:val="1"/>
          <w:numId w:val="66"/>
        </w:numPr>
        <w:spacing w:after="0" w:line="254" w:lineRule="auto"/>
        <w:ind w:left="307"/>
        <w:jc w:val="both"/>
        <w:rPr>
          <w:rFonts w:eastAsia="Aptos"/>
          <w:i/>
          <w:iCs/>
          <w:sz w:val="20"/>
          <w:szCs w:val="20"/>
        </w:rPr>
      </w:pPr>
      <w:r w:rsidRPr="00AE44B9">
        <w:rPr>
          <w:rFonts w:eastAsia="Aptos"/>
          <w:i/>
          <w:iCs/>
          <w:sz w:val="20"/>
          <w:szCs w:val="20"/>
        </w:rPr>
        <w:t xml:space="preserve">Produit 2.7 - </w:t>
      </w:r>
      <w:r w:rsidRPr="00AE44B9">
        <w:rPr>
          <w:rFonts w:eastAsia="Aptos"/>
          <w:sz w:val="20"/>
          <w:szCs w:val="20"/>
        </w:rPr>
        <w:t xml:space="preserve">Un mécanisme pour le </w:t>
      </w:r>
      <w:proofErr w:type="spellStart"/>
      <w:r w:rsidRPr="00AE44B9">
        <w:rPr>
          <w:rFonts w:eastAsia="Aptos"/>
          <w:sz w:val="20"/>
          <w:szCs w:val="20"/>
        </w:rPr>
        <w:t>tracking</w:t>
      </w:r>
      <w:proofErr w:type="spellEnd"/>
      <w:r w:rsidRPr="00AE44B9">
        <w:rPr>
          <w:rFonts w:eastAsia="Aptos"/>
          <w:sz w:val="20"/>
          <w:szCs w:val="20"/>
        </w:rPr>
        <w:t xml:space="preserve"> des divers flux financiers à destination de la RDC est proposé </w:t>
      </w:r>
      <w:r w:rsidR="00BC0E41">
        <w:rPr>
          <w:rFonts w:eastAsia="Aptos"/>
          <w:sz w:val="20"/>
          <w:szCs w:val="20"/>
        </w:rPr>
        <w:t>pour</w:t>
      </w:r>
      <w:r w:rsidRPr="00AE44B9">
        <w:rPr>
          <w:rFonts w:eastAsia="Aptos"/>
          <w:sz w:val="20"/>
          <w:szCs w:val="20"/>
        </w:rPr>
        <w:t xml:space="preserve"> faciliter le rapportage dans le cadre de la mise en œuvre de la CDN, notamment la production des BTR</w:t>
      </w:r>
    </w:p>
    <w:p w14:paraId="01EA45AE" w14:textId="77777777" w:rsidR="006F3BF4" w:rsidRPr="009E6CA3" w:rsidRDefault="006F3BF4" w:rsidP="006F3BF4">
      <w:pPr>
        <w:numPr>
          <w:ilvl w:val="1"/>
          <w:numId w:val="66"/>
        </w:numPr>
        <w:spacing w:after="0" w:line="254" w:lineRule="auto"/>
        <w:ind w:left="307"/>
        <w:jc w:val="both"/>
        <w:rPr>
          <w:rFonts w:eastAsia="Aptos"/>
          <w:i/>
          <w:iCs/>
          <w:sz w:val="20"/>
          <w:szCs w:val="20"/>
        </w:rPr>
      </w:pPr>
      <w:r w:rsidRPr="009E6CA3">
        <w:rPr>
          <w:rFonts w:eastAsia="Aptos"/>
          <w:i/>
          <w:iCs/>
          <w:sz w:val="20"/>
          <w:szCs w:val="20"/>
        </w:rPr>
        <w:t xml:space="preserve">Produit 3.4 - </w:t>
      </w:r>
      <w:r w:rsidRPr="009E6CA3">
        <w:rPr>
          <w:rFonts w:eastAsia="Aptos"/>
          <w:sz w:val="20"/>
          <w:szCs w:val="20"/>
        </w:rPr>
        <w:t>Un plan de gestion des connaissances et savoir est disponible</w:t>
      </w:r>
    </w:p>
    <w:p w14:paraId="422A8E6C" w14:textId="77777777" w:rsidR="006F3BF4" w:rsidRPr="006F3BF4" w:rsidRDefault="006F3BF4" w:rsidP="00707B0E">
      <w:pPr>
        <w:rPr>
          <w:lang w:eastAsia="fr-FR"/>
        </w:rPr>
      </w:pPr>
    </w:p>
    <w:p w14:paraId="45F08251" w14:textId="45F9D952" w:rsidR="00707B0E" w:rsidRPr="00707B0E" w:rsidRDefault="00707B0E" w:rsidP="00707B0E">
      <w:pPr>
        <w:rPr>
          <w:lang w:val="fr-CH" w:eastAsia="fr-FR"/>
        </w:rPr>
        <w:sectPr w:rsidR="00707B0E" w:rsidRPr="00707B0E" w:rsidSect="00B85501">
          <w:pgSz w:w="16838" w:h="11906" w:orient="landscape"/>
          <w:pgMar w:top="1418" w:right="1418" w:bottom="1418" w:left="1418" w:header="709" w:footer="709" w:gutter="0"/>
          <w:cols w:space="708"/>
          <w:docGrid w:linePitch="360"/>
        </w:sectPr>
      </w:pPr>
    </w:p>
    <w:p w14:paraId="66965158" w14:textId="1FFD0A73" w:rsidR="00500E1C" w:rsidRDefault="00892FB1" w:rsidP="00A7529C">
      <w:pPr>
        <w:pStyle w:val="Titre3"/>
      </w:pPr>
      <w:bookmarkStart w:id="97" w:name="_Ref149139167"/>
      <w:bookmarkStart w:id="98" w:name="_Toc163230409"/>
      <w:bookmarkStart w:id="99" w:name="_Hlk149139927"/>
      <w:r>
        <w:lastRenderedPageBreak/>
        <w:t xml:space="preserve">ANNEXE </w:t>
      </w:r>
      <w:r w:rsidR="008C0828">
        <w:t>9</w:t>
      </w:r>
      <w:r w:rsidR="00125E05">
        <w:t> </w:t>
      </w:r>
      <w:r>
        <w:t xml:space="preserve">: </w:t>
      </w:r>
      <w:r w:rsidR="00F568FD">
        <w:t>Indicateurs standards FONAREDD/CAFI pour les PIREDD</w:t>
      </w:r>
      <w:bookmarkEnd w:id="97"/>
      <w:bookmarkEnd w:id="98"/>
    </w:p>
    <w:p w14:paraId="79F3AC6F" w14:textId="04D27DA2" w:rsidR="00197DC7" w:rsidRDefault="00A9365E" w:rsidP="00CD12A7">
      <w:pPr>
        <w:pStyle w:val="Commentaire"/>
        <w:spacing w:after="60"/>
        <w:jc w:val="both"/>
        <w:rPr>
          <w:rFonts w:ascii="Avenir Next LT Pro" w:hAnsi="Avenir Next LT Pro"/>
          <w:color w:val="3E762A" w:themeColor="accent1" w:themeShade="BF"/>
        </w:rPr>
      </w:pPr>
      <w:r w:rsidRPr="78B8B380">
        <w:rPr>
          <w:rFonts w:ascii="Avenir Next LT Pro" w:hAnsi="Avenir Next LT Pro"/>
          <w:color w:val="3E762A" w:themeColor="accent1" w:themeShade="BF"/>
        </w:rPr>
        <w:t xml:space="preserve">Les indicateurs standards FONAREDD/CAFI pour les PIREDD </w:t>
      </w:r>
      <w:r w:rsidR="004A57B7" w:rsidRPr="78B8B380">
        <w:rPr>
          <w:rFonts w:ascii="Avenir Next LT Pro" w:hAnsi="Avenir Next LT Pro"/>
          <w:color w:val="3E762A" w:themeColor="accent1" w:themeShade="BF"/>
        </w:rPr>
        <w:t>(et par extension les projets d’utilisation des terres) sont présentés ci-dessous</w:t>
      </w:r>
      <w:r w:rsidR="00A35DC3" w:rsidRPr="78B8B380">
        <w:rPr>
          <w:rFonts w:ascii="Avenir Next LT Pro" w:hAnsi="Avenir Next LT Pro"/>
          <w:color w:val="3E762A" w:themeColor="accent1" w:themeShade="BF"/>
        </w:rPr>
        <w:t>, et extrait des Lignes Directrices de suivi évaluation de CAFI, adoptées par le Conseil d’Administration de CAFI le 13 novembre 2023</w:t>
      </w:r>
      <w:r w:rsidR="00CD12A7" w:rsidRPr="78B8B380">
        <w:rPr>
          <w:rFonts w:ascii="Avenir Next LT Pro" w:hAnsi="Avenir Next LT Pro"/>
          <w:color w:val="3E762A" w:themeColor="accent1" w:themeShade="BF"/>
        </w:rPr>
        <w:t xml:space="preserve">, </w:t>
      </w:r>
      <w:r w:rsidR="00651586" w:rsidRPr="78B8B380">
        <w:rPr>
          <w:rFonts w:ascii="Avenir Next LT Pro" w:hAnsi="Avenir Next LT Pro"/>
          <w:color w:val="3E762A" w:themeColor="accent1" w:themeShade="BF"/>
        </w:rPr>
        <w:t xml:space="preserve">disponible grâce à </w:t>
      </w:r>
      <w:hyperlink r:id="rId42">
        <w:r w:rsidR="00651586" w:rsidRPr="78B8B380">
          <w:rPr>
            <w:rStyle w:val="Lienhypertexte"/>
            <w:rFonts w:ascii="Avenir Next LT Pro" w:hAnsi="Avenir Next LT Pro"/>
          </w:rPr>
          <w:t>cet hyperlien</w:t>
        </w:r>
      </w:hyperlink>
      <w:r w:rsidR="004027C8" w:rsidRPr="78B8B380">
        <w:rPr>
          <w:rFonts w:ascii="Avenir Next LT Pro" w:hAnsi="Avenir Next LT Pro"/>
          <w:color w:val="3E762A" w:themeColor="accent1" w:themeShade="BF"/>
        </w:rPr>
        <w:t>. Ces lignes directrices comprennent</w:t>
      </w:r>
      <w:r w:rsidR="00651586" w:rsidRPr="78B8B380">
        <w:rPr>
          <w:rFonts w:ascii="Avenir Next LT Pro" w:hAnsi="Avenir Next LT Pro"/>
          <w:color w:val="3E762A" w:themeColor="accent1" w:themeShade="BF"/>
        </w:rPr>
        <w:t xml:space="preserve"> également une description détaillée de chacun de ces indicateurs</w:t>
      </w:r>
      <w:r w:rsidR="004A57B7" w:rsidRPr="78B8B380">
        <w:rPr>
          <w:rFonts w:ascii="Avenir Next LT Pro" w:hAnsi="Avenir Next LT Pro"/>
          <w:color w:val="3E762A" w:themeColor="accent1" w:themeShade="BF"/>
        </w:rPr>
        <w:t xml:space="preserve">. </w:t>
      </w:r>
      <w:r w:rsidR="007D0F4E" w:rsidRPr="78B8B380">
        <w:rPr>
          <w:rFonts w:ascii="Avenir Next LT Pro" w:hAnsi="Avenir Next LT Pro"/>
          <w:color w:val="3E762A" w:themeColor="accent1" w:themeShade="BF"/>
        </w:rPr>
        <w:t>Tout indicateur</w:t>
      </w:r>
      <w:r w:rsidR="00441289" w:rsidRPr="78B8B380">
        <w:rPr>
          <w:rFonts w:ascii="Avenir Next LT Pro" w:hAnsi="Avenir Next LT Pro"/>
          <w:color w:val="3E762A" w:themeColor="accent1" w:themeShade="BF"/>
        </w:rPr>
        <w:t xml:space="preserve"> </w:t>
      </w:r>
      <w:r w:rsidR="007D0F4E" w:rsidRPr="78B8B380">
        <w:rPr>
          <w:rFonts w:ascii="Avenir Next LT Pro" w:hAnsi="Avenir Next LT Pro"/>
          <w:color w:val="3E762A" w:themeColor="accent1" w:themeShade="BF"/>
        </w:rPr>
        <w:t xml:space="preserve">relatif aux activités couvertes par le projet doit être </w:t>
      </w:r>
      <w:r w:rsidRPr="78B8B380">
        <w:rPr>
          <w:rFonts w:ascii="Avenir Next LT Pro" w:hAnsi="Avenir Next LT Pro"/>
          <w:color w:val="3E762A" w:themeColor="accent1" w:themeShade="BF"/>
        </w:rPr>
        <w:t>inclus sans modification</w:t>
      </w:r>
      <w:r w:rsidR="00441289" w:rsidRPr="78B8B380">
        <w:rPr>
          <w:rFonts w:ascii="Avenir Next LT Pro" w:hAnsi="Avenir Next LT Pro"/>
          <w:color w:val="3E762A" w:themeColor="accent1" w:themeShade="BF"/>
        </w:rPr>
        <w:t xml:space="preserve"> </w:t>
      </w:r>
      <w:r w:rsidRPr="78B8B380">
        <w:rPr>
          <w:rFonts w:ascii="Avenir Next LT Pro" w:hAnsi="Avenir Next LT Pro"/>
          <w:color w:val="3E762A" w:themeColor="accent1" w:themeShade="BF"/>
        </w:rPr>
        <w:t>dans</w:t>
      </w:r>
      <w:r w:rsidR="007D0F4E" w:rsidRPr="78B8B380">
        <w:rPr>
          <w:rFonts w:ascii="Avenir Next LT Pro" w:hAnsi="Avenir Next LT Pro"/>
          <w:color w:val="3E762A" w:themeColor="accent1" w:themeShade="BF"/>
        </w:rPr>
        <w:t xml:space="preserve"> le Cadre de résultat. </w:t>
      </w:r>
    </w:p>
    <w:p w14:paraId="2CDCAFC6" w14:textId="77777777" w:rsidR="007E4774" w:rsidRDefault="007E4774" w:rsidP="00197DC7">
      <w:pPr>
        <w:pStyle w:val="Commentaire"/>
        <w:spacing w:after="60"/>
        <w:jc w:val="both"/>
        <w:rPr>
          <w:rFonts w:ascii="Avenir Next LT Pro" w:hAnsi="Avenir Next LT Pro"/>
          <w:color w:val="3E762A" w:themeColor="accent1" w:themeShade="BF"/>
        </w:rPr>
      </w:pPr>
    </w:p>
    <w:p w14:paraId="40F4999E" w14:textId="5F3B57F9" w:rsidR="007E4774" w:rsidRPr="00412035" w:rsidRDefault="007E4774" w:rsidP="007E4774">
      <w:pPr>
        <w:pStyle w:val="Commentaire"/>
        <w:spacing w:after="120"/>
        <w:jc w:val="both"/>
        <w:rPr>
          <w:rFonts w:ascii="Avenir Next LT Pro" w:hAnsi="Avenir Next LT Pro"/>
          <w:color w:val="3E762A" w:themeColor="accent1" w:themeShade="BF"/>
        </w:rPr>
      </w:pPr>
      <w:r w:rsidRPr="00C53158">
        <w:rPr>
          <w:rFonts w:ascii="Arial" w:hAnsi="Arial" w:cs="Arial"/>
          <w:b/>
          <w:bCs/>
          <w:color w:val="2F5496"/>
          <w:sz w:val="28"/>
          <w:szCs w:val="28"/>
        </w:rPr>
        <w:t>Indicateurs de Produit /Output</w:t>
      </w:r>
    </w:p>
    <w:tbl>
      <w:tblPr>
        <w:tblW w:w="0" w:type="auto"/>
        <w:tblCellMar>
          <w:top w:w="15" w:type="dxa"/>
          <w:left w:w="15" w:type="dxa"/>
          <w:bottom w:w="15" w:type="dxa"/>
          <w:right w:w="15" w:type="dxa"/>
        </w:tblCellMar>
        <w:tblLook w:val="04A0" w:firstRow="1" w:lastRow="0" w:firstColumn="1" w:lastColumn="0" w:noHBand="0" w:noVBand="1"/>
      </w:tblPr>
      <w:tblGrid>
        <w:gridCol w:w="1688"/>
        <w:gridCol w:w="811"/>
        <w:gridCol w:w="4504"/>
        <w:gridCol w:w="689"/>
        <w:gridCol w:w="4363"/>
        <w:gridCol w:w="3333"/>
      </w:tblGrid>
      <w:tr w:rsidR="00A35DC3" w14:paraId="210126C1" w14:textId="77777777" w:rsidTr="00A43673">
        <w:trPr>
          <w:trHeight w:val="20"/>
        </w:trPr>
        <w:tc>
          <w:tcPr>
            <w:tcW w:w="0" w:type="auto"/>
            <w:tcBorders>
              <w:top w:val="single" w:sz="4" w:space="0" w:color="FFFFFF"/>
              <w:left w:val="single" w:sz="4" w:space="0" w:color="FFFFFF"/>
              <w:bottom w:val="single" w:sz="4" w:space="0" w:color="FFFFFF"/>
              <w:right w:val="single" w:sz="4" w:space="0" w:color="FFFFFF"/>
            </w:tcBorders>
            <w:shd w:val="clear" w:color="auto" w:fill="70AD47"/>
            <w:tcMar>
              <w:top w:w="0" w:type="dxa"/>
              <w:left w:w="115" w:type="dxa"/>
              <w:bottom w:w="0" w:type="dxa"/>
              <w:right w:w="115" w:type="dxa"/>
            </w:tcMar>
            <w:hideMark/>
          </w:tcPr>
          <w:bookmarkEnd w:id="99"/>
          <w:p w14:paraId="0EDF4769" w14:textId="77777777" w:rsidR="00A35DC3" w:rsidRDefault="00A35DC3" w:rsidP="008C0828">
            <w:pPr>
              <w:pStyle w:val="NormalWeb"/>
              <w:spacing w:before="0" w:beforeAutospacing="0" w:after="120" w:afterAutospacing="0"/>
            </w:pPr>
            <w:proofErr w:type="spellStart"/>
            <w:r>
              <w:rPr>
                <w:rFonts w:ascii="Arial" w:hAnsi="Arial" w:cs="Arial"/>
                <w:color w:val="FFFFFF"/>
                <w:sz w:val="22"/>
                <w:szCs w:val="22"/>
              </w:rPr>
              <w:t>Thématique</w:t>
            </w:r>
            <w:proofErr w:type="spellEnd"/>
          </w:p>
        </w:tc>
        <w:tc>
          <w:tcPr>
            <w:tcW w:w="0" w:type="auto"/>
            <w:tcBorders>
              <w:top w:val="single" w:sz="4" w:space="0" w:color="FFFFFF"/>
              <w:left w:val="single" w:sz="4" w:space="0" w:color="FFFFFF"/>
              <w:bottom w:val="single" w:sz="4" w:space="0" w:color="FFFFFF"/>
              <w:right w:val="single" w:sz="4" w:space="0" w:color="FFFFFF"/>
            </w:tcBorders>
            <w:shd w:val="clear" w:color="auto" w:fill="70AD47"/>
            <w:tcMar>
              <w:top w:w="0" w:type="dxa"/>
              <w:left w:w="115" w:type="dxa"/>
              <w:bottom w:w="0" w:type="dxa"/>
              <w:right w:w="115" w:type="dxa"/>
            </w:tcMar>
            <w:hideMark/>
          </w:tcPr>
          <w:p w14:paraId="26C33E25" w14:textId="77777777" w:rsidR="00A35DC3" w:rsidRDefault="00A35DC3" w:rsidP="008C0828">
            <w:pPr>
              <w:pStyle w:val="NormalWeb"/>
              <w:spacing w:before="0" w:beforeAutospacing="0" w:after="120" w:afterAutospacing="0"/>
            </w:pPr>
            <w:r>
              <w:rPr>
                <w:rFonts w:ascii="Arial" w:hAnsi="Arial" w:cs="Arial"/>
                <w:b/>
                <w:bCs/>
                <w:color w:val="FFFFFF"/>
                <w:sz w:val="22"/>
                <w:szCs w:val="22"/>
              </w:rPr>
              <w:t>#</w:t>
            </w:r>
          </w:p>
        </w:tc>
        <w:tc>
          <w:tcPr>
            <w:tcW w:w="0" w:type="auto"/>
            <w:tcBorders>
              <w:top w:val="single" w:sz="4" w:space="0" w:color="FFFFFF"/>
              <w:left w:val="single" w:sz="4" w:space="0" w:color="FFFFFF"/>
              <w:bottom w:val="single" w:sz="4" w:space="0" w:color="FFFFFF"/>
              <w:right w:val="single" w:sz="4" w:space="0" w:color="FFFFFF"/>
            </w:tcBorders>
            <w:shd w:val="clear" w:color="auto" w:fill="70AD47"/>
            <w:tcMar>
              <w:top w:w="0" w:type="dxa"/>
              <w:left w:w="115" w:type="dxa"/>
              <w:bottom w:w="0" w:type="dxa"/>
              <w:right w:w="115" w:type="dxa"/>
            </w:tcMar>
            <w:hideMark/>
          </w:tcPr>
          <w:p w14:paraId="2B33D15B" w14:textId="77777777" w:rsidR="00A35DC3" w:rsidRDefault="00A35DC3" w:rsidP="008C0828">
            <w:pPr>
              <w:pStyle w:val="NormalWeb"/>
              <w:spacing w:before="0" w:beforeAutospacing="0" w:after="120" w:afterAutospacing="0"/>
            </w:pPr>
            <w:r>
              <w:rPr>
                <w:rFonts w:ascii="Arial" w:hAnsi="Arial" w:cs="Arial"/>
                <w:b/>
                <w:bCs/>
                <w:color w:val="FFFFFF"/>
                <w:sz w:val="22"/>
                <w:szCs w:val="22"/>
              </w:rPr>
              <w:t>Indicateur</w:t>
            </w:r>
          </w:p>
        </w:tc>
        <w:tc>
          <w:tcPr>
            <w:tcW w:w="0" w:type="auto"/>
            <w:tcBorders>
              <w:top w:val="single" w:sz="4" w:space="0" w:color="FFFFFF"/>
              <w:left w:val="single" w:sz="4" w:space="0" w:color="FFFFFF"/>
              <w:bottom w:val="single" w:sz="4" w:space="0" w:color="FFFFFF"/>
              <w:right w:val="single" w:sz="4" w:space="0" w:color="FFFFFF"/>
            </w:tcBorders>
            <w:shd w:val="clear" w:color="auto" w:fill="70AD47"/>
            <w:tcMar>
              <w:top w:w="0" w:type="dxa"/>
              <w:left w:w="115" w:type="dxa"/>
              <w:bottom w:w="0" w:type="dxa"/>
              <w:right w:w="115" w:type="dxa"/>
            </w:tcMar>
            <w:hideMark/>
          </w:tcPr>
          <w:p w14:paraId="7DF36792" w14:textId="77777777" w:rsidR="00A35DC3" w:rsidRDefault="00A35DC3" w:rsidP="008C0828">
            <w:pPr>
              <w:pStyle w:val="NormalWeb"/>
              <w:spacing w:before="0" w:beforeAutospacing="0" w:after="120" w:afterAutospacing="0"/>
              <w:ind w:left="-111" w:right="-109"/>
            </w:pPr>
            <w:r>
              <w:rPr>
                <w:rFonts w:ascii="Arial" w:hAnsi="Arial" w:cs="Arial"/>
                <w:b/>
                <w:bCs/>
                <w:color w:val="FFFFFF"/>
                <w:sz w:val="22"/>
                <w:szCs w:val="22"/>
              </w:rPr>
              <w:t>Unité</w:t>
            </w:r>
          </w:p>
        </w:tc>
        <w:tc>
          <w:tcPr>
            <w:tcW w:w="0" w:type="auto"/>
            <w:tcBorders>
              <w:top w:val="single" w:sz="4" w:space="0" w:color="FFFFFF"/>
              <w:left w:val="single" w:sz="4" w:space="0" w:color="FFFFFF"/>
              <w:bottom w:val="single" w:sz="4" w:space="0" w:color="FFFFFF"/>
              <w:right w:val="single" w:sz="4" w:space="0" w:color="FFFFFF"/>
            </w:tcBorders>
            <w:shd w:val="clear" w:color="auto" w:fill="70AD47"/>
            <w:tcMar>
              <w:top w:w="0" w:type="dxa"/>
              <w:left w:w="115" w:type="dxa"/>
              <w:bottom w:w="0" w:type="dxa"/>
              <w:right w:w="115" w:type="dxa"/>
            </w:tcMar>
            <w:hideMark/>
          </w:tcPr>
          <w:p w14:paraId="7DD9523B" w14:textId="77777777" w:rsidR="00A35DC3" w:rsidRDefault="00A35DC3" w:rsidP="008C0828">
            <w:pPr>
              <w:pStyle w:val="NormalWeb"/>
              <w:spacing w:before="0" w:beforeAutospacing="0" w:after="120" w:afterAutospacing="0"/>
              <w:ind w:left="-111" w:right="-109"/>
            </w:pPr>
            <w:proofErr w:type="spellStart"/>
            <w:r>
              <w:rPr>
                <w:rFonts w:ascii="Arial" w:hAnsi="Arial" w:cs="Arial"/>
                <w:b/>
                <w:bCs/>
                <w:color w:val="FFFFFF"/>
                <w:sz w:val="22"/>
                <w:szCs w:val="22"/>
              </w:rPr>
              <w:t>Commentaire</w:t>
            </w:r>
            <w:proofErr w:type="spellEnd"/>
            <w:r>
              <w:rPr>
                <w:rFonts w:ascii="Arial" w:hAnsi="Arial" w:cs="Arial"/>
                <w:b/>
                <w:bCs/>
                <w:color w:val="FFFFFF"/>
                <w:sz w:val="22"/>
                <w:szCs w:val="22"/>
              </w:rPr>
              <w:t> </w:t>
            </w:r>
          </w:p>
        </w:tc>
        <w:tc>
          <w:tcPr>
            <w:tcW w:w="0" w:type="auto"/>
            <w:tcBorders>
              <w:top w:val="single" w:sz="4" w:space="0" w:color="FFFFFF"/>
              <w:left w:val="single" w:sz="4" w:space="0" w:color="FFFFFF"/>
              <w:bottom w:val="single" w:sz="4" w:space="0" w:color="FFFFFF"/>
              <w:right w:val="single" w:sz="4" w:space="0" w:color="FFFFFF"/>
            </w:tcBorders>
            <w:shd w:val="clear" w:color="auto" w:fill="70AD47"/>
            <w:tcMar>
              <w:top w:w="0" w:type="dxa"/>
              <w:left w:w="115" w:type="dxa"/>
              <w:bottom w:w="0" w:type="dxa"/>
              <w:right w:w="115" w:type="dxa"/>
            </w:tcMar>
            <w:hideMark/>
          </w:tcPr>
          <w:p w14:paraId="1534ADED" w14:textId="77777777" w:rsidR="00A35DC3" w:rsidRDefault="00A35DC3" w:rsidP="008C0828">
            <w:pPr>
              <w:pStyle w:val="NormalWeb"/>
              <w:spacing w:before="0" w:beforeAutospacing="0" w:after="120" w:afterAutospacing="0"/>
              <w:ind w:left="-111" w:right="-109"/>
            </w:pPr>
            <w:r>
              <w:rPr>
                <w:rFonts w:ascii="Arial" w:hAnsi="Arial" w:cs="Arial"/>
                <w:b/>
                <w:bCs/>
                <w:color w:val="FFFFFF"/>
                <w:sz w:val="22"/>
                <w:szCs w:val="22"/>
              </w:rPr>
              <w:t>Importance et remarques</w:t>
            </w:r>
          </w:p>
        </w:tc>
      </w:tr>
      <w:tr w:rsidR="00A35DC3" w14:paraId="108AEA3A" w14:textId="77777777" w:rsidTr="00A43673">
        <w:trPr>
          <w:trHeight w:val="20"/>
        </w:trPr>
        <w:tc>
          <w:tcPr>
            <w:tcW w:w="0" w:type="auto"/>
            <w:vMerge w:val="restart"/>
            <w:tcBorders>
              <w:top w:val="single" w:sz="4" w:space="0" w:color="FFFFFF"/>
              <w:left w:val="single" w:sz="4" w:space="0" w:color="9CC3E5"/>
              <w:bottom w:val="single" w:sz="4" w:space="0" w:color="9CC3E5"/>
              <w:right w:val="single" w:sz="4" w:space="0" w:color="000000"/>
            </w:tcBorders>
            <w:tcMar>
              <w:top w:w="0" w:type="dxa"/>
              <w:left w:w="115" w:type="dxa"/>
              <w:bottom w:w="0" w:type="dxa"/>
              <w:right w:w="115" w:type="dxa"/>
            </w:tcMar>
            <w:hideMark/>
          </w:tcPr>
          <w:p w14:paraId="443882CB" w14:textId="77777777" w:rsidR="00A35DC3" w:rsidRDefault="00A35DC3" w:rsidP="008C0828">
            <w:pPr>
              <w:pStyle w:val="NormalWeb"/>
              <w:spacing w:before="0" w:beforeAutospacing="0" w:after="120" w:afterAutospacing="0"/>
            </w:pPr>
            <w:r>
              <w:rPr>
                <w:rFonts w:ascii="Arial" w:hAnsi="Arial" w:cs="Arial"/>
                <w:color w:val="000000"/>
                <w:sz w:val="18"/>
                <w:szCs w:val="18"/>
              </w:rPr>
              <w:t xml:space="preserve">1. </w:t>
            </w:r>
            <w:proofErr w:type="spellStart"/>
            <w:r>
              <w:rPr>
                <w:rFonts w:ascii="Arial" w:hAnsi="Arial" w:cs="Arial"/>
                <w:color w:val="000000"/>
                <w:sz w:val="18"/>
                <w:szCs w:val="18"/>
              </w:rPr>
              <w:t>Gouvernance</w:t>
            </w:r>
            <w:proofErr w:type="spellEnd"/>
          </w:p>
        </w:tc>
        <w:tc>
          <w:tcPr>
            <w:tcW w:w="0" w:type="auto"/>
            <w:tcBorders>
              <w:top w:val="single" w:sz="4" w:space="0" w:color="FFFFFF"/>
              <w:left w:val="single" w:sz="4" w:space="0" w:color="000000"/>
              <w:bottom w:val="single" w:sz="4" w:space="0" w:color="9CC3E5"/>
              <w:right w:val="single" w:sz="4" w:space="0" w:color="000000"/>
            </w:tcBorders>
            <w:tcMar>
              <w:top w:w="0" w:type="dxa"/>
              <w:left w:w="115" w:type="dxa"/>
              <w:bottom w:w="0" w:type="dxa"/>
              <w:right w:w="115" w:type="dxa"/>
            </w:tcMar>
            <w:hideMark/>
          </w:tcPr>
          <w:p w14:paraId="46FE86EE" w14:textId="77777777" w:rsidR="00A35DC3" w:rsidRDefault="00000000" w:rsidP="008C0828">
            <w:pPr>
              <w:pStyle w:val="NormalWeb"/>
              <w:spacing w:before="0" w:beforeAutospacing="0" w:after="120" w:afterAutospacing="0"/>
            </w:pPr>
            <w:hyperlink r:id="rId43" w:anchor="bookmark=id.17dp8vu" w:history="1">
              <w:r w:rsidR="00A35DC3">
                <w:rPr>
                  <w:rStyle w:val="Lienhypertexte"/>
                  <w:rFonts w:ascii="Arial" w:hAnsi="Arial" w:cs="Arial"/>
                  <w:color w:val="0563C1"/>
                  <w:sz w:val="18"/>
                  <w:szCs w:val="18"/>
                </w:rPr>
                <w:t>G.1</w:t>
              </w:r>
            </w:hyperlink>
          </w:p>
        </w:tc>
        <w:tc>
          <w:tcPr>
            <w:tcW w:w="0" w:type="auto"/>
            <w:tcBorders>
              <w:top w:val="single" w:sz="4" w:space="0" w:color="FFFFFF"/>
              <w:left w:val="single" w:sz="4" w:space="0" w:color="000000"/>
              <w:bottom w:val="single" w:sz="4" w:space="0" w:color="9CC3E5"/>
              <w:right w:val="single" w:sz="4" w:space="0" w:color="000000"/>
            </w:tcBorders>
            <w:tcMar>
              <w:top w:w="0" w:type="dxa"/>
              <w:left w:w="115" w:type="dxa"/>
              <w:bottom w:w="0" w:type="dxa"/>
              <w:right w:w="115" w:type="dxa"/>
            </w:tcMar>
            <w:hideMark/>
          </w:tcPr>
          <w:p w14:paraId="2D8B227E"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4472C4"/>
                <w:sz w:val="18"/>
                <w:szCs w:val="18"/>
                <w:lang w:val="fr-CH"/>
              </w:rPr>
              <w:t>Gouvernance locale des ressources naturelles  </w:t>
            </w:r>
          </w:p>
          <w:p w14:paraId="4DB700E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Nb de structures de gouvernance décisionnaires créées ou renforcées, et fonctionnelles, </w:t>
            </w:r>
            <w:r w:rsidRPr="00A35DC3">
              <w:rPr>
                <w:rFonts w:ascii="Arial" w:hAnsi="Arial" w:cs="Arial"/>
                <w:i/>
                <w:iCs/>
                <w:color w:val="000000"/>
                <w:sz w:val="18"/>
                <w:szCs w:val="18"/>
                <w:lang w:val="fr-CH"/>
              </w:rPr>
              <w:t xml:space="preserve">ventilé par type (CLD, CLG (pour les CFCL), CARG, CPAT, CCPF, CCPA, </w:t>
            </w:r>
            <w:proofErr w:type="spellStart"/>
            <w:r w:rsidRPr="00A35DC3">
              <w:rPr>
                <w:rFonts w:ascii="Arial" w:hAnsi="Arial" w:cs="Arial"/>
                <w:i/>
                <w:iCs/>
                <w:color w:val="000000"/>
                <w:sz w:val="18"/>
                <w:szCs w:val="18"/>
                <w:lang w:val="fr-CH"/>
              </w:rPr>
              <w:t>etc</w:t>
            </w:r>
            <w:proofErr w:type="spellEnd"/>
            <w:r w:rsidRPr="00A35DC3">
              <w:rPr>
                <w:rFonts w:ascii="Arial" w:hAnsi="Arial" w:cs="Arial"/>
                <w:i/>
                <w:iCs/>
                <w:color w:val="000000"/>
                <w:sz w:val="18"/>
                <w:szCs w:val="18"/>
                <w:lang w:val="fr-CH"/>
              </w:rPr>
              <w:t>)</w:t>
            </w:r>
          </w:p>
        </w:tc>
        <w:tc>
          <w:tcPr>
            <w:tcW w:w="0" w:type="auto"/>
            <w:tcBorders>
              <w:top w:val="single" w:sz="4" w:space="0" w:color="FFFFFF"/>
              <w:left w:val="single" w:sz="4" w:space="0" w:color="000000"/>
              <w:bottom w:val="single" w:sz="4" w:space="0" w:color="9CC3E5"/>
              <w:right w:val="single" w:sz="4" w:space="0" w:color="000000"/>
            </w:tcBorders>
            <w:tcMar>
              <w:top w:w="0" w:type="dxa"/>
              <w:left w:w="115" w:type="dxa"/>
              <w:bottom w:w="0" w:type="dxa"/>
              <w:right w:w="115" w:type="dxa"/>
            </w:tcMar>
            <w:hideMark/>
          </w:tcPr>
          <w:p w14:paraId="00AB9D68"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tc>
        <w:tc>
          <w:tcPr>
            <w:tcW w:w="0" w:type="auto"/>
            <w:tcBorders>
              <w:top w:val="single" w:sz="4" w:space="0" w:color="FFFFFF"/>
              <w:left w:val="single" w:sz="4" w:space="0" w:color="000000"/>
              <w:bottom w:val="single" w:sz="4" w:space="0" w:color="9CC3E5"/>
              <w:right w:val="single" w:sz="4" w:space="0" w:color="000000"/>
            </w:tcBorders>
            <w:tcMar>
              <w:top w:w="0" w:type="dxa"/>
              <w:left w:w="115" w:type="dxa"/>
              <w:bottom w:w="0" w:type="dxa"/>
              <w:right w:w="115" w:type="dxa"/>
            </w:tcMar>
            <w:hideMark/>
          </w:tcPr>
          <w:p w14:paraId="52C2445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Géoréférencées</w:t>
            </w:r>
            <w:r w:rsidRPr="00A35DC3">
              <w:rPr>
                <w:rFonts w:ascii="Arial" w:hAnsi="Arial" w:cs="Arial"/>
                <w:color w:val="000000"/>
                <w:sz w:val="16"/>
                <w:szCs w:val="16"/>
                <w:u w:val="single"/>
                <w:lang w:val="fr-CH"/>
              </w:rPr>
              <w:t> </w:t>
            </w:r>
          </w:p>
          <w:p w14:paraId="01C3D7B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u w:val="single"/>
                <w:lang w:val="fr-CH"/>
              </w:rPr>
              <w:t>Qualité</w:t>
            </w:r>
            <w:r w:rsidRPr="00A35DC3">
              <w:rPr>
                <w:rFonts w:ascii="Arial" w:hAnsi="Arial" w:cs="Arial"/>
                <w:color w:val="000000"/>
                <w:sz w:val="16"/>
                <w:szCs w:val="16"/>
                <w:lang w:val="fr-CH"/>
              </w:rPr>
              <w:t> : Régularité des réunions, mandat des comités directeurs, </w:t>
            </w:r>
          </w:p>
          <w:p w14:paraId="5136F87E"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Régularité du suivi par les services techniques (G3, G5) et les projets (G5)</w:t>
            </w:r>
          </w:p>
        </w:tc>
        <w:tc>
          <w:tcPr>
            <w:tcW w:w="0" w:type="auto"/>
            <w:tcBorders>
              <w:top w:val="single" w:sz="4" w:space="0" w:color="FFFFFF"/>
              <w:left w:val="single" w:sz="4" w:space="0" w:color="000000"/>
              <w:bottom w:val="single" w:sz="4" w:space="0" w:color="9CC3E5"/>
              <w:right w:val="single" w:sz="4" w:space="0" w:color="9CC3E5"/>
            </w:tcBorders>
            <w:tcMar>
              <w:top w:w="0" w:type="dxa"/>
              <w:left w:w="115" w:type="dxa"/>
              <w:bottom w:w="0" w:type="dxa"/>
              <w:right w:w="115" w:type="dxa"/>
            </w:tcMar>
            <w:hideMark/>
          </w:tcPr>
          <w:p w14:paraId="44E7ED64" w14:textId="77777777" w:rsidR="00A35DC3" w:rsidRDefault="00A35DC3" w:rsidP="008C0828">
            <w:pPr>
              <w:pStyle w:val="NormalWeb"/>
              <w:spacing w:before="0" w:beforeAutospacing="0" w:after="120" w:afterAutospacing="0"/>
            </w:pPr>
            <w:r>
              <w:rPr>
                <w:rFonts w:ascii="Arial" w:hAnsi="Arial" w:cs="Arial"/>
                <w:color w:val="000000"/>
                <w:sz w:val="16"/>
                <w:szCs w:val="16"/>
              </w:rPr>
              <w:t>Haute importance</w:t>
            </w:r>
          </w:p>
        </w:tc>
      </w:tr>
      <w:tr w:rsidR="00A35DC3" w14:paraId="25838817" w14:textId="77777777" w:rsidTr="00A43673">
        <w:trPr>
          <w:trHeight w:val="20"/>
        </w:trPr>
        <w:tc>
          <w:tcPr>
            <w:tcW w:w="0" w:type="auto"/>
            <w:vMerge/>
            <w:tcBorders>
              <w:top w:val="single" w:sz="4" w:space="0" w:color="FFFFFF"/>
              <w:left w:val="single" w:sz="4" w:space="0" w:color="9CC3E5"/>
              <w:bottom w:val="single" w:sz="4" w:space="0" w:color="9CC3E5"/>
              <w:right w:val="single" w:sz="4" w:space="0" w:color="000000"/>
            </w:tcBorders>
            <w:vAlign w:val="center"/>
            <w:hideMark/>
          </w:tcPr>
          <w:p w14:paraId="3C485ED4"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F6AC7DA" w14:textId="77777777" w:rsidR="00A35DC3" w:rsidRDefault="00000000" w:rsidP="008C0828">
            <w:pPr>
              <w:pStyle w:val="NormalWeb"/>
              <w:spacing w:before="0" w:beforeAutospacing="0" w:after="120" w:afterAutospacing="0"/>
            </w:pPr>
            <w:hyperlink r:id="rId44" w:anchor="bookmark=id.3rdcrjn" w:history="1">
              <w:r w:rsidR="00A35DC3">
                <w:rPr>
                  <w:rStyle w:val="Lienhypertexte"/>
                  <w:rFonts w:ascii="Arial" w:hAnsi="Arial" w:cs="Arial"/>
                  <w:color w:val="0563C1"/>
                  <w:sz w:val="18"/>
                  <w:szCs w:val="18"/>
                </w:rPr>
                <w:t>G.2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E81D20E"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4472C4"/>
                <w:sz w:val="18"/>
                <w:szCs w:val="18"/>
                <w:lang w:val="fr-CH"/>
              </w:rPr>
              <w:t>Gouvernance locale des ressources naturelles </w:t>
            </w:r>
          </w:p>
          <w:p w14:paraId="5564577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Nb de personnes participant activement à ces structures de gouvernance décisionnaires, </w:t>
            </w:r>
            <w:r w:rsidRPr="00A35DC3">
              <w:rPr>
                <w:rFonts w:ascii="Arial" w:hAnsi="Arial" w:cs="Arial"/>
                <w:i/>
                <w:iCs/>
                <w:color w:val="000000"/>
                <w:sz w:val="18"/>
                <w:szCs w:val="18"/>
                <w:lang w:val="fr-CH"/>
              </w:rPr>
              <w:t xml:space="preserve">ventilé par type (CLD, CARG, CCPF, CCPA, </w:t>
            </w:r>
            <w:proofErr w:type="spellStart"/>
            <w:r w:rsidRPr="00A35DC3">
              <w:rPr>
                <w:rFonts w:ascii="Arial" w:hAnsi="Arial" w:cs="Arial"/>
                <w:i/>
                <w:iCs/>
                <w:color w:val="000000"/>
                <w:sz w:val="18"/>
                <w:szCs w:val="18"/>
                <w:lang w:val="fr-CH"/>
              </w:rPr>
              <w:t>etc</w:t>
            </w:r>
            <w:proofErr w:type="spellEnd"/>
            <w:r w:rsidRPr="00A35DC3">
              <w:rPr>
                <w:rFonts w:ascii="Arial" w:hAnsi="Arial" w:cs="Arial"/>
                <w:i/>
                <w:iCs/>
                <w:color w:val="000000"/>
                <w:sz w:val="18"/>
                <w:szCs w:val="18"/>
                <w:lang w:val="fr-CH"/>
              </w:rPr>
              <w:t>), par genre et par groupe vulnérable (PA)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57BB411"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5B7A91E"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Distinguer les personnes des comités directeurs des personnes participant aux assemblées générales (bénéficiaires).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1DFE5E7" w14:textId="77777777" w:rsidR="00A35DC3" w:rsidRDefault="00A35DC3" w:rsidP="008C0828">
            <w:pPr>
              <w:pStyle w:val="NormalWeb"/>
              <w:spacing w:before="0" w:beforeAutospacing="0" w:after="120" w:afterAutospacing="0"/>
            </w:pPr>
            <w:r>
              <w:rPr>
                <w:rFonts w:ascii="Arial" w:hAnsi="Arial" w:cs="Arial"/>
                <w:color w:val="000000"/>
                <w:sz w:val="16"/>
                <w:szCs w:val="16"/>
              </w:rPr>
              <w:t>Haute importance</w:t>
            </w:r>
          </w:p>
        </w:tc>
      </w:tr>
      <w:tr w:rsidR="00A35DC3" w14:paraId="13D55EEF" w14:textId="77777777" w:rsidTr="00A43673">
        <w:trPr>
          <w:trHeight w:val="20"/>
        </w:trPr>
        <w:tc>
          <w:tcPr>
            <w:tcW w:w="0" w:type="auto"/>
            <w:vMerge/>
            <w:tcBorders>
              <w:top w:val="single" w:sz="4" w:space="0" w:color="FFFFFF"/>
              <w:left w:val="single" w:sz="4" w:space="0" w:color="9CC3E5"/>
              <w:bottom w:val="single" w:sz="4" w:space="0" w:color="9CC3E5"/>
              <w:right w:val="single" w:sz="4" w:space="0" w:color="000000"/>
            </w:tcBorders>
            <w:vAlign w:val="center"/>
            <w:hideMark/>
          </w:tcPr>
          <w:p w14:paraId="4208A489"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09CEEDD" w14:textId="77777777" w:rsidR="00A35DC3" w:rsidRDefault="00000000" w:rsidP="008C0828">
            <w:pPr>
              <w:pStyle w:val="NormalWeb"/>
              <w:spacing w:before="0" w:beforeAutospacing="0" w:after="120" w:afterAutospacing="0"/>
            </w:pPr>
            <w:hyperlink r:id="rId45" w:anchor="bookmark=id.26in1rg" w:history="1">
              <w:r w:rsidR="00A35DC3">
                <w:rPr>
                  <w:rStyle w:val="Lienhypertexte"/>
                  <w:rFonts w:ascii="Arial" w:hAnsi="Arial" w:cs="Arial"/>
                  <w:color w:val="0563C1"/>
                  <w:sz w:val="18"/>
                  <w:szCs w:val="18"/>
                </w:rPr>
                <w:t>G.3</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F847EF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4472C4"/>
                <w:sz w:val="18"/>
                <w:szCs w:val="18"/>
                <w:lang w:val="fr-CH"/>
              </w:rPr>
              <w:t>Gouvernance locale </w:t>
            </w:r>
          </w:p>
          <w:p w14:paraId="19085634" w14:textId="77777777" w:rsidR="00A35DC3" w:rsidRDefault="00A35DC3" w:rsidP="008C0828">
            <w:pPr>
              <w:spacing w:after="120"/>
            </w:pPr>
          </w:p>
          <w:p w14:paraId="6FDFB57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 de services techniques partenaires </w:t>
            </w:r>
            <w:r w:rsidRPr="00A35DC3">
              <w:rPr>
                <w:rFonts w:ascii="Arial" w:hAnsi="Arial" w:cs="Arial"/>
                <w:color w:val="000000"/>
                <w:sz w:val="18"/>
                <w:szCs w:val="18"/>
                <w:u w:val="single"/>
                <w:lang w:val="fr-CH"/>
              </w:rPr>
              <w:t>formels</w:t>
            </w:r>
            <w:r w:rsidRPr="00A35DC3">
              <w:rPr>
                <w:rFonts w:ascii="Arial" w:hAnsi="Arial" w:cs="Arial"/>
                <w:color w:val="000000"/>
                <w:sz w:val="18"/>
                <w:szCs w:val="18"/>
                <w:lang w:val="fr-CH"/>
              </w:rPr>
              <w:t xml:space="preserve"> du projet, en distinguant le pourcentage de ces services techniques avec qui sont passés des contrats de performance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441BFB7"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964CAE4"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 xml:space="preserve">Min. Développement Rural pour les CLD, Agriculture pour les CARG et les CCPA, AT pour les CPAT, MEDD pour les CCPF, </w:t>
            </w:r>
            <w:proofErr w:type="spellStart"/>
            <w:r w:rsidRPr="00A35DC3">
              <w:rPr>
                <w:rFonts w:ascii="Arial" w:hAnsi="Arial" w:cs="Arial"/>
                <w:color w:val="000000"/>
                <w:sz w:val="16"/>
                <w:szCs w:val="16"/>
                <w:lang w:val="fr-CH"/>
              </w:rPr>
              <w:t>etc</w:t>
            </w:r>
            <w:proofErr w:type="spellEnd"/>
          </w:p>
          <w:p w14:paraId="4AC84699"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 xml:space="preserve">Evalués annuellement par le porteur de projet, les conseils (CLD, CFCL, CCPF, CCPA, </w:t>
            </w:r>
            <w:proofErr w:type="spellStart"/>
            <w:r w:rsidRPr="00A35DC3">
              <w:rPr>
                <w:rFonts w:ascii="Arial" w:hAnsi="Arial" w:cs="Arial"/>
                <w:color w:val="000000"/>
                <w:sz w:val="16"/>
                <w:szCs w:val="16"/>
                <w:lang w:val="fr-CH"/>
              </w:rPr>
              <w:t>etc</w:t>
            </w:r>
            <w:proofErr w:type="spellEnd"/>
            <w:r w:rsidRPr="00A35DC3">
              <w:rPr>
                <w:rFonts w:ascii="Arial" w:hAnsi="Arial" w:cs="Arial"/>
                <w:color w:val="000000"/>
                <w:sz w:val="16"/>
                <w:szCs w:val="16"/>
                <w:lang w:val="fr-CH"/>
              </w:rPr>
              <w:t>), les services techniques et le COPIL</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0493726" w14:textId="77777777" w:rsidR="00A35DC3" w:rsidRDefault="00A35DC3" w:rsidP="008C0828">
            <w:pPr>
              <w:pStyle w:val="NormalWeb"/>
              <w:spacing w:before="0" w:beforeAutospacing="0" w:after="120" w:afterAutospacing="0"/>
            </w:pPr>
            <w:r>
              <w:rPr>
                <w:rFonts w:ascii="Arial" w:hAnsi="Arial" w:cs="Arial"/>
                <w:color w:val="000000"/>
                <w:sz w:val="16"/>
                <w:szCs w:val="16"/>
              </w:rPr>
              <w:t>Haute importance</w:t>
            </w:r>
          </w:p>
        </w:tc>
      </w:tr>
      <w:tr w:rsidR="00A35DC3" w14:paraId="6C6B9413" w14:textId="77777777" w:rsidTr="00A43673">
        <w:trPr>
          <w:trHeight w:val="20"/>
        </w:trPr>
        <w:tc>
          <w:tcPr>
            <w:tcW w:w="0" w:type="auto"/>
            <w:vMerge/>
            <w:tcBorders>
              <w:top w:val="single" w:sz="4" w:space="0" w:color="FFFFFF"/>
              <w:left w:val="single" w:sz="4" w:space="0" w:color="9CC3E5"/>
              <w:bottom w:val="single" w:sz="4" w:space="0" w:color="9CC3E5"/>
              <w:right w:val="single" w:sz="4" w:space="0" w:color="000000"/>
            </w:tcBorders>
            <w:vAlign w:val="center"/>
            <w:hideMark/>
          </w:tcPr>
          <w:p w14:paraId="7BA7BE27"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D36E9BD" w14:textId="77777777" w:rsidR="00A35DC3" w:rsidRDefault="00000000" w:rsidP="008C0828">
            <w:pPr>
              <w:pStyle w:val="NormalWeb"/>
              <w:spacing w:before="0" w:beforeAutospacing="0" w:after="120" w:afterAutospacing="0"/>
            </w:pPr>
            <w:hyperlink r:id="rId46" w:anchor="bookmark=id.lnxbz9" w:history="1">
              <w:r w:rsidR="00A35DC3">
                <w:rPr>
                  <w:rStyle w:val="Lienhypertexte"/>
                  <w:rFonts w:ascii="Arial" w:hAnsi="Arial" w:cs="Arial"/>
                  <w:color w:val="0563C1"/>
                  <w:sz w:val="18"/>
                  <w:szCs w:val="18"/>
                </w:rPr>
                <w:t>G.4</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EB1E89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4472C4"/>
                <w:sz w:val="18"/>
                <w:szCs w:val="18"/>
                <w:lang w:val="fr-CH"/>
              </w:rPr>
              <w:t>Gouvernance locale des ressources naturelles </w:t>
            </w:r>
          </w:p>
          <w:p w14:paraId="3A34456A"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 de services techniques équipés et opérationnels, </w:t>
            </w:r>
            <w:r w:rsidRPr="00A35DC3">
              <w:rPr>
                <w:rFonts w:ascii="Arial" w:hAnsi="Arial" w:cs="Arial"/>
                <w:i/>
                <w:iCs/>
                <w:color w:val="000000"/>
                <w:sz w:val="18"/>
                <w:szCs w:val="18"/>
                <w:lang w:val="fr-CH"/>
              </w:rPr>
              <w:t>ventilé par type : </w:t>
            </w:r>
          </w:p>
          <w:p w14:paraId="0257D0A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i/>
                <w:iCs/>
                <w:color w:val="000000"/>
                <w:sz w:val="18"/>
                <w:szCs w:val="18"/>
                <w:lang w:val="fr-CH"/>
              </w:rPr>
              <w:t xml:space="preserve">a) Brigades Foncières équipées et formées, cadastre en place, suivi des registres, </w:t>
            </w:r>
            <w:proofErr w:type="spellStart"/>
            <w:r w:rsidRPr="00A35DC3">
              <w:rPr>
                <w:rFonts w:ascii="Arial" w:hAnsi="Arial" w:cs="Arial"/>
                <w:i/>
                <w:iCs/>
                <w:color w:val="000000"/>
                <w:sz w:val="18"/>
                <w:szCs w:val="18"/>
                <w:lang w:val="fr-CH"/>
              </w:rPr>
              <w:t>etc</w:t>
            </w:r>
            <w:proofErr w:type="spellEnd"/>
          </w:p>
          <w:p w14:paraId="7DEC1B4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i/>
                <w:iCs/>
                <w:color w:val="000000"/>
                <w:sz w:val="18"/>
                <w:szCs w:val="18"/>
                <w:lang w:val="fr-CH"/>
              </w:rPr>
              <w:t xml:space="preserve">b) Services AT provinciaux et de territoire équipés et formés (SIG, </w:t>
            </w:r>
            <w:proofErr w:type="spellStart"/>
            <w:r w:rsidRPr="00A35DC3">
              <w:rPr>
                <w:rFonts w:ascii="Arial" w:hAnsi="Arial" w:cs="Arial"/>
                <w:i/>
                <w:iCs/>
                <w:color w:val="000000"/>
                <w:sz w:val="18"/>
                <w:szCs w:val="18"/>
                <w:lang w:val="fr-CH"/>
              </w:rPr>
              <w:t>etc</w:t>
            </w:r>
            <w:proofErr w:type="spellEnd"/>
            <w:r w:rsidRPr="00A35DC3">
              <w:rPr>
                <w:rFonts w:ascii="Arial" w:hAnsi="Arial" w:cs="Arial"/>
                <w:i/>
                <w:iCs/>
                <w:color w:val="000000"/>
                <w:sz w:val="18"/>
                <w:szCs w:val="18"/>
                <w:lang w:val="fr-CH"/>
              </w:rPr>
              <w:t>)</w:t>
            </w:r>
          </w:p>
          <w:p w14:paraId="65E0AFF1" w14:textId="77777777" w:rsidR="00A35DC3" w:rsidRPr="00A35DC3" w:rsidRDefault="00A35DC3" w:rsidP="008C0828">
            <w:pPr>
              <w:pStyle w:val="NormalWeb"/>
              <w:spacing w:before="0" w:beforeAutospacing="0" w:after="120" w:afterAutospacing="0"/>
              <w:rPr>
                <w:lang w:val="fr-CH"/>
              </w:rPr>
            </w:pPr>
            <w:r w:rsidRPr="00A35DC3">
              <w:rPr>
                <w:rFonts w:ascii="Arial" w:hAnsi="Arial" w:cs="Arial"/>
                <w:i/>
                <w:iCs/>
                <w:color w:val="000000"/>
                <w:sz w:val="18"/>
                <w:szCs w:val="18"/>
                <w:lang w:val="fr-CH"/>
              </w:rPr>
              <w:t>c) Services Agriculture provinciaux, de Territoire et de Secteur équipés et formés</w:t>
            </w:r>
          </w:p>
          <w:p w14:paraId="77CAA64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i/>
                <w:iCs/>
                <w:color w:val="000000"/>
                <w:sz w:val="18"/>
                <w:szCs w:val="18"/>
                <w:lang w:val="fr-CH"/>
              </w:rPr>
              <w:lastRenderedPageBreak/>
              <w:t>d) Services de l’Environnement</w:t>
            </w:r>
          </w:p>
          <w:p w14:paraId="34593FE4" w14:textId="77777777" w:rsidR="00A35DC3" w:rsidRPr="00A35DC3" w:rsidRDefault="00A35DC3" w:rsidP="008C0828">
            <w:pPr>
              <w:pStyle w:val="NormalWeb"/>
              <w:spacing w:before="0" w:beforeAutospacing="0" w:after="120" w:afterAutospacing="0"/>
              <w:rPr>
                <w:lang w:val="fr-CH"/>
              </w:rPr>
            </w:pPr>
            <w:r w:rsidRPr="00A35DC3">
              <w:rPr>
                <w:rFonts w:ascii="Arial" w:hAnsi="Arial" w:cs="Arial"/>
                <w:i/>
                <w:iCs/>
                <w:color w:val="000000"/>
                <w:sz w:val="18"/>
                <w:szCs w:val="18"/>
                <w:lang w:val="fr-CH"/>
              </w:rPr>
              <w:t>e) Services du développement rural</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EF4E8DD" w14:textId="77777777" w:rsidR="00A35DC3" w:rsidRDefault="00A35DC3" w:rsidP="008C0828">
            <w:pPr>
              <w:pStyle w:val="NormalWeb"/>
              <w:spacing w:before="0" w:beforeAutospacing="0" w:after="120" w:afterAutospacing="0"/>
            </w:pPr>
            <w:r>
              <w:rPr>
                <w:rFonts w:ascii="Arial" w:hAnsi="Arial" w:cs="Arial"/>
                <w:color w:val="000000"/>
                <w:sz w:val="18"/>
                <w:szCs w:val="18"/>
              </w:rPr>
              <w:lastRenderedPageBreak/>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4965AB9"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Programmation dans les contrats de performance</w:t>
            </w:r>
          </w:p>
          <w:p w14:paraId="47234F63" w14:textId="77777777" w:rsidR="00A35DC3" w:rsidRDefault="00A35DC3" w:rsidP="008C0828">
            <w:pPr>
              <w:pStyle w:val="NormalWeb"/>
              <w:spacing w:before="0" w:beforeAutospacing="0" w:after="120" w:afterAutospacing="0"/>
            </w:pPr>
            <w:r>
              <w:rPr>
                <w:rFonts w:ascii="Arial" w:hAnsi="Arial" w:cs="Arial"/>
                <w:color w:val="000000"/>
                <w:sz w:val="16"/>
                <w:szCs w:val="16"/>
              </w:rPr>
              <w:t xml:space="preserve">Evaluation </w:t>
            </w:r>
            <w:proofErr w:type="spellStart"/>
            <w:r>
              <w:rPr>
                <w:rFonts w:ascii="Arial" w:hAnsi="Arial" w:cs="Arial"/>
                <w:color w:val="000000"/>
                <w:sz w:val="16"/>
                <w:szCs w:val="16"/>
              </w:rPr>
              <w:t>annuelle</w:t>
            </w:r>
            <w:proofErr w:type="spellEnd"/>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0A95D43" w14:textId="77777777" w:rsidR="00A35DC3" w:rsidRDefault="00A35DC3" w:rsidP="008C0828">
            <w:pPr>
              <w:pStyle w:val="NormalWeb"/>
              <w:spacing w:before="0" w:beforeAutospacing="0" w:after="120" w:afterAutospacing="0"/>
            </w:pPr>
            <w:r>
              <w:rPr>
                <w:rFonts w:ascii="Arial" w:hAnsi="Arial" w:cs="Arial"/>
                <w:color w:val="000000"/>
                <w:sz w:val="16"/>
                <w:szCs w:val="16"/>
              </w:rPr>
              <w:t>Haute importance</w:t>
            </w:r>
          </w:p>
        </w:tc>
      </w:tr>
      <w:tr w:rsidR="00A35DC3" w14:paraId="20C9CB25" w14:textId="77777777" w:rsidTr="00A43673">
        <w:trPr>
          <w:trHeight w:val="20"/>
        </w:trPr>
        <w:tc>
          <w:tcPr>
            <w:tcW w:w="0" w:type="auto"/>
            <w:vMerge/>
            <w:tcBorders>
              <w:top w:val="single" w:sz="4" w:space="0" w:color="FFFFFF"/>
              <w:left w:val="single" w:sz="4" w:space="0" w:color="9CC3E5"/>
              <w:bottom w:val="single" w:sz="4" w:space="0" w:color="9CC3E5"/>
              <w:right w:val="single" w:sz="4" w:space="0" w:color="000000"/>
            </w:tcBorders>
            <w:vAlign w:val="center"/>
            <w:hideMark/>
          </w:tcPr>
          <w:p w14:paraId="761C9AB4"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267EAB2" w14:textId="77777777" w:rsidR="00A35DC3" w:rsidRDefault="00000000" w:rsidP="008C0828">
            <w:pPr>
              <w:pStyle w:val="NormalWeb"/>
              <w:spacing w:before="0" w:beforeAutospacing="0" w:after="120" w:afterAutospacing="0"/>
            </w:pPr>
            <w:hyperlink r:id="rId47" w:anchor="bookmark=id.35nkun2" w:history="1">
              <w:r w:rsidR="00A35DC3">
                <w:rPr>
                  <w:rStyle w:val="Lienhypertexte"/>
                  <w:rFonts w:ascii="Arial" w:hAnsi="Arial" w:cs="Arial"/>
                  <w:color w:val="0563C1"/>
                  <w:sz w:val="18"/>
                  <w:szCs w:val="18"/>
                </w:rPr>
                <w:t>G.5</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7A3798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4472C4"/>
                <w:sz w:val="18"/>
                <w:szCs w:val="18"/>
                <w:lang w:val="fr-CH"/>
              </w:rPr>
              <w:t>Gouvernance du projet </w:t>
            </w:r>
          </w:p>
          <w:p w14:paraId="4579A86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 de visites de suivi réalisées par les agents du projet qui font l’objet de rapports formels transmis, </w:t>
            </w:r>
            <w:r w:rsidRPr="00A35DC3">
              <w:rPr>
                <w:rFonts w:ascii="Arial" w:hAnsi="Arial" w:cs="Arial"/>
                <w:i/>
                <w:iCs/>
                <w:color w:val="000000"/>
                <w:sz w:val="18"/>
                <w:szCs w:val="18"/>
                <w:lang w:val="fr-CH"/>
              </w:rPr>
              <w:t>ventilé par type (Agence, ALE, services techniques par type)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73E3D06"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9B80591"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3BA653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Cet indicateur peut alternativement faire partie d’une évaluation externe conjointe visant à mesurer l’appropriation par les agents du projet, notamment les services techniques </w:t>
            </w:r>
          </w:p>
        </w:tc>
      </w:tr>
      <w:tr w:rsidR="00A35DC3" w14:paraId="00A5143B" w14:textId="77777777" w:rsidTr="00A43673">
        <w:trPr>
          <w:trHeight w:val="20"/>
        </w:trPr>
        <w:tc>
          <w:tcPr>
            <w:tcW w:w="0" w:type="auto"/>
            <w:vMerge/>
            <w:tcBorders>
              <w:top w:val="single" w:sz="4" w:space="0" w:color="FFFFFF"/>
              <w:left w:val="single" w:sz="4" w:space="0" w:color="9CC3E5"/>
              <w:bottom w:val="single" w:sz="4" w:space="0" w:color="9CC3E5"/>
              <w:right w:val="single" w:sz="4" w:space="0" w:color="000000"/>
            </w:tcBorders>
            <w:vAlign w:val="center"/>
            <w:hideMark/>
          </w:tcPr>
          <w:p w14:paraId="78830DF3"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6BB165E" w14:textId="77777777" w:rsidR="00A35DC3" w:rsidRDefault="00000000" w:rsidP="008C0828">
            <w:pPr>
              <w:pStyle w:val="NormalWeb"/>
              <w:spacing w:before="0" w:beforeAutospacing="0" w:after="120" w:afterAutospacing="0"/>
            </w:pPr>
            <w:hyperlink r:id="rId48" w:anchor="bookmark=id.1ksv4uv" w:history="1">
              <w:r w:rsidR="00A35DC3">
                <w:rPr>
                  <w:rStyle w:val="Lienhypertexte"/>
                  <w:rFonts w:ascii="Arial" w:hAnsi="Arial" w:cs="Arial"/>
                  <w:color w:val="0563C1"/>
                  <w:sz w:val="18"/>
                  <w:szCs w:val="18"/>
                </w:rPr>
                <w:t>G.6</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255EDFC"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4472C4"/>
                <w:sz w:val="18"/>
                <w:szCs w:val="18"/>
                <w:lang w:val="fr-CH"/>
              </w:rPr>
              <w:t>Gouvernance du projet </w:t>
            </w:r>
          </w:p>
          <w:p w14:paraId="1597D49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de réunions du COPIL de projet organisés et préparés de manière adéquate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CC33184"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74F898A"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u w:val="single"/>
                <w:lang w:val="fr-CH"/>
              </w:rPr>
              <w:t>Critères de qualité</w:t>
            </w:r>
            <w:r w:rsidRPr="00A35DC3">
              <w:rPr>
                <w:rFonts w:ascii="Arial" w:hAnsi="Arial" w:cs="Arial"/>
                <w:color w:val="000000"/>
                <w:sz w:val="16"/>
                <w:szCs w:val="16"/>
                <w:lang w:val="fr-CH"/>
              </w:rPr>
              <w:t> : Régularité (au moins 2 fois par an) ; Notification de toutes les parties prenantes : envoi des documents au moins 2 semaines à l’avance ; représentation des parties prenantes conforme à la composition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715C653F" w14:textId="77777777" w:rsidR="00A35DC3" w:rsidRDefault="00A35DC3" w:rsidP="008C0828">
            <w:pPr>
              <w:pStyle w:val="NormalWeb"/>
              <w:spacing w:before="0" w:beforeAutospacing="0" w:after="120" w:afterAutospacing="0"/>
            </w:pPr>
            <w:r>
              <w:rPr>
                <w:rFonts w:ascii="Arial" w:hAnsi="Arial" w:cs="Arial"/>
                <w:color w:val="000000"/>
                <w:sz w:val="16"/>
                <w:szCs w:val="16"/>
                <w:u w:val="single"/>
              </w:rPr>
              <w:t>Haute importance</w:t>
            </w:r>
          </w:p>
        </w:tc>
      </w:tr>
      <w:tr w:rsidR="00A35DC3" w14:paraId="1B049190" w14:textId="77777777" w:rsidTr="00A43673">
        <w:trPr>
          <w:trHeight w:val="20"/>
        </w:trPr>
        <w:tc>
          <w:tcPr>
            <w:tcW w:w="0" w:type="auto"/>
            <w:vMerge/>
            <w:tcBorders>
              <w:top w:val="single" w:sz="4" w:space="0" w:color="FFFFFF"/>
              <w:left w:val="single" w:sz="4" w:space="0" w:color="9CC3E5"/>
              <w:bottom w:val="single" w:sz="4" w:space="0" w:color="9CC3E5"/>
              <w:right w:val="single" w:sz="4" w:space="0" w:color="000000"/>
            </w:tcBorders>
            <w:vAlign w:val="center"/>
            <w:hideMark/>
          </w:tcPr>
          <w:p w14:paraId="5805D61A"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2F385E6" w14:textId="77777777" w:rsidR="00A35DC3" w:rsidRDefault="00000000" w:rsidP="008C0828">
            <w:pPr>
              <w:pStyle w:val="NormalWeb"/>
              <w:spacing w:before="0" w:beforeAutospacing="0" w:after="120" w:afterAutospacing="0"/>
            </w:pPr>
            <w:hyperlink r:id="rId49" w:anchor="bookmark=id.44sinio" w:history="1">
              <w:r w:rsidR="00A35DC3">
                <w:rPr>
                  <w:rStyle w:val="Lienhypertexte"/>
                  <w:rFonts w:ascii="Arial" w:hAnsi="Arial" w:cs="Arial"/>
                  <w:color w:val="0563C1"/>
                  <w:sz w:val="18"/>
                  <w:szCs w:val="18"/>
                </w:rPr>
                <w:t>G.7</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364C7C9"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4472C4"/>
                <w:sz w:val="18"/>
                <w:szCs w:val="18"/>
                <w:lang w:val="fr-CH"/>
              </w:rPr>
              <w:t>Gouvernance du projet </w:t>
            </w:r>
          </w:p>
          <w:p w14:paraId="4C512DF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de réunions du Comité de gestion de projet (FONAREDD, CAFI, organisation de mise en œuvre) organisés et préparés de manière adéquate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15DC65B"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58F788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u w:val="single"/>
                <w:lang w:val="fr-CH"/>
              </w:rPr>
              <w:t>Critères de qualité</w:t>
            </w:r>
            <w:r w:rsidRPr="00A35DC3">
              <w:rPr>
                <w:rFonts w:ascii="Arial" w:hAnsi="Arial" w:cs="Arial"/>
                <w:color w:val="000000"/>
                <w:sz w:val="16"/>
                <w:szCs w:val="16"/>
                <w:lang w:val="fr-CH"/>
              </w:rPr>
              <w:t>: Régularité (au moins 2 fois par an) ; Notification de toutes les parties prenantes : envoi des documents au moins 2 semaines à l’avance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C0FF3B0"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Si ce comité est mandaté par une décision du Conseil d'administration de CAFI, ou du FONAREDD</w:t>
            </w:r>
          </w:p>
        </w:tc>
      </w:tr>
      <w:tr w:rsidR="00A35DC3" w14:paraId="448C9012" w14:textId="77777777" w:rsidTr="00A4367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19510700" w14:textId="77777777" w:rsidR="00A35DC3" w:rsidRDefault="00A35DC3" w:rsidP="008C0828">
            <w:pPr>
              <w:pStyle w:val="NormalWeb"/>
              <w:spacing w:before="0" w:beforeAutospacing="0" w:after="120" w:afterAutospacing="0"/>
            </w:pPr>
            <w:r>
              <w:rPr>
                <w:rFonts w:ascii="Arial" w:hAnsi="Arial" w:cs="Arial"/>
                <w:color w:val="000000"/>
                <w:sz w:val="18"/>
                <w:szCs w:val="18"/>
              </w:rPr>
              <w:t xml:space="preserve">2. </w:t>
            </w:r>
            <w:proofErr w:type="spellStart"/>
            <w:r>
              <w:rPr>
                <w:rFonts w:ascii="Arial" w:hAnsi="Arial" w:cs="Arial"/>
                <w:color w:val="000000"/>
                <w:sz w:val="18"/>
                <w:szCs w:val="18"/>
              </w:rPr>
              <w:t>Aménagement</w:t>
            </w:r>
            <w:proofErr w:type="spellEnd"/>
            <w:r>
              <w:rPr>
                <w:rFonts w:ascii="Arial" w:hAnsi="Arial" w:cs="Arial"/>
                <w:color w:val="000000"/>
                <w:sz w:val="18"/>
                <w:szCs w:val="18"/>
              </w:rPr>
              <w:t xml:space="preserve"> du </w:t>
            </w:r>
            <w:proofErr w:type="spellStart"/>
            <w:r>
              <w:rPr>
                <w:rFonts w:ascii="Arial" w:hAnsi="Arial" w:cs="Arial"/>
                <w:color w:val="000000"/>
                <w:sz w:val="18"/>
                <w:szCs w:val="18"/>
              </w:rPr>
              <w:t>Territoire</w:t>
            </w:r>
            <w:proofErr w:type="spellEnd"/>
            <w:r>
              <w:rPr>
                <w:rFonts w:ascii="Arial" w:hAnsi="Arial" w:cs="Arial"/>
                <w:color w:val="000000"/>
                <w:sz w:val="18"/>
                <w:szCs w:val="18"/>
              </w:rPr>
              <w:t xml:space="preserve"> (AT)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4863BA1" w14:textId="77777777" w:rsidR="00A35DC3" w:rsidRDefault="00000000" w:rsidP="008C0828">
            <w:pPr>
              <w:pStyle w:val="NormalWeb"/>
              <w:spacing w:before="0" w:beforeAutospacing="0" w:after="120" w:afterAutospacing="0"/>
            </w:pPr>
            <w:hyperlink r:id="rId50" w:anchor="bookmark=id.z337ya" w:history="1">
              <w:r w:rsidR="00A35DC3">
                <w:rPr>
                  <w:rStyle w:val="Lienhypertexte"/>
                  <w:rFonts w:ascii="Arial" w:hAnsi="Arial" w:cs="Arial"/>
                  <w:color w:val="0563C1"/>
                  <w:sz w:val="18"/>
                  <w:szCs w:val="18"/>
                </w:rPr>
                <w:t>AT.1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CAA64E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 de plans d’AT et de Gestion des Ressources Naturelles (a) élaborés et (b) validés ou non, </w:t>
            </w:r>
            <w:r w:rsidRPr="00A35DC3">
              <w:rPr>
                <w:rFonts w:ascii="Arial" w:hAnsi="Arial" w:cs="Arial"/>
                <w:i/>
                <w:iCs/>
                <w:color w:val="000000"/>
                <w:sz w:val="18"/>
                <w:szCs w:val="18"/>
                <w:lang w:val="fr-CH"/>
              </w:rPr>
              <w:t>ventilé par type d’échelon administratif (province, groupement/secteurs administratifs, territoires, terroirs)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FEDF4D1"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6D5DC4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Géoréférencés (intégrant les diverses classes d’occupation du sol et d’affectations)</w:t>
            </w:r>
          </w:p>
          <w:p w14:paraId="25706E6E"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Indiquer ceux élaborés, et parmi ceux-ci, lesquels sont validés par les autorités.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6549353F" w14:textId="77777777" w:rsidR="00A35DC3" w:rsidRDefault="00A35DC3" w:rsidP="008C0828">
            <w:pPr>
              <w:spacing w:after="120"/>
            </w:pPr>
          </w:p>
        </w:tc>
      </w:tr>
      <w:tr w:rsidR="00A35DC3" w14:paraId="6FFF5212"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5F7FE8BD"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9109192" w14:textId="77777777" w:rsidR="00A35DC3" w:rsidRDefault="00000000" w:rsidP="008C0828">
            <w:pPr>
              <w:pStyle w:val="NormalWeb"/>
              <w:spacing w:before="0" w:beforeAutospacing="0" w:after="120" w:afterAutospacing="0"/>
            </w:pPr>
            <w:hyperlink r:id="rId51" w:anchor="bookmark=id.3j2qqm3" w:history="1">
              <w:r w:rsidR="00A35DC3">
                <w:rPr>
                  <w:rStyle w:val="Lienhypertexte"/>
                  <w:rFonts w:ascii="Arial" w:hAnsi="Arial" w:cs="Arial"/>
                  <w:color w:val="0563C1"/>
                  <w:sz w:val="18"/>
                  <w:szCs w:val="18"/>
                </w:rPr>
                <w:t>AT.2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BAD71F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Superficies (ha) sous plans d’Aménagement du Territoire : i) élaborés ii) soumis iii) validés, </w:t>
            </w:r>
            <w:r w:rsidRPr="00A35DC3">
              <w:rPr>
                <w:rFonts w:ascii="Arial" w:hAnsi="Arial" w:cs="Arial"/>
                <w:i/>
                <w:iCs/>
                <w:color w:val="000000"/>
                <w:sz w:val="18"/>
                <w:szCs w:val="18"/>
                <w:lang w:val="fr-CH"/>
              </w:rPr>
              <w:t>ventilé par type d’échelon administratif : province, groupement/secteurs administratifs, territoires, terroirs)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7FB02F3"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3AD10C7" w14:textId="77777777" w:rsidR="00A35DC3" w:rsidRDefault="00A35DC3" w:rsidP="008C0828">
            <w:pPr>
              <w:pStyle w:val="NormalWeb"/>
              <w:spacing w:before="0" w:beforeAutospacing="0" w:after="120" w:afterAutospacing="0"/>
            </w:pPr>
            <w:proofErr w:type="spellStart"/>
            <w:r>
              <w:rPr>
                <w:rFonts w:ascii="Arial" w:hAnsi="Arial" w:cs="Arial"/>
                <w:color w:val="000000"/>
                <w:sz w:val="16"/>
                <w:szCs w:val="16"/>
              </w:rPr>
              <w:t>Géoréférencé</w:t>
            </w:r>
            <w:proofErr w:type="spellEnd"/>
            <w:r>
              <w:rPr>
                <w:rFonts w:ascii="Arial" w:hAnsi="Arial" w:cs="Arial"/>
                <w:color w:val="000000"/>
                <w:sz w:val="16"/>
                <w:szCs w:val="16"/>
              </w:rPr>
              <w:t> </w:t>
            </w:r>
          </w:p>
          <w:p w14:paraId="4169565E" w14:textId="77777777" w:rsidR="00A35DC3" w:rsidRDefault="00A35DC3" w:rsidP="008C0828">
            <w:pPr>
              <w:pStyle w:val="NormalWeb"/>
              <w:spacing w:before="0" w:beforeAutospacing="0" w:after="120" w:afterAutospacing="0"/>
            </w:pPr>
            <w:r>
              <w:rPr>
                <w:rFonts w:ascii="Arial" w:hAnsi="Arial" w:cs="Arial"/>
                <w:color w:val="000000"/>
                <w:sz w:val="16"/>
                <w:szCs w:val="16"/>
              </w:rPr>
              <w:t>PSAT/PGRN, PLD,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123373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u w:val="single"/>
                <w:lang w:val="fr-CH"/>
              </w:rPr>
              <w:t>Haute importance</w:t>
            </w:r>
          </w:p>
          <w:p w14:paraId="3F09A4A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5575EC4D"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30FC5DF2"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CACEBD9" w14:textId="77777777" w:rsidR="00A35DC3" w:rsidRDefault="00000000" w:rsidP="008C0828">
            <w:pPr>
              <w:pStyle w:val="NormalWeb"/>
              <w:spacing w:before="0" w:beforeAutospacing="0" w:after="120" w:afterAutospacing="0"/>
            </w:pPr>
            <w:hyperlink r:id="rId52" w:anchor="bookmark=id.1y810tw" w:history="1">
              <w:r w:rsidR="00A35DC3">
                <w:rPr>
                  <w:rStyle w:val="Lienhypertexte"/>
                  <w:rFonts w:ascii="Arial" w:hAnsi="Arial" w:cs="Arial"/>
                  <w:color w:val="0563C1"/>
                  <w:sz w:val="18"/>
                  <w:szCs w:val="18"/>
                </w:rPr>
                <w:t>AT.3</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0E0C2F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Superficies  a) par catégorie d’occupation des sols (ha) sous les plans d’AT et b) par affectation des terres (ha) prévues par les Plan d’AT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9A557F9"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72CD33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 </w:t>
            </w:r>
          </w:p>
          <w:p w14:paraId="6DB06E4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u w:val="single"/>
                <w:lang w:val="fr-CH"/>
              </w:rPr>
              <w:t>Occupation du sol</w:t>
            </w:r>
            <w:r w:rsidRPr="00A35DC3">
              <w:rPr>
                <w:rFonts w:ascii="Arial" w:hAnsi="Arial" w:cs="Arial"/>
                <w:color w:val="000000"/>
                <w:sz w:val="16"/>
                <w:szCs w:val="16"/>
                <w:lang w:val="fr-CH"/>
              </w:rPr>
              <w:t xml:space="preserve"> : Forêts (dont forêts inondées, </w:t>
            </w:r>
            <w:proofErr w:type="spellStart"/>
            <w:r w:rsidRPr="00A35DC3">
              <w:rPr>
                <w:rFonts w:ascii="Arial" w:hAnsi="Arial" w:cs="Arial"/>
                <w:color w:val="000000"/>
                <w:sz w:val="16"/>
                <w:szCs w:val="16"/>
                <w:lang w:val="fr-CH"/>
              </w:rPr>
              <w:t>etc</w:t>
            </w:r>
            <w:proofErr w:type="spellEnd"/>
            <w:r w:rsidRPr="00A35DC3">
              <w:rPr>
                <w:rFonts w:ascii="Arial" w:hAnsi="Arial" w:cs="Arial"/>
                <w:color w:val="000000"/>
                <w:sz w:val="16"/>
                <w:szCs w:val="16"/>
                <w:lang w:val="fr-CH"/>
              </w:rPr>
              <w:t>) ; Savanes ; Forêts de grande valeur et tourbières ; Complexe rural ; </w:t>
            </w:r>
          </w:p>
          <w:p w14:paraId="2484611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u w:val="single"/>
                <w:lang w:val="fr-CH"/>
              </w:rPr>
              <w:t>Affectations prévues dans les plans d’AT</w:t>
            </w:r>
            <w:r w:rsidRPr="00A35DC3">
              <w:rPr>
                <w:rFonts w:ascii="Arial" w:hAnsi="Arial" w:cs="Arial"/>
                <w:color w:val="000000"/>
                <w:sz w:val="16"/>
                <w:szCs w:val="16"/>
                <w:lang w:val="fr-CH"/>
              </w:rPr>
              <w:t xml:space="preserve"> : Agriculture familiale (actuel et extension) ; Zones à implantation possible d’agriculture et d’élevage </w:t>
            </w:r>
            <w:r w:rsidRPr="00A35DC3">
              <w:rPr>
                <w:rFonts w:ascii="Arial" w:hAnsi="Arial" w:cs="Arial"/>
                <w:i/>
                <w:iCs/>
                <w:color w:val="000000"/>
                <w:sz w:val="16"/>
                <w:szCs w:val="16"/>
                <w:lang w:val="fr-CH"/>
              </w:rPr>
              <w:t>industrielle et fermière (industrielle et intermédiaire)</w:t>
            </w:r>
            <w:r w:rsidRPr="00A35DC3">
              <w:rPr>
                <w:rFonts w:ascii="Arial" w:hAnsi="Arial" w:cs="Arial"/>
                <w:color w:val="000000"/>
                <w:sz w:val="16"/>
                <w:szCs w:val="16"/>
                <w:lang w:val="fr-CH"/>
              </w:rPr>
              <w:t> ; Gestion forestière et régénération ; Conservation</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58D25B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u w:val="single"/>
                <w:lang w:val="fr-CH"/>
              </w:rPr>
              <w:t>Haute importance</w:t>
            </w:r>
          </w:p>
          <w:p w14:paraId="12EBC09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p w14:paraId="7947E054"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A noter que si le projet fournit les cartes exploitables d’occupation du sol et d’affectations aux Secrétariats, il n’est pas nécessaire de renseigner cet indicateur. </w:t>
            </w:r>
          </w:p>
        </w:tc>
      </w:tr>
      <w:tr w:rsidR="00A35DC3" w14:paraId="16C50671"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27F7347E"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1A59C8A" w14:textId="77777777" w:rsidR="00A35DC3" w:rsidRDefault="00000000" w:rsidP="008C0828">
            <w:pPr>
              <w:pStyle w:val="NormalWeb"/>
              <w:spacing w:before="0" w:beforeAutospacing="0" w:after="120" w:afterAutospacing="0"/>
            </w:pPr>
            <w:hyperlink r:id="rId53" w:anchor="bookmark=id.4i7ojhp" w:history="1">
              <w:r w:rsidR="00A35DC3">
                <w:rPr>
                  <w:rStyle w:val="Lienhypertexte"/>
                  <w:rFonts w:ascii="Arial" w:hAnsi="Arial" w:cs="Arial"/>
                  <w:color w:val="0563C1"/>
                  <w:sz w:val="18"/>
                  <w:szCs w:val="18"/>
                </w:rPr>
                <w:t>AT.4</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973410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d’infractions aux dispositions majeures des plans d’AT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591D2A1" w14:textId="77777777" w:rsidR="00A35DC3" w:rsidRDefault="00A35DC3" w:rsidP="008C0828">
            <w:pPr>
              <w:spacing w:after="120"/>
            </w:pPr>
          </w:p>
        </w:tc>
        <w:tc>
          <w:tcPr>
            <w:tcW w:w="0" w:type="auto"/>
            <w:vMerge w:val="restart"/>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64A295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 </w:t>
            </w:r>
          </w:p>
          <w:p w14:paraId="56214ABE"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lastRenderedPageBreak/>
              <w:t xml:space="preserve">Grandes infractions avec les affectations définies par le Plan d’AT (par ex : Superficies agricoles dans les zones de conservation forestière, concessions forestières artisanales ou industrielles dans les zones de conservation, </w:t>
            </w:r>
            <w:proofErr w:type="spellStart"/>
            <w:r w:rsidRPr="00A35DC3">
              <w:rPr>
                <w:rFonts w:ascii="Arial" w:hAnsi="Arial" w:cs="Arial"/>
                <w:color w:val="000000"/>
                <w:sz w:val="16"/>
                <w:szCs w:val="16"/>
                <w:lang w:val="fr-CH"/>
              </w:rPr>
              <w:t>etc</w:t>
            </w:r>
            <w:proofErr w:type="spellEnd"/>
            <w:r w:rsidRPr="00A35DC3">
              <w:rPr>
                <w:rFonts w:ascii="Arial" w:hAnsi="Arial" w:cs="Arial"/>
                <w:color w:val="000000"/>
                <w:sz w:val="16"/>
                <w:szCs w:val="16"/>
                <w:lang w:val="fr-CH"/>
              </w:rPr>
              <w:t>)</w:t>
            </w:r>
          </w:p>
          <w:p w14:paraId="563D4E30" w14:textId="77777777" w:rsidR="00A35DC3" w:rsidRDefault="00A35DC3" w:rsidP="008C0828">
            <w:pPr>
              <w:pStyle w:val="NormalWeb"/>
              <w:spacing w:before="0" w:beforeAutospacing="0" w:after="120" w:afterAutospacing="0"/>
            </w:pPr>
            <w:r w:rsidRPr="00A35DC3">
              <w:rPr>
                <w:rFonts w:ascii="Arial" w:hAnsi="Arial" w:cs="Arial"/>
                <w:color w:val="000000"/>
                <w:sz w:val="16"/>
                <w:szCs w:val="16"/>
                <w:lang w:val="fr-CH"/>
              </w:rPr>
              <w:t> </w:t>
            </w:r>
            <w:proofErr w:type="spellStart"/>
            <w:r>
              <w:rPr>
                <w:rFonts w:ascii="Arial" w:hAnsi="Arial" w:cs="Arial"/>
                <w:color w:val="000000"/>
                <w:sz w:val="16"/>
                <w:szCs w:val="16"/>
              </w:rPr>
              <w:t>Télédétection</w:t>
            </w:r>
            <w:proofErr w:type="spellEnd"/>
            <w:r>
              <w:rPr>
                <w:rFonts w:ascii="Arial" w:hAnsi="Arial" w:cs="Arial"/>
                <w:color w:val="000000"/>
                <w:sz w:val="16"/>
                <w:szCs w:val="16"/>
              </w:rPr>
              <w:t xml:space="preserve">. </w:t>
            </w:r>
            <w:proofErr w:type="spellStart"/>
            <w:r>
              <w:rPr>
                <w:rFonts w:ascii="Arial" w:hAnsi="Arial" w:cs="Arial"/>
                <w:color w:val="000000"/>
                <w:sz w:val="16"/>
                <w:szCs w:val="16"/>
              </w:rPr>
              <w:t>Annuellement</w:t>
            </w:r>
            <w:proofErr w:type="spellEnd"/>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8ED6840" w14:textId="77777777" w:rsidR="00A35DC3" w:rsidRDefault="00A35DC3" w:rsidP="008C0828">
            <w:pPr>
              <w:pStyle w:val="NormalWeb"/>
              <w:spacing w:before="0" w:beforeAutospacing="0" w:after="120" w:afterAutospacing="0"/>
            </w:pPr>
            <w:r>
              <w:rPr>
                <w:rFonts w:ascii="Arial" w:hAnsi="Arial" w:cs="Arial"/>
                <w:color w:val="000000"/>
                <w:sz w:val="16"/>
                <w:szCs w:val="16"/>
              </w:rPr>
              <w:lastRenderedPageBreak/>
              <w:t xml:space="preserve">Pas de </w:t>
            </w:r>
            <w:proofErr w:type="spellStart"/>
            <w:r>
              <w:rPr>
                <w:rFonts w:ascii="Arial" w:hAnsi="Arial" w:cs="Arial"/>
                <w:color w:val="000000"/>
                <w:sz w:val="16"/>
                <w:szCs w:val="16"/>
              </w:rPr>
              <w:t>cible</w:t>
            </w:r>
            <w:proofErr w:type="spellEnd"/>
            <w:r>
              <w:rPr>
                <w:rFonts w:ascii="Arial" w:hAnsi="Arial" w:cs="Arial"/>
                <w:color w:val="000000"/>
                <w:sz w:val="16"/>
                <w:szCs w:val="16"/>
              </w:rPr>
              <w:t xml:space="preserve"> </w:t>
            </w:r>
            <w:proofErr w:type="spellStart"/>
            <w:r>
              <w:rPr>
                <w:rFonts w:ascii="Arial" w:hAnsi="Arial" w:cs="Arial"/>
                <w:color w:val="000000"/>
                <w:sz w:val="16"/>
                <w:szCs w:val="16"/>
              </w:rPr>
              <w:t>nécessaire</w:t>
            </w:r>
            <w:proofErr w:type="spellEnd"/>
          </w:p>
        </w:tc>
      </w:tr>
      <w:tr w:rsidR="00A35DC3" w14:paraId="74EF448E"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1F94D074"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B0DBCD9" w14:textId="77777777" w:rsidR="00A35DC3" w:rsidRDefault="00000000" w:rsidP="008C0828">
            <w:pPr>
              <w:pStyle w:val="NormalWeb"/>
              <w:spacing w:before="0" w:beforeAutospacing="0" w:after="120" w:afterAutospacing="0"/>
            </w:pPr>
            <w:hyperlink r:id="rId54" w:anchor="bookmark=id.2xcytpi" w:history="1">
              <w:r w:rsidR="00A35DC3">
                <w:rPr>
                  <w:rStyle w:val="Lienhypertexte"/>
                  <w:rFonts w:ascii="Arial" w:hAnsi="Arial" w:cs="Arial"/>
                  <w:color w:val="0563C1"/>
                  <w:sz w:val="18"/>
                  <w:szCs w:val="18"/>
                </w:rPr>
                <w:t>AT.5</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91287F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Superficies impactées par ces infractions aux dispositions majeures des plans d’AT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6F77608"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vMerge/>
            <w:tcBorders>
              <w:top w:val="single" w:sz="4" w:space="0" w:color="9CC3E5"/>
              <w:left w:val="single" w:sz="4" w:space="0" w:color="000000"/>
              <w:bottom w:val="single" w:sz="4" w:space="0" w:color="9CC3E5"/>
              <w:right w:val="single" w:sz="4" w:space="0" w:color="000000"/>
            </w:tcBorders>
            <w:vAlign w:val="center"/>
            <w:hideMark/>
          </w:tcPr>
          <w:p w14:paraId="3E78068B"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D9FE31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 </w:t>
            </w:r>
          </w:p>
          <w:p w14:paraId="19D7554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720DFEF1"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1A25EB88"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BC98245" w14:textId="77777777" w:rsidR="00A35DC3" w:rsidRDefault="00000000" w:rsidP="008C0828">
            <w:pPr>
              <w:pStyle w:val="NormalWeb"/>
              <w:spacing w:before="0" w:beforeAutospacing="0" w:after="120" w:afterAutospacing="0"/>
            </w:pPr>
            <w:hyperlink r:id="rId55" w:anchor="bookmark=id.1ci93xb" w:history="1">
              <w:r w:rsidR="00A35DC3">
                <w:rPr>
                  <w:rStyle w:val="Lienhypertexte"/>
                  <w:rFonts w:ascii="Arial" w:hAnsi="Arial" w:cs="Arial"/>
                  <w:color w:val="0563C1"/>
                  <w:sz w:val="18"/>
                  <w:szCs w:val="18"/>
                </w:rPr>
                <w:t>AT.6</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C975DF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Degré de respect des règles de gestion des Ressources naturelles établies par les PGRN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5FBCE54" w14:textId="77777777" w:rsidR="00A35DC3" w:rsidRDefault="00A35DC3" w:rsidP="008C0828">
            <w:pPr>
              <w:pStyle w:val="NormalWeb"/>
              <w:spacing w:before="0" w:beforeAutospacing="0" w:after="120" w:afterAutospacing="0"/>
            </w:pPr>
            <w:r>
              <w:rPr>
                <w:rFonts w:ascii="Arial" w:hAnsi="Arial" w:cs="Arial"/>
                <w:color w:val="000000"/>
                <w:sz w:val="16"/>
                <w:szCs w:val="16"/>
              </w:rPr>
              <w:t>Score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82735F1"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Bilan in-situ au moins trimestriel par les services techniques et animateurs du projet, consolidé annuellement</w:t>
            </w:r>
          </w:p>
          <w:p w14:paraId="134D5F0E"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 xml:space="preserve">Désagrégé par niveau d’entité territoriale, et par secteur (agriculture, forêts, </w:t>
            </w:r>
            <w:proofErr w:type="spellStart"/>
            <w:r w:rsidRPr="00A35DC3">
              <w:rPr>
                <w:rFonts w:ascii="Arial" w:hAnsi="Arial" w:cs="Arial"/>
                <w:color w:val="000000"/>
                <w:sz w:val="16"/>
                <w:szCs w:val="16"/>
                <w:lang w:val="fr-CH"/>
              </w:rPr>
              <w:t>etc</w:t>
            </w:r>
            <w:proofErr w:type="spellEnd"/>
            <w:r w:rsidRPr="00A35DC3">
              <w:rPr>
                <w:rFonts w:ascii="Arial" w:hAnsi="Arial" w:cs="Arial"/>
                <w:color w:val="000000"/>
                <w:sz w:val="16"/>
                <w:szCs w:val="16"/>
                <w:lang w:val="fr-CH"/>
              </w:rPr>
              <w:t>)</w:t>
            </w:r>
          </w:p>
          <w:p w14:paraId="1A44635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Degré de 1 à 5 pour chaque PGRN</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CA3F6D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Cet indicateur peut alternativement faire partie d’une évaluation externe conjointe telle que prévue dans le plan d'évaluation du projet. </w:t>
            </w:r>
          </w:p>
          <w:p w14:paraId="49418812" w14:textId="77777777" w:rsidR="00A35DC3" w:rsidRDefault="00A35DC3" w:rsidP="008C0828">
            <w:pPr>
              <w:spacing w:after="120"/>
            </w:pPr>
          </w:p>
        </w:tc>
      </w:tr>
      <w:tr w:rsidR="00A35DC3" w14:paraId="0391854A"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1DFA4CAD"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65C5CB2" w14:textId="77777777" w:rsidR="00A35DC3" w:rsidRDefault="00000000" w:rsidP="008C0828">
            <w:pPr>
              <w:pStyle w:val="NormalWeb"/>
              <w:spacing w:before="0" w:beforeAutospacing="0" w:after="120" w:afterAutospacing="0"/>
            </w:pPr>
            <w:hyperlink r:id="rId56" w:anchor="bookmark=id.2bn6wsx" w:history="1">
              <w:r w:rsidR="00A35DC3">
                <w:rPr>
                  <w:rStyle w:val="Lienhypertexte"/>
                  <w:rFonts w:ascii="Arial" w:hAnsi="Arial" w:cs="Arial"/>
                  <w:color w:val="0563C1"/>
                  <w:sz w:val="18"/>
                  <w:szCs w:val="18"/>
                </w:rPr>
                <w:t>AT.7</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05CD5F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a) Nb d’infrastructures construites, réhabilitées, entretenues (sur budget projet / PSE collectifs)</w:t>
            </w:r>
          </w:p>
          <w:p w14:paraId="4488E1C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b) Longueur de routes rurales construites, réhabilitées et entretenues (effectif et cumulé)</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24B98D1" w14:textId="77777777" w:rsidR="00A35DC3" w:rsidRDefault="00A35DC3" w:rsidP="008C0828">
            <w:pPr>
              <w:pStyle w:val="NormalWeb"/>
              <w:spacing w:before="0" w:beforeAutospacing="0" w:after="120" w:afterAutospacing="0"/>
            </w:pPr>
            <w:r>
              <w:rPr>
                <w:rFonts w:ascii="Arial" w:hAnsi="Arial" w:cs="Arial"/>
                <w:color w:val="000000"/>
                <w:sz w:val="18"/>
                <w:szCs w:val="18"/>
              </w:rPr>
              <w:t>Nb </w:t>
            </w:r>
          </w:p>
          <w:p w14:paraId="393262DE" w14:textId="77777777" w:rsidR="00A35DC3" w:rsidRDefault="00A35DC3" w:rsidP="008C0828">
            <w:pPr>
              <w:pStyle w:val="NormalWeb"/>
              <w:spacing w:before="0" w:beforeAutospacing="0" w:after="120" w:afterAutospacing="0"/>
            </w:pPr>
            <w:r>
              <w:rPr>
                <w:rFonts w:ascii="Arial" w:hAnsi="Arial" w:cs="Arial"/>
                <w:color w:val="000000"/>
                <w:sz w:val="18"/>
                <w:szCs w:val="18"/>
              </w:rPr>
              <w:t>km</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D07A96D"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9FB9F1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Cet indicateur est une mesure proxy de désenclavement aux marchés. </w:t>
            </w:r>
          </w:p>
          <w:p w14:paraId="15128BF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72BBFA18"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00B31E96"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2A90488" w14:textId="77777777" w:rsidR="00A35DC3" w:rsidRDefault="00000000" w:rsidP="008C0828">
            <w:pPr>
              <w:pStyle w:val="NormalWeb"/>
              <w:spacing w:before="0" w:beforeAutospacing="0" w:after="120" w:afterAutospacing="0"/>
            </w:pPr>
            <w:hyperlink r:id="rId57" w:anchor="bookmark=id.2bn6wsx" w:history="1">
              <w:r w:rsidR="00A35DC3">
                <w:rPr>
                  <w:rStyle w:val="Lienhypertexte"/>
                  <w:rFonts w:ascii="Arial" w:hAnsi="Arial" w:cs="Arial"/>
                  <w:color w:val="0563C1"/>
                  <w:sz w:val="18"/>
                  <w:szCs w:val="18"/>
                </w:rPr>
                <w:t>AT.8</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91FBD6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 de personnes habitant dans les entités administratives sous plan d’AT, </w:t>
            </w:r>
            <w:r w:rsidRPr="00A35DC3">
              <w:rPr>
                <w:rFonts w:ascii="Arial" w:hAnsi="Arial" w:cs="Arial"/>
                <w:i/>
                <w:iCs/>
                <w:color w:val="000000"/>
                <w:sz w:val="18"/>
                <w:szCs w:val="18"/>
                <w:lang w:val="fr-CH"/>
              </w:rPr>
              <w:t>ventilé par genre et par groupe vulnérable (PA)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1B228A8"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ACE81C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Estimation. Fournir les hypothèses de calcul</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7F54C950" w14:textId="77777777" w:rsidR="00A35DC3" w:rsidRDefault="00A35DC3" w:rsidP="008C0828">
            <w:pPr>
              <w:pStyle w:val="NormalWeb"/>
              <w:spacing w:before="0" w:beforeAutospacing="0" w:after="120" w:afterAutospacing="0"/>
            </w:pPr>
            <w:r>
              <w:rPr>
                <w:rFonts w:ascii="Arial" w:hAnsi="Arial" w:cs="Arial"/>
                <w:color w:val="000000"/>
                <w:sz w:val="16"/>
                <w:szCs w:val="16"/>
              </w:rPr>
              <w:t xml:space="preserve">Cet </w:t>
            </w:r>
            <w:proofErr w:type="spellStart"/>
            <w:r>
              <w:rPr>
                <w:rFonts w:ascii="Arial" w:hAnsi="Arial" w:cs="Arial"/>
                <w:color w:val="000000"/>
                <w:sz w:val="16"/>
                <w:szCs w:val="16"/>
              </w:rPr>
              <w:t>indicateur</w:t>
            </w:r>
            <w:proofErr w:type="spellEnd"/>
            <w:r>
              <w:rPr>
                <w:rFonts w:ascii="Arial" w:hAnsi="Arial" w:cs="Arial"/>
                <w:color w:val="000000"/>
                <w:sz w:val="16"/>
                <w:szCs w:val="16"/>
              </w:rPr>
              <w:t xml:space="preserve"> </w:t>
            </w:r>
            <w:proofErr w:type="spellStart"/>
            <w:r>
              <w:rPr>
                <w:rFonts w:ascii="Arial" w:hAnsi="Arial" w:cs="Arial"/>
                <w:color w:val="000000"/>
                <w:sz w:val="16"/>
                <w:szCs w:val="16"/>
              </w:rPr>
              <w:t>est</w:t>
            </w:r>
            <w:proofErr w:type="spellEnd"/>
            <w:r>
              <w:rPr>
                <w:rFonts w:ascii="Arial" w:hAnsi="Arial" w:cs="Arial"/>
                <w:color w:val="000000"/>
                <w:sz w:val="16"/>
                <w:szCs w:val="16"/>
              </w:rPr>
              <w:t xml:space="preserve"> </w:t>
            </w:r>
            <w:proofErr w:type="spellStart"/>
            <w:r>
              <w:rPr>
                <w:rFonts w:ascii="Arial" w:hAnsi="Arial" w:cs="Arial"/>
                <w:color w:val="000000"/>
                <w:sz w:val="16"/>
                <w:szCs w:val="16"/>
              </w:rPr>
              <w:t>contextuel</w:t>
            </w:r>
            <w:proofErr w:type="spellEnd"/>
            <w:r>
              <w:rPr>
                <w:rFonts w:ascii="Arial" w:hAnsi="Arial" w:cs="Arial"/>
                <w:color w:val="000000"/>
                <w:sz w:val="16"/>
                <w:szCs w:val="16"/>
              </w:rPr>
              <w:t> </w:t>
            </w:r>
          </w:p>
        </w:tc>
      </w:tr>
      <w:tr w:rsidR="00A35DC3" w14:paraId="72C8236D"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30766A9F"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9E53200" w14:textId="77777777" w:rsidR="00A35DC3" w:rsidRDefault="00000000" w:rsidP="008C0828">
            <w:pPr>
              <w:pStyle w:val="NormalWeb"/>
              <w:spacing w:before="0" w:beforeAutospacing="0" w:after="120" w:afterAutospacing="0"/>
            </w:pPr>
            <w:hyperlink r:id="rId58" w:anchor="bookmark=id.qsh70q" w:history="1">
              <w:r w:rsidR="00A35DC3">
                <w:rPr>
                  <w:rStyle w:val="Lienhypertexte"/>
                  <w:rFonts w:ascii="Arial" w:hAnsi="Arial" w:cs="Arial"/>
                  <w:color w:val="0563C1"/>
                  <w:sz w:val="18"/>
                  <w:szCs w:val="18"/>
                </w:rPr>
                <w:t>AT.9</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8BBF47A"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Nb de procédures d’arbitrage pour résoudre les conflits d’usage des terres (a) engagées, et (b) ayant mis un terme au conflit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D9EDB4A"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24F802C"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Qualité : Conseil d’AT saisi (CPAT et CLAT) et procédure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EF4ED1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Pas de cible attendue. </w:t>
            </w:r>
          </w:p>
          <w:p w14:paraId="0538E57A"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3271CFE9" w14:textId="77777777" w:rsidTr="00A4367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03040FF3" w14:textId="77777777" w:rsidR="00A35DC3" w:rsidRDefault="00A35DC3" w:rsidP="008C0828">
            <w:pPr>
              <w:pStyle w:val="NormalWeb"/>
              <w:spacing w:before="0" w:beforeAutospacing="0" w:after="120" w:afterAutospacing="0"/>
            </w:pPr>
            <w:r>
              <w:rPr>
                <w:rFonts w:ascii="Arial" w:hAnsi="Arial" w:cs="Arial"/>
                <w:color w:val="000000"/>
                <w:sz w:val="18"/>
                <w:szCs w:val="18"/>
              </w:rPr>
              <w:t xml:space="preserve">3. </w:t>
            </w:r>
            <w:proofErr w:type="spellStart"/>
            <w:r>
              <w:rPr>
                <w:rFonts w:ascii="Arial" w:hAnsi="Arial" w:cs="Arial"/>
                <w:color w:val="000000"/>
                <w:sz w:val="18"/>
                <w:szCs w:val="18"/>
              </w:rPr>
              <w:t>Foncier</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DE4A0CA" w14:textId="77777777" w:rsidR="00A35DC3" w:rsidRDefault="00000000" w:rsidP="008C0828">
            <w:pPr>
              <w:pStyle w:val="NormalWeb"/>
              <w:spacing w:before="0" w:beforeAutospacing="0" w:after="120" w:afterAutospacing="0"/>
            </w:pPr>
            <w:hyperlink r:id="rId59" w:anchor="bookmark=id.1pxezwc" w:history="1">
              <w:r w:rsidR="00A35DC3">
                <w:rPr>
                  <w:rStyle w:val="Lienhypertexte"/>
                  <w:rFonts w:ascii="Arial" w:hAnsi="Arial" w:cs="Arial"/>
                  <w:color w:val="0563C1"/>
                  <w:sz w:val="18"/>
                  <w:szCs w:val="18"/>
                </w:rPr>
                <w:t>FON.1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6F9321C"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d’édits fonciers provinciaux élaborés / promulgués de manière participative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1044D04"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D0B5B10"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Si inclus dans le projet</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7B128A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La nature participative relève d’une évaluation externe conjointe telle que prévue dans le plan d'évaluation du projet. </w:t>
            </w:r>
          </w:p>
        </w:tc>
      </w:tr>
      <w:tr w:rsidR="00A35DC3" w14:paraId="1E4471D8"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5341E26E"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1986610" w14:textId="77777777" w:rsidR="00A35DC3" w:rsidRDefault="00000000" w:rsidP="008C0828">
            <w:pPr>
              <w:pStyle w:val="NormalWeb"/>
              <w:spacing w:before="0" w:beforeAutospacing="0" w:after="120" w:afterAutospacing="0"/>
            </w:pPr>
            <w:hyperlink r:id="rId60" w:anchor="bookmark=id.49x2ik5" w:history="1">
              <w:r w:rsidR="00A35DC3">
                <w:rPr>
                  <w:rStyle w:val="Lienhypertexte"/>
                  <w:rFonts w:ascii="Arial" w:hAnsi="Arial" w:cs="Arial"/>
                  <w:color w:val="0563C1"/>
                  <w:sz w:val="18"/>
                  <w:szCs w:val="18"/>
                </w:rPr>
                <w:t>FON.2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E902DF4"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de registres fonciers décentralisés pilotés / établis / fonctionnels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C3FE80C"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AB5D852"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D3891F7" w14:textId="77777777" w:rsidR="00A35DC3" w:rsidRDefault="00A35DC3" w:rsidP="008C0828">
            <w:pPr>
              <w:spacing w:after="120"/>
            </w:pPr>
          </w:p>
        </w:tc>
      </w:tr>
      <w:tr w:rsidR="00A35DC3" w14:paraId="4F54CE79"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42D03F63"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A1CA396" w14:textId="77777777" w:rsidR="00A35DC3" w:rsidRDefault="00000000" w:rsidP="008C0828">
            <w:pPr>
              <w:pStyle w:val="NormalWeb"/>
              <w:spacing w:before="0" w:beforeAutospacing="0" w:after="120" w:afterAutospacing="0"/>
            </w:pPr>
            <w:hyperlink r:id="rId61" w:anchor="bookmark=id.2p2csry" w:history="1">
              <w:r w:rsidR="00A35DC3">
                <w:rPr>
                  <w:rStyle w:val="Lienhypertexte"/>
                  <w:rFonts w:ascii="Arial" w:hAnsi="Arial" w:cs="Arial"/>
                  <w:color w:val="0563C1"/>
                  <w:sz w:val="18"/>
                  <w:szCs w:val="18"/>
                </w:rPr>
                <w:t>FON.3</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7BC9D8A"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Superficies de terres sécurisées au niveau foncier, </w:t>
            </w:r>
            <w:r w:rsidRPr="00A35DC3">
              <w:rPr>
                <w:rFonts w:ascii="Arial" w:hAnsi="Arial" w:cs="Arial"/>
                <w:i/>
                <w:iCs/>
                <w:color w:val="000000"/>
                <w:sz w:val="18"/>
                <w:szCs w:val="18"/>
                <w:lang w:val="fr-CH"/>
              </w:rPr>
              <w:t>ventilées par type de sécurisation foncière (individuelle ou collective)</w:t>
            </w:r>
          </w:p>
          <w:p w14:paraId="29F48E20"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5FD370C"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E357D8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 </w:t>
            </w:r>
          </w:p>
          <w:p w14:paraId="651DB0C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 xml:space="preserve">Droits d’usages et droits concessionnaires (titres fonciers, enregistrement dans les registres décentralisés, concessions attribuées, </w:t>
            </w:r>
            <w:proofErr w:type="spellStart"/>
            <w:r w:rsidRPr="00A35DC3">
              <w:rPr>
                <w:rFonts w:ascii="Arial" w:hAnsi="Arial" w:cs="Arial"/>
                <w:color w:val="000000"/>
                <w:sz w:val="16"/>
                <w:szCs w:val="16"/>
                <w:lang w:val="fr-CH"/>
              </w:rPr>
              <w:t>etc</w:t>
            </w:r>
            <w:proofErr w:type="spellEnd"/>
            <w:r w:rsidRPr="00A35DC3">
              <w:rPr>
                <w:rFonts w:ascii="Arial" w:hAnsi="Arial" w:cs="Arial"/>
                <w:color w:val="000000"/>
                <w:sz w:val="16"/>
                <w:szCs w:val="16"/>
                <w:lang w:val="fr-CH"/>
              </w:rPr>
              <w:t>)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F12E11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5252D8D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61521EA7"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0381DE2A"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8349B72" w14:textId="77777777" w:rsidR="00A35DC3" w:rsidRDefault="00000000" w:rsidP="008C0828">
            <w:pPr>
              <w:pStyle w:val="NormalWeb"/>
              <w:spacing w:before="0" w:beforeAutospacing="0" w:after="120" w:afterAutospacing="0"/>
            </w:pPr>
            <w:hyperlink r:id="rId62" w:anchor="bookmark=id.2p2csry" w:history="1">
              <w:r w:rsidR="00A35DC3">
                <w:rPr>
                  <w:rStyle w:val="Lienhypertexte"/>
                  <w:rFonts w:ascii="Arial" w:hAnsi="Arial" w:cs="Arial"/>
                  <w:color w:val="0563C1"/>
                  <w:sz w:val="18"/>
                  <w:szCs w:val="18"/>
                </w:rPr>
                <w:t>FON.4</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53C220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 d’arrangements fonciers enregistrés, </w:t>
            </w:r>
            <w:r w:rsidRPr="00A35DC3">
              <w:rPr>
                <w:rFonts w:ascii="Arial" w:hAnsi="Arial" w:cs="Arial"/>
                <w:i/>
                <w:iCs/>
                <w:color w:val="000000"/>
                <w:sz w:val="18"/>
                <w:szCs w:val="18"/>
                <w:lang w:val="fr-CH"/>
              </w:rPr>
              <w:t>ventilé par type (individuel/collectif, formel/informel)</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EF1660A"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DE47A21" w14:textId="77777777" w:rsidR="00A35DC3" w:rsidRDefault="00A35DC3" w:rsidP="008C0828">
            <w:pPr>
              <w:pStyle w:val="NormalWeb"/>
              <w:spacing w:before="0" w:beforeAutospacing="0" w:after="120" w:afterAutospacing="0"/>
            </w:pPr>
            <w:proofErr w:type="spellStart"/>
            <w:r>
              <w:rPr>
                <w:rFonts w:ascii="Arial" w:hAnsi="Arial" w:cs="Arial"/>
                <w:color w:val="000000"/>
                <w:sz w:val="16"/>
                <w:szCs w:val="16"/>
              </w:rPr>
              <w:t>Géoréférencé</w:t>
            </w:r>
            <w:proofErr w:type="spellEnd"/>
            <w:r>
              <w:rPr>
                <w:rFonts w:ascii="Arial" w:hAnsi="Arial" w:cs="Arial"/>
                <w:color w:val="000000"/>
                <w:sz w:val="16"/>
                <w:szCs w:val="16"/>
              </w:rPr>
              <w:t>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12E1E6E" w14:textId="77777777" w:rsidR="00A35DC3" w:rsidRDefault="00A35DC3" w:rsidP="008C0828">
            <w:pPr>
              <w:spacing w:after="120"/>
            </w:pPr>
          </w:p>
        </w:tc>
      </w:tr>
      <w:tr w:rsidR="00A35DC3" w14:paraId="27EF91D3"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266ECB75"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37FFDD5" w14:textId="77777777" w:rsidR="00A35DC3" w:rsidRDefault="00000000" w:rsidP="008C0828">
            <w:pPr>
              <w:pStyle w:val="NormalWeb"/>
              <w:spacing w:before="0" w:beforeAutospacing="0" w:after="120" w:afterAutospacing="0"/>
            </w:pPr>
            <w:hyperlink r:id="rId63" w:anchor="bookmark=id.147n2zr" w:history="1">
              <w:r w:rsidR="00A35DC3">
                <w:rPr>
                  <w:rStyle w:val="Lienhypertexte"/>
                  <w:rFonts w:ascii="Arial" w:hAnsi="Arial" w:cs="Arial"/>
                  <w:color w:val="0563C1"/>
                  <w:sz w:val="18"/>
                  <w:szCs w:val="18"/>
                </w:rPr>
                <w:t>FON.5</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0397BF0"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Nombres de bénéficiaires directs et indirects de la sécurisation foncière, </w:t>
            </w:r>
            <w:r w:rsidRPr="00A35DC3">
              <w:rPr>
                <w:rFonts w:ascii="Arial" w:hAnsi="Arial" w:cs="Arial"/>
                <w:i/>
                <w:iCs/>
                <w:color w:val="000000"/>
                <w:sz w:val="18"/>
                <w:szCs w:val="18"/>
                <w:lang w:val="fr-CH"/>
              </w:rPr>
              <w:t>ventilée par type de sécurisation (individuelle ou collective), par genre et par groupe vulnérable</w:t>
            </w:r>
            <w:r w:rsidRPr="00A35DC3">
              <w:rPr>
                <w:rFonts w:ascii="Arial" w:hAnsi="Arial" w:cs="Arial"/>
                <w:color w:val="000000"/>
                <w:sz w:val="18"/>
                <w:szCs w:val="18"/>
                <w:lang w:val="fr-CH"/>
              </w:rPr>
              <w:t>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854A2CC"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1F62236"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5A8B2AA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r w:rsidR="00A35DC3" w14:paraId="6DA4FF73" w14:textId="77777777" w:rsidTr="00A4367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2CBA17A2" w14:textId="77777777" w:rsidR="00A35DC3" w:rsidRDefault="00A35DC3" w:rsidP="008C0828">
            <w:pPr>
              <w:pStyle w:val="NormalWeb"/>
              <w:spacing w:before="0" w:beforeAutospacing="0" w:after="120" w:afterAutospacing="0"/>
            </w:pPr>
            <w:r>
              <w:rPr>
                <w:rFonts w:ascii="Arial" w:hAnsi="Arial" w:cs="Arial"/>
                <w:color w:val="000000"/>
                <w:sz w:val="18"/>
                <w:szCs w:val="18"/>
              </w:rPr>
              <w:t>4. Agriculture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A295C5E" w14:textId="77777777" w:rsidR="00A35DC3" w:rsidRDefault="00000000" w:rsidP="008C0828">
            <w:pPr>
              <w:pStyle w:val="NormalWeb"/>
              <w:spacing w:before="0" w:beforeAutospacing="0" w:after="120" w:afterAutospacing="0"/>
            </w:pPr>
            <w:hyperlink r:id="rId64" w:anchor="bookmark=id.23ckvvd" w:history="1">
              <w:r w:rsidR="00A35DC3">
                <w:rPr>
                  <w:rStyle w:val="Lienhypertexte"/>
                  <w:rFonts w:ascii="Arial" w:hAnsi="Arial" w:cs="Arial"/>
                  <w:color w:val="0563C1"/>
                  <w:sz w:val="18"/>
                  <w:szCs w:val="18"/>
                </w:rPr>
                <w:t>AG.1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FC97D0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Superficies de champs de multiplication de semences améliorées établis (par saison de culture et en cumulé)</w:t>
            </w:r>
          </w:p>
          <w:p w14:paraId="0FCE718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 consacrée á la production de semences et de plants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DE6F94C"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0F6D8F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 </w:t>
            </w:r>
          </w:p>
          <w:p w14:paraId="38EE350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Y compris sous forme de champs agroforestiers de 1</w:t>
            </w:r>
            <w:r w:rsidRPr="00A35DC3">
              <w:rPr>
                <w:rFonts w:ascii="Arial" w:hAnsi="Arial" w:cs="Arial"/>
                <w:color w:val="000000"/>
                <w:sz w:val="10"/>
                <w:szCs w:val="10"/>
                <w:vertAlign w:val="superscript"/>
                <w:lang w:val="fr-CH"/>
              </w:rPr>
              <w:t>ère</w:t>
            </w:r>
            <w:r w:rsidRPr="00A35DC3">
              <w:rPr>
                <w:rFonts w:ascii="Arial" w:hAnsi="Arial" w:cs="Arial"/>
                <w:color w:val="000000"/>
                <w:sz w:val="16"/>
                <w:szCs w:val="16"/>
                <w:lang w:val="fr-CH"/>
              </w:rPr>
              <w:t xml:space="preserve"> année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5760BD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3CB101F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r w:rsidR="00A35DC3" w14:paraId="62DC2798"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6DE8CABF"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6B6F7DA" w14:textId="77777777" w:rsidR="00A35DC3" w:rsidRDefault="00000000" w:rsidP="008C0828">
            <w:pPr>
              <w:pStyle w:val="NormalWeb"/>
              <w:spacing w:before="0" w:beforeAutospacing="0" w:after="120" w:afterAutospacing="0"/>
            </w:pPr>
            <w:hyperlink r:id="rId65" w:anchor="bookmark=id.ihv636" w:history="1">
              <w:r w:rsidR="00A35DC3">
                <w:rPr>
                  <w:rStyle w:val="Lienhypertexte"/>
                  <w:rFonts w:ascii="Arial" w:hAnsi="Arial" w:cs="Arial"/>
                  <w:color w:val="0563C1"/>
                  <w:sz w:val="18"/>
                  <w:szCs w:val="18"/>
                </w:rPr>
                <w:t>AG.2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44F206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Superficies vivrières établies sous variétés améliorées dans le complexe rural (hors agri-multiplication)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A9B6184"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5F8EB14"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A</w:t>
            </w:r>
            <w:r w:rsidRPr="00A35DC3">
              <w:rPr>
                <w:rFonts w:ascii="Arial" w:hAnsi="Arial" w:cs="Arial"/>
                <w:color w:val="000000"/>
                <w:sz w:val="16"/>
                <w:szCs w:val="16"/>
                <w:lang w:val="fr-CH"/>
              </w:rPr>
              <w:t>nnuellement et en cumulé</w:t>
            </w:r>
          </w:p>
          <w:p w14:paraId="195F4E3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 Y compris les seconds cycles agroforestiers.</w:t>
            </w:r>
          </w:p>
          <w:p w14:paraId="78482F54" w14:textId="77777777" w:rsidR="00A35DC3" w:rsidRDefault="00A35DC3" w:rsidP="008C0828">
            <w:pPr>
              <w:pStyle w:val="NormalWeb"/>
              <w:spacing w:before="0" w:beforeAutospacing="0" w:after="120" w:afterAutospacing="0"/>
            </w:pPr>
            <w:r>
              <w:rPr>
                <w:rFonts w:ascii="Arial" w:hAnsi="Arial" w:cs="Arial"/>
                <w:color w:val="000000"/>
                <w:sz w:val="16"/>
                <w:szCs w:val="16"/>
              </w:rPr>
              <w:t xml:space="preserve">Application aux </w:t>
            </w:r>
            <w:proofErr w:type="spellStart"/>
            <w:r>
              <w:rPr>
                <w:rFonts w:ascii="Arial" w:hAnsi="Arial" w:cs="Arial"/>
                <w:color w:val="000000"/>
                <w:sz w:val="16"/>
                <w:szCs w:val="16"/>
              </w:rPr>
              <w:t>projets</w:t>
            </w:r>
            <w:proofErr w:type="spellEnd"/>
            <w:r>
              <w:rPr>
                <w:rFonts w:ascii="Arial" w:hAnsi="Arial" w:cs="Arial"/>
                <w:color w:val="000000"/>
                <w:sz w:val="16"/>
                <w:szCs w:val="16"/>
              </w:rPr>
              <w:t xml:space="preserve">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44C8ED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080FD7F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0BB58DD6"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32E7D367"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2A5E074" w14:textId="77777777" w:rsidR="00A35DC3" w:rsidRDefault="00000000" w:rsidP="008C0828">
            <w:pPr>
              <w:pStyle w:val="NormalWeb"/>
              <w:spacing w:before="0" w:beforeAutospacing="0" w:after="120" w:afterAutospacing="0"/>
            </w:pPr>
            <w:hyperlink r:id="rId66" w:anchor="bookmark=id.32hioqz" w:history="1">
              <w:r w:rsidR="00A35DC3">
                <w:rPr>
                  <w:rStyle w:val="Lienhypertexte"/>
                  <w:rFonts w:ascii="Arial" w:hAnsi="Arial" w:cs="Arial"/>
                  <w:color w:val="0563C1"/>
                  <w:sz w:val="18"/>
                  <w:szCs w:val="18"/>
                </w:rPr>
                <w:t>AG.3</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0A060F0"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Superficies d’agriculture durable réalisées, totales et </w:t>
            </w:r>
            <w:r w:rsidRPr="00A35DC3">
              <w:rPr>
                <w:rFonts w:ascii="Arial" w:hAnsi="Arial" w:cs="Arial"/>
                <w:i/>
                <w:iCs/>
                <w:color w:val="000000"/>
                <w:sz w:val="18"/>
                <w:szCs w:val="18"/>
                <w:lang w:val="fr-CH"/>
              </w:rPr>
              <w:t>ventilées par :</w:t>
            </w:r>
          </w:p>
          <w:p w14:paraId="13B3A3C5" w14:textId="77777777" w:rsidR="00A35DC3" w:rsidRPr="00A35DC3" w:rsidRDefault="00A35DC3" w:rsidP="008C0828">
            <w:pPr>
              <w:pStyle w:val="NormalWeb"/>
              <w:spacing w:before="0" w:beforeAutospacing="0" w:after="120" w:afterAutospacing="0"/>
              <w:ind w:left="173"/>
              <w:rPr>
                <w:lang w:val="fr-CH"/>
              </w:rPr>
            </w:pPr>
            <w:r w:rsidRPr="00A35DC3">
              <w:rPr>
                <w:rFonts w:ascii="Arial" w:hAnsi="Arial" w:cs="Arial"/>
                <w:color w:val="000000"/>
                <w:sz w:val="18"/>
                <w:szCs w:val="18"/>
                <w:lang w:val="fr-CH"/>
              </w:rPr>
              <w:t>a) Cultures pérennes sans déforestation (savane ou complexe rural et forêts dégradées)</w:t>
            </w:r>
          </w:p>
          <w:p w14:paraId="6D9E791B" w14:textId="77777777" w:rsidR="00A35DC3" w:rsidRDefault="00A35DC3" w:rsidP="008C0828">
            <w:pPr>
              <w:pStyle w:val="NormalWeb"/>
              <w:spacing w:before="0" w:beforeAutospacing="0" w:after="120" w:afterAutospacing="0"/>
              <w:ind w:left="173"/>
            </w:pPr>
            <w:r>
              <w:rPr>
                <w:rFonts w:ascii="Arial" w:hAnsi="Arial" w:cs="Arial"/>
                <w:color w:val="000000"/>
                <w:sz w:val="18"/>
                <w:szCs w:val="18"/>
              </w:rPr>
              <w:t xml:space="preserve">b) Plantations </w:t>
            </w:r>
            <w:proofErr w:type="spellStart"/>
            <w:r>
              <w:rPr>
                <w:rFonts w:ascii="Arial" w:hAnsi="Arial" w:cs="Arial"/>
                <w:color w:val="000000"/>
                <w:sz w:val="18"/>
                <w:szCs w:val="18"/>
              </w:rPr>
              <w:t>agroforestières</w:t>
            </w:r>
            <w:proofErr w:type="spellEnd"/>
            <w:r>
              <w:rPr>
                <w:rFonts w:ascii="Arial" w:hAnsi="Arial" w:cs="Arial"/>
                <w:color w:val="000000"/>
                <w:sz w:val="18"/>
                <w:szCs w:val="18"/>
              </w:rPr>
              <w:t>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398F804"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E6FB15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 Annuellement et en cumulé</w:t>
            </w:r>
          </w:p>
          <w:p w14:paraId="2DF3CC4C"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Forêt dégradée : en RDC, telle que défini en premier lieu par l’étude sur le Capital Forestier à venir</w:t>
            </w:r>
          </w:p>
          <w:p w14:paraId="7CF14A16" w14:textId="77777777" w:rsidR="00A35DC3" w:rsidRDefault="00A35DC3" w:rsidP="008C0828">
            <w:pPr>
              <w:pStyle w:val="NormalWeb"/>
              <w:spacing w:before="0" w:beforeAutospacing="0" w:after="120" w:afterAutospacing="0"/>
            </w:pPr>
            <w:r>
              <w:rPr>
                <w:rFonts w:ascii="Arial" w:hAnsi="Arial" w:cs="Arial"/>
                <w:color w:val="000000"/>
                <w:sz w:val="16"/>
                <w:szCs w:val="16"/>
              </w:rPr>
              <w:t xml:space="preserve">Application aux </w:t>
            </w:r>
            <w:proofErr w:type="spellStart"/>
            <w:r>
              <w:rPr>
                <w:rFonts w:ascii="Arial" w:hAnsi="Arial" w:cs="Arial"/>
                <w:color w:val="000000"/>
                <w:sz w:val="16"/>
                <w:szCs w:val="16"/>
              </w:rPr>
              <w:t>projets</w:t>
            </w:r>
            <w:proofErr w:type="spellEnd"/>
            <w:r>
              <w:rPr>
                <w:rFonts w:ascii="Arial" w:hAnsi="Arial" w:cs="Arial"/>
                <w:color w:val="000000"/>
                <w:sz w:val="16"/>
                <w:szCs w:val="16"/>
              </w:rPr>
              <w:t xml:space="preserve">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FB41CF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4BC7E3A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p w14:paraId="4E75792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Détailler les chevauchements éventuels entre AG.2 et AG.3 a et b</w:t>
            </w:r>
          </w:p>
        </w:tc>
      </w:tr>
      <w:tr w:rsidR="00A35DC3" w14:paraId="6974594E"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4F0EF4DA"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BD42C2F" w14:textId="77777777" w:rsidR="00A35DC3" w:rsidRDefault="00000000" w:rsidP="008C0828">
            <w:pPr>
              <w:pStyle w:val="NormalWeb"/>
              <w:spacing w:before="0" w:beforeAutospacing="0" w:after="120" w:afterAutospacing="0"/>
            </w:pPr>
            <w:hyperlink r:id="rId67" w:anchor="bookmark=id.41mghml" w:history="1">
              <w:r w:rsidR="00A35DC3">
                <w:rPr>
                  <w:rStyle w:val="Lienhypertexte"/>
                  <w:rFonts w:ascii="Arial" w:hAnsi="Arial" w:cs="Arial"/>
                  <w:color w:val="0563C1"/>
                  <w:sz w:val="18"/>
                  <w:szCs w:val="18"/>
                </w:rPr>
                <w:t>AG.</w:t>
              </w:r>
            </w:hyperlink>
            <w:r w:rsidR="00A35DC3">
              <w:rPr>
                <w:rFonts w:ascii="Arial" w:hAnsi="Arial" w:cs="Arial"/>
                <w:color w:val="000000"/>
                <w:sz w:val="18"/>
                <w:szCs w:val="18"/>
              </w:rPr>
              <w:t>4</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5AFCA8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de bénéficiaires directs, ventilé par type d’appui agricole (pérennes, agroforesterie, vivrières)</w:t>
            </w:r>
          </w:p>
          <w:p w14:paraId="23F8C95A"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22"/>
                <w:szCs w:val="22"/>
                <w:lang w:val="fr-CH"/>
              </w:rPr>
              <w:t>Dont </w:t>
            </w:r>
          </w:p>
          <w:p w14:paraId="1A51394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22"/>
                <w:szCs w:val="22"/>
                <w:lang w:val="fr-CH"/>
              </w:rPr>
              <w:t xml:space="preserve">- </w:t>
            </w:r>
            <w:r w:rsidRPr="00A35DC3">
              <w:rPr>
                <w:rFonts w:ascii="Arial" w:hAnsi="Arial" w:cs="Arial"/>
                <w:color w:val="000000"/>
                <w:sz w:val="18"/>
                <w:szCs w:val="18"/>
                <w:lang w:val="fr-CH"/>
              </w:rPr>
              <w:t>Nombre de ménages ayant reçu des semences améliorées (ventilé par type de semence</w:t>
            </w:r>
          </w:p>
          <w:p w14:paraId="390FC38B"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CCD8869"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3F6E09C"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113B0E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 </w:t>
            </w:r>
          </w:p>
          <w:p w14:paraId="3B76DE9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p w14:paraId="5A464209" w14:textId="77777777" w:rsidR="00A35DC3" w:rsidRDefault="00A35DC3" w:rsidP="008C0828">
            <w:pPr>
              <w:spacing w:after="120"/>
            </w:pPr>
          </w:p>
          <w:p w14:paraId="546044C9"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Détailler les chevauchements éventuels entre différents types d’appui</w:t>
            </w:r>
          </w:p>
          <w:p w14:paraId="0C3BB3FB" w14:textId="77777777" w:rsidR="00A35DC3" w:rsidRDefault="00A35DC3" w:rsidP="008C0828">
            <w:pPr>
              <w:spacing w:after="120"/>
            </w:pPr>
          </w:p>
        </w:tc>
      </w:tr>
      <w:tr w:rsidR="00A35DC3" w14:paraId="4652504A" w14:textId="77777777" w:rsidTr="00A4367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2F92FD39" w14:textId="77777777" w:rsidR="00A35DC3" w:rsidRDefault="00A35DC3" w:rsidP="008C0828">
            <w:pPr>
              <w:pStyle w:val="NormalWeb"/>
              <w:spacing w:before="0" w:beforeAutospacing="0" w:after="120" w:afterAutospacing="0"/>
            </w:pPr>
            <w:r>
              <w:rPr>
                <w:rFonts w:ascii="Arial" w:hAnsi="Arial" w:cs="Arial"/>
                <w:color w:val="000000"/>
                <w:sz w:val="18"/>
                <w:szCs w:val="18"/>
              </w:rPr>
              <w:t xml:space="preserve">5. </w:t>
            </w:r>
            <w:proofErr w:type="spellStart"/>
            <w:r>
              <w:rPr>
                <w:rFonts w:ascii="Arial" w:hAnsi="Arial" w:cs="Arial"/>
                <w:color w:val="000000"/>
                <w:sz w:val="18"/>
                <w:szCs w:val="18"/>
              </w:rPr>
              <w:t>Energie</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5093F29" w14:textId="77777777" w:rsidR="00A35DC3" w:rsidRDefault="00000000" w:rsidP="008C0828">
            <w:pPr>
              <w:pStyle w:val="NormalWeb"/>
              <w:spacing w:before="0" w:beforeAutospacing="0" w:after="120" w:afterAutospacing="0"/>
            </w:pPr>
            <w:hyperlink r:id="rId68" w:anchor="bookmark=id.vx1227" w:history="1">
              <w:r w:rsidR="00A35DC3">
                <w:rPr>
                  <w:rStyle w:val="Lienhypertexte"/>
                  <w:rFonts w:ascii="Arial" w:hAnsi="Arial" w:cs="Arial"/>
                  <w:color w:val="0563C1"/>
                  <w:sz w:val="18"/>
                  <w:szCs w:val="18"/>
                </w:rPr>
                <w:t>E.1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EC8DE5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 de régénération forestière en savane par mise en défens (naturelle et assistée)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B0760CA"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518F86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Géoréférencée</w:t>
            </w:r>
          </w:p>
          <w:p w14:paraId="49FE6B2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Application aux projets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0616194"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72E93D4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p w14:paraId="78E00CA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cet indicateur est mixte et pourrait apparaître sous l’effet 6 également. </w:t>
            </w:r>
          </w:p>
        </w:tc>
      </w:tr>
      <w:tr w:rsidR="00A35DC3" w14:paraId="5B9D23BC" w14:textId="77777777" w:rsidTr="00A4367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5EDEF6D4"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AB01BF4" w14:textId="77777777" w:rsidR="00A35DC3" w:rsidRDefault="00000000" w:rsidP="008C0828">
            <w:pPr>
              <w:pStyle w:val="NormalWeb"/>
              <w:spacing w:before="0" w:beforeAutospacing="0" w:after="120" w:afterAutospacing="0"/>
            </w:pPr>
            <w:hyperlink r:id="rId69" w:anchor="bookmark=id.3fwokq0" w:history="1">
              <w:r w:rsidR="00A35DC3">
                <w:rPr>
                  <w:rStyle w:val="Lienhypertexte"/>
                  <w:rFonts w:ascii="Arial" w:hAnsi="Arial" w:cs="Arial"/>
                  <w:color w:val="0563C1"/>
                  <w:sz w:val="18"/>
                  <w:szCs w:val="18"/>
                </w:rPr>
                <w:t>E.2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12D198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 de plantations à vocation totale ou partielle bois-énergie / bois d’œuvre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A3A6C72"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E5F480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Indicateur mixte Energie et Forêt.  </w:t>
            </w:r>
          </w:p>
          <w:p w14:paraId="185AFCB4" w14:textId="77777777" w:rsidR="00A35DC3" w:rsidRDefault="00A35DC3" w:rsidP="008C0828">
            <w:pPr>
              <w:pStyle w:val="NormalWeb"/>
              <w:spacing w:before="0" w:beforeAutospacing="0" w:after="120" w:afterAutospacing="0"/>
            </w:pPr>
            <w:proofErr w:type="spellStart"/>
            <w:r>
              <w:rPr>
                <w:rFonts w:ascii="Arial" w:hAnsi="Arial" w:cs="Arial"/>
                <w:color w:val="000000"/>
                <w:sz w:val="16"/>
                <w:szCs w:val="16"/>
              </w:rPr>
              <w:t>Géoréférencée</w:t>
            </w:r>
            <w:proofErr w:type="spellEnd"/>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759D35C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2B2593A0"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4A93273E" w14:textId="77777777" w:rsidTr="00A4367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3670CF7F"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0D4F9B4" w14:textId="77777777" w:rsidR="00A35DC3" w:rsidRDefault="00000000" w:rsidP="008C0828">
            <w:pPr>
              <w:pStyle w:val="NormalWeb"/>
              <w:spacing w:before="0" w:beforeAutospacing="0" w:after="120" w:afterAutospacing="0"/>
            </w:pPr>
            <w:hyperlink r:id="rId70" w:anchor="bookmark=id.1v1yuxt" w:history="1">
              <w:r w:rsidR="00A35DC3">
                <w:rPr>
                  <w:rStyle w:val="Lienhypertexte"/>
                  <w:rFonts w:ascii="Arial" w:hAnsi="Arial" w:cs="Arial"/>
                  <w:color w:val="0563C1"/>
                  <w:sz w:val="18"/>
                  <w:szCs w:val="18"/>
                </w:rPr>
                <w:t>E.3</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57C3B9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Nombre de bénéficiaires directs / indirects, </w:t>
            </w:r>
            <w:r w:rsidRPr="00A35DC3">
              <w:rPr>
                <w:rFonts w:ascii="Arial" w:hAnsi="Arial" w:cs="Arial"/>
                <w:i/>
                <w:iCs/>
                <w:color w:val="000000"/>
                <w:sz w:val="18"/>
                <w:szCs w:val="18"/>
                <w:lang w:val="fr-CH"/>
              </w:rPr>
              <w:t>ventilé par genre et type (minorité)) dont :</w:t>
            </w:r>
          </w:p>
          <w:p w14:paraId="2A0606F7" w14:textId="77777777" w:rsidR="00A35DC3" w:rsidRPr="00A35DC3" w:rsidRDefault="00A35DC3" w:rsidP="008C0828">
            <w:pPr>
              <w:pStyle w:val="NormalWeb"/>
              <w:spacing w:before="0" w:beforeAutospacing="0" w:after="120" w:afterAutospacing="0"/>
              <w:ind w:left="173"/>
              <w:rPr>
                <w:lang w:val="fr-CH"/>
              </w:rPr>
            </w:pPr>
            <w:r w:rsidRPr="00A35DC3">
              <w:rPr>
                <w:rFonts w:ascii="Arial" w:hAnsi="Arial" w:cs="Arial"/>
                <w:color w:val="000000"/>
                <w:sz w:val="18"/>
                <w:szCs w:val="18"/>
                <w:lang w:val="fr-CH"/>
              </w:rPr>
              <w:t>a) Paysans, charbonniers et entrepreneurs de charbonnage formés aux techniques de carbonisation améliorées</w:t>
            </w:r>
          </w:p>
          <w:p w14:paraId="4445EAAD" w14:textId="77777777" w:rsidR="00A35DC3" w:rsidRPr="00A35DC3" w:rsidRDefault="00A35DC3" w:rsidP="008C0828">
            <w:pPr>
              <w:pStyle w:val="NormalWeb"/>
              <w:spacing w:before="0" w:beforeAutospacing="0" w:after="120" w:afterAutospacing="0"/>
              <w:ind w:left="173"/>
              <w:rPr>
                <w:lang w:val="fr-CH"/>
              </w:rPr>
            </w:pPr>
            <w:r w:rsidRPr="00A35DC3">
              <w:rPr>
                <w:rFonts w:ascii="Arial" w:hAnsi="Arial" w:cs="Arial"/>
                <w:color w:val="000000"/>
                <w:sz w:val="18"/>
                <w:szCs w:val="18"/>
                <w:lang w:val="fr-CH"/>
              </w:rPr>
              <w:t>b) Nombres de solutions de cuissons propres achetées/distribuées (si inclus dans projet)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948CA7C" w14:textId="77777777" w:rsidR="00A35DC3" w:rsidRDefault="00A35DC3" w:rsidP="008C0828">
            <w:pPr>
              <w:pStyle w:val="NormalWeb"/>
              <w:spacing w:before="0" w:beforeAutospacing="0" w:after="120" w:afterAutospacing="0"/>
            </w:pPr>
            <w:proofErr w:type="spellStart"/>
            <w:r>
              <w:rPr>
                <w:rFonts w:ascii="Arial" w:hAnsi="Arial" w:cs="Arial"/>
                <w:color w:val="000000"/>
                <w:sz w:val="18"/>
                <w:szCs w:val="18"/>
              </w:rPr>
              <w:t>nb</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88CD682"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E0DFC71"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199A2BE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47073FF4" w14:textId="77777777" w:rsidTr="00A4367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0A5545B3" w14:textId="77777777" w:rsidR="00A35DC3" w:rsidRDefault="00A35DC3" w:rsidP="008C0828">
            <w:pPr>
              <w:pStyle w:val="NormalWeb"/>
              <w:spacing w:before="0" w:beforeAutospacing="0" w:after="120" w:afterAutospacing="0"/>
            </w:pPr>
            <w:r>
              <w:rPr>
                <w:rFonts w:ascii="Arial" w:hAnsi="Arial" w:cs="Arial"/>
                <w:color w:val="000000"/>
                <w:sz w:val="18"/>
                <w:szCs w:val="18"/>
              </w:rPr>
              <w:t xml:space="preserve">6. Gestion </w:t>
            </w:r>
            <w:proofErr w:type="spellStart"/>
            <w:r>
              <w:rPr>
                <w:rFonts w:ascii="Arial" w:hAnsi="Arial" w:cs="Arial"/>
                <w:color w:val="000000"/>
                <w:sz w:val="18"/>
                <w:szCs w:val="18"/>
              </w:rPr>
              <w:t>forestière</w:t>
            </w:r>
            <w:proofErr w:type="spellEnd"/>
            <w:r>
              <w:rPr>
                <w:rFonts w:ascii="Arial" w:hAnsi="Arial" w:cs="Arial"/>
                <w:color w:val="000000"/>
                <w:sz w:val="18"/>
                <w:szCs w:val="18"/>
              </w:rPr>
              <w:t xml:space="preserve"> &amp; conservation</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45FA525" w14:textId="77777777" w:rsidR="00A35DC3" w:rsidRDefault="00000000" w:rsidP="008C0828">
            <w:pPr>
              <w:pStyle w:val="NormalWeb"/>
              <w:spacing w:before="0" w:beforeAutospacing="0" w:after="120" w:afterAutospacing="0"/>
            </w:pPr>
            <w:hyperlink r:id="rId71" w:anchor="bookmark=id.2u6wntf" w:history="1">
              <w:r w:rsidR="00A35DC3">
                <w:rPr>
                  <w:rStyle w:val="Lienhypertexte"/>
                  <w:rFonts w:ascii="Arial" w:hAnsi="Arial" w:cs="Arial"/>
                  <w:color w:val="0563C1"/>
                  <w:sz w:val="18"/>
                  <w:szCs w:val="18"/>
                </w:rPr>
                <w:t>FOR.1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44F29F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Superficies à vocation de gestion forestière durable, </w:t>
            </w:r>
            <w:r w:rsidRPr="00A35DC3">
              <w:rPr>
                <w:rFonts w:ascii="Arial" w:hAnsi="Arial" w:cs="Arial"/>
                <w:i/>
                <w:iCs/>
                <w:color w:val="000000"/>
                <w:sz w:val="18"/>
                <w:szCs w:val="18"/>
                <w:lang w:val="fr-CH"/>
              </w:rPr>
              <w:t>ventilé par statut (catégorie GDF du Plan Simple de Gestion (pour CFCL) ou PSAT)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C0B0642"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DFBFE06" w14:textId="77777777" w:rsidR="00A35DC3" w:rsidRDefault="00A35DC3" w:rsidP="008C0828">
            <w:pPr>
              <w:pStyle w:val="NormalWeb"/>
              <w:spacing w:before="0" w:beforeAutospacing="0" w:after="120" w:afterAutospacing="0"/>
            </w:pPr>
            <w:r>
              <w:rPr>
                <w:rFonts w:ascii="Arial" w:hAnsi="Arial" w:cs="Arial"/>
                <w:color w:val="000000"/>
                <w:sz w:val="16"/>
                <w:szCs w:val="16"/>
              </w:rPr>
              <w:t>Application aux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74D032C"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507F8467" w14:textId="77777777" w:rsidR="00A35DC3" w:rsidRDefault="00A35DC3" w:rsidP="008C0828">
            <w:pPr>
              <w:pStyle w:val="NormalWeb"/>
              <w:spacing w:before="0" w:beforeAutospacing="0" w:after="120" w:afterAutospacing="0"/>
            </w:pPr>
            <w:r w:rsidRPr="00A35DC3">
              <w:rPr>
                <w:rFonts w:ascii="Arial" w:hAnsi="Arial" w:cs="Arial"/>
                <w:color w:val="000000"/>
                <w:sz w:val="16"/>
                <w:szCs w:val="16"/>
                <w:lang w:val="fr-CH"/>
              </w:rPr>
              <w:t xml:space="preserve">Le document de projet ne peut pas être approuvé si cet indicateur n'apparaît pas dans le cadre de résultats. </w:t>
            </w:r>
            <w:r>
              <w:rPr>
                <w:rFonts w:ascii="Arial" w:hAnsi="Arial" w:cs="Arial"/>
                <w:color w:val="000000"/>
                <w:sz w:val="16"/>
                <w:szCs w:val="16"/>
              </w:rPr>
              <w:t xml:space="preserve">Pour rappel ceci </w:t>
            </w:r>
            <w:proofErr w:type="spellStart"/>
            <w:r>
              <w:rPr>
                <w:rFonts w:ascii="Arial" w:hAnsi="Arial" w:cs="Arial"/>
                <w:color w:val="000000"/>
                <w:sz w:val="16"/>
                <w:szCs w:val="16"/>
              </w:rPr>
              <w:t>est</w:t>
            </w:r>
            <w:proofErr w:type="spellEnd"/>
            <w:r>
              <w:rPr>
                <w:rFonts w:ascii="Arial" w:hAnsi="Arial" w:cs="Arial"/>
                <w:color w:val="000000"/>
                <w:sz w:val="16"/>
                <w:szCs w:val="16"/>
              </w:rPr>
              <w:t xml:space="preserve"> déjà </w:t>
            </w:r>
            <w:proofErr w:type="spellStart"/>
            <w:r>
              <w:rPr>
                <w:rFonts w:ascii="Arial" w:hAnsi="Arial" w:cs="Arial"/>
                <w:color w:val="000000"/>
                <w:sz w:val="16"/>
                <w:szCs w:val="16"/>
              </w:rPr>
              <w:t>renseigné</w:t>
            </w:r>
            <w:proofErr w:type="spellEnd"/>
            <w:r>
              <w:rPr>
                <w:rFonts w:ascii="Arial" w:hAnsi="Arial" w:cs="Arial"/>
                <w:color w:val="000000"/>
                <w:sz w:val="16"/>
                <w:szCs w:val="16"/>
              </w:rPr>
              <w:t xml:space="preserve"> dans AT 1</w:t>
            </w:r>
          </w:p>
        </w:tc>
      </w:tr>
      <w:tr w:rsidR="00A35DC3" w14:paraId="22DA5476"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7C2D59FD"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2E243C1" w14:textId="77777777" w:rsidR="00A35DC3" w:rsidRDefault="00000000" w:rsidP="008C0828">
            <w:pPr>
              <w:pStyle w:val="NormalWeb"/>
              <w:spacing w:before="0" w:beforeAutospacing="0" w:after="120" w:afterAutospacing="0"/>
            </w:pPr>
            <w:hyperlink r:id="rId72" w:anchor="bookmark=id.19c6y18" w:history="1">
              <w:r w:rsidR="00A35DC3">
                <w:rPr>
                  <w:rStyle w:val="Lienhypertexte"/>
                  <w:rFonts w:ascii="Arial" w:hAnsi="Arial" w:cs="Arial"/>
                  <w:color w:val="0563C1"/>
                  <w:sz w:val="18"/>
                  <w:szCs w:val="18"/>
                </w:rPr>
                <w:t>FOR.2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D4E454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de personnes habitant dans les zones de foresterie communautaire formalisées (en RDC : sous CFCL)</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EC408CF" w14:textId="77777777" w:rsidR="00A35DC3" w:rsidRDefault="00A35DC3" w:rsidP="008C0828">
            <w:pPr>
              <w:pStyle w:val="NormalWeb"/>
              <w:spacing w:before="0" w:beforeAutospacing="0" w:after="120" w:afterAutospacing="0"/>
            </w:pPr>
            <w:proofErr w:type="spellStart"/>
            <w:r>
              <w:rPr>
                <w:rFonts w:ascii="Arial" w:hAnsi="Arial" w:cs="Arial"/>
                <w:color w:val="000000"/>
                <w:sz w:val="18"/>
                <w:szCs w:val="18"/>
              </w:rPr>
              <w:t>nb</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192D59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Estimation. Fournir les hypothèses de calcul. les zones sont des terroirs en RDC</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918434B" w14:textId="77777777" w:rsidR="00A35DC3" w:rsidRDefault="00A35DC3" w:rsidP="008C0828">
            <w:pPr>
              <w:spacing w:after="120"/>
            </w:pPr>
          </w:p>
        </w:tc>
      </w:tr>
      <w:tr w:rsidR="00A35DC3" w14:paraId="1DDFB743"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2CE6FFE5"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4F3C38B" w14:textId="77777777" w:rsidR="00A35DC3" w:rsidRDefault="00000000" w:rsidP="008C0828">
            <w:pPr>
              <w:pStyle w:val="NormalWeb"/>
              <w:spacing w:before="0" w:beforeAutospacing="0" w:after="120" w:afterAutospacing="0"/>
            </w:pPr>
            <w:hyperlink r:id="rId73" w:anchor="bookmark=id.3tbugp1" w:history="1">
              <w:r w:rsidR="00A35DC3">
                <w:rPr>
                  <w:rStyle w:val="Lienhypertexte"/>
                  <w:rFonts w:ascii="Arial" w:hAnsi="Arial" w:cs="Arial"/>
                  <w:color w:val="0563C1"/>
                  <w:sz w:val="18"/>
                  <w:szCs w:val="18"/>
                </w:rPr>
                <w:t>FOR.3</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6A16CB0"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 de pare-feu établis / entretenus</w:t>
            </w:r>
          </w:p>
          <w:p w14:paraId="79D3507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OU</w:t>
            </w:r>
          </w:p>
          <w:p w14:paraId="3AC2A55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 xml:space="preserve">Superficies effectivement protégées par les </w:t>
            </w:r>
            <w:proofErr w:type="spellStart"/>
            <w:r w:rsidRPr="00A35DC3">
              <w:rPr>
                <w:rFonts w:ascii="Arial" w:hAnsi="Arial" w:cs="Arial"/>
                <w:color w:val="000000"/>
                <w:sz w:val="18"/>
                <w:szCs w:val="18"/>
                <w:lang w:val="fr-CH"/>
              </w:rPr>
              <w:t>pare-feux</w:t>
            </w:r>
            <w:proofErr w:type="spellEnd"/>
            <w:r w:rsidRPr="00A35DC3">
              <w:rPr>
                <w:rFonts w:ascii="Arial" w:hAnsi="Arial" w:cs="Arial"/>
                <w:color w:val="000000"/>
                <w:sz w:val="18"/>
                <w:szCs w:val="18"/>
                <w:lang w:val="fr-CH"/>
              </w:rPr>
              <w:t>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84EF392"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7E2FB8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Géoréférencée </w:t>
            </w:r>
          </w:p>
          <w:p w14:paraId="09D7916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3 grand types de vocation : (i) protection agroforesterie, (ii) mise en défens limitée à fins de reboisement ou de production agroforestière (jachère brulis), (iii) mise en défens de grande superficie en savane ou en forêt à fin de conservation</w:t>
            </w:r>
          </w:p>
          <w:p w14:paraId="2DF1FAD4" w14:textId="77777777" w:rsidR="00A35DC3" w:rsidRDefault="00A35DC3" w:rsidP="008C0828">
            <w:pPr>
              <w:pStyle w:val="NormalWeb"/>
              <w:spacing w:before="0" w:beforeAutospacing="0" w:after="120" w:afterAutospacing="0"/>
            </w:pPr>
            <w:r>
              <w:rPr>
                <w:rFonts w:ascii="Arial" w:hAnsi="Arial" w:cs="Arial"/>
                <w:color w:val="000000"/>
                <w:sz w:val="16"/>
                <w:szCs w:val="16"/>
              </w:rPr>
              <w:t xml:space="preserve">Application aux </w:t>
            </w:r>
            <w:proofErr w:type="spellStart"/>
            <w:r>
              <w:rPr>
                <w:rFonts w:ascii="Arial" w:hAnsi="Arial" w:cs="Arial"/>
                <w:color w:val="000000"/>
                <w:sz w:val="16"/>
                <w:szCs w:val="16"/>
              </w:rPr>
              <w:t>projets</w:t>
            </w:r>
            <w:proofErr w:type="spellEnd"/>
            <w:r>
              <w:rPr>
                <w:rFonts w:ascii="Arial" w:hAnsi="Arial" w:cs="Arial"/>
                <w:color w:val="000000"/>
                <w:sz w:val="16"/>
                <w:szCs w:val="16"/>
              </w:rPr>
              <w:t xml:space="preserve">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7306BC3"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57A2DC06"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51037D2E"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2A863A17"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A6F5965" w14:textId="77777777" w:rsidR="00A35DC3" w:rsidRDefault="00000000" w:rsidP="008C0828">
            <w:pPr>
              <w:pStyle w:val="NormalWeb"/>
              <w:spacing w:before="0" w:beforeAutospacing="0" w:after="120" w:afterAutospacing="0"/>
            </w:pPr>
            <w:hyperlink r:id="rId74" w:anchor="bookmark=id.28h4qwu" w:history="1">
              <w:r w:rsidR="00A35DC3">
                <w:rPr>
                  <w:rStyle w:val="Lienhypertexte"/>
                  <w:rFonts w:ascii="Arial" w:hAnsi="Arial" w:cs="Arial"/>
                  <w:color w:val="0563C1"/>
                  <w:sz w:val="18"/>
                  <w:szCs w:val="18"/>
                </w:rPr>
                <w:t>FOR.4</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CC57E1E" w14:textId="77777777" w:rsidR="00A35DC3" w:rsidRDefault="00A35DC3" w:rsidP="008C0828">
            <w:pPr>
              <w:pStyle w:val="NormalWeb"/>
              <w:spacing w:before="0" w:beforeAutospacing="0" w:after="120" w:afterAutospacing="0"/>
            </w:pPr>
            <w:r>
              <w:rPr>
                <w:rFonts w:ascii="Arial" w:hAnsi="Arial" w:cs="Arial"/>
                <w:color w:val="000000"/>
                <w:sz w:val="18"/>
                <w:szCs w:val="18"/>
              </w:rPr>
              <w:t xml:space="preserve">Exploitation </w:t>
            </w:r>
            <w:proofErr w:type="spellStart"/>
            <w:r>
              <w:rPr>
                <w:rFonts w:ascii="Arial" w:hAnsi="Arial" w:cs="Arial"/>
                <w:color w:val="000000"/>
                <w:sz w:val="18"/>
                <w:szCs w:val="18"/>
              </w:rPr>
              <w:t>forestière</w:t>
            </w:r>
            <w:proofErr w:type="spellEnd"/>
            <w:r>
              <w:rPr>
                <w:rFonts w:ascii="Arial" w:hAnsi="Arial" w:cs="Arial"/>
                <w:color w:val="000000"/>
                <w:sz w:val="18"/>
                <w:szCs w:val="18"/>
              </w:rPr>
              <w:t xml:space="preserve"> </w:t>
            </w:r>
            <w:proofErr w:type="gramStart"/>
            <w:r>
              <w:rPr>
                <w:rFonts w:ascii="Arial" w:hAnsi="Arial" w:cs="Arial"/>
                <w:color w:val="000000"/>
                <w:sz w:val="18"/>
                <w:szCs w:val="18"/>
              </w:rPr>
              <w:t>durable :</w:t>
            </w:r>
            <w:proofErr w:type="gramEnd"/>
          </w:p>
          <w:p w14:paraId="5F83F347" w14:textId="77777777" w:rsidR="00A35DC3" w:rsidRPr="00A35DC3" w:rsidRDefault="00A35DC3" w:rsidP="00487A95">
            <w:pPr>
              <w:pStyle w:val="NormalWeb"/>
              <w:numPr>
                <w:ilvl w:val="0"/>
                <w:numId w:val="14"/>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Superficie sous CFCL et PSAT sous exploitation forestière effective engagée dans une démarche de durabilité</w:t>
            </w:r>
          </w:p>
          <w:p w14:paraId="6418D557" w14:textId="77777777" w:rsidR="00A35DC3" w:rsidRPr="00A35DC3" w:rsidRDefault="00A35DC3" w:rsidP="00487A95">
            <w:pPr>
              <w:pStyle w:val="NormalWeb"/>
              <w:numPr>
                <w:ilvl w:val="0"/>
                <w:numId w:val="15"/>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Superficie sous exploitation forestière artisanale durable (y compris dans CFCL)</w:t>
            </w:r>
          </w:p>
          <w:p w14:paraId="27BD4FAF" w14:textId="77777777" w:rsidR="00A35DC3" w:rsidRPr="00A35DC3" w:rsidRDefault="00A35DC3" w:rsidP="00487A95">
            <w:pPr>
              <w:pStyle w:val="NormalWeb"/>
              <w:numPr>
                <w:ilvl w:val="0"/>
                <w:numId w:val="16"/>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Nb de CFCL, (CLD et ETD?) disposant d’un Plan Simple de Gestion (PSG) de l’exploitation forestière</w:t>
            </w:r>
          </w:p>
          <w:p w14:paraId="24A6C7B0" w14:textId="77777777" w:rsidR="00A35DC3" w:rsidRPr="00A35DC3" w:rsidRDefault="00A35DC3" w:rsidP="00487A95">
            <w:pPr>
              <w:pStyle w:val="NormalWeb"/>
              <w:numPr>
                <w:ilvl w:val="0"/>
                <w:numId w:val="17"/>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Superficie sous contrat de PSE de gestion forestière durable</w:t>
            </w:r>
          </w:p>
          <w:p w14:paraId="2D477FFC" w14:textId="77777777" w:rsidR="00A35DC3" w:rsidRPr="00A35DC3" w:rsidRDefault="00A35DC3" w:rsidP="00487A95">
            <w:pPr>
              <w:pStyle w:val="NormalWeb"/>
              <w:numPr>
                <w:ilvl w:val="0"/>
                <w:numId w:val="18"/>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Nombre de personnes formées à l’exploitation forestière durable</w:t>
            </w:r>
          </w:p>
          <w:p w14:paraId="2B05A03E" w14:textId="77777777" w:rsidR="00A35DC3" w:rsidRPr="00A35DC3" w:rsidRDefault="00A35DC3" w:rsidP="00487A95">
            <w:pPr>
              <w:pStyle w:val="NormalWeb"/>
              <w:numPr>
                <w:ilvl w:val="0"/>
                <w:numId w:val="19"/>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lastRenderedPageBreak/>
              <w:t>Nb d’exploitants forestiers artisanaux sous contrats de PSE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1E13F1F" w14:textId="77777777" w:rsidR="00A35DC3" w:rsidRDefault="00A35DC3" w:rsidP="008C0828">
            <w:pPr>
              <w:pStyle w:val="NormalWeb"/>
              <w:spacing w:before="0" w:beforeAutospacing="0" w:after="120" w:afterAutospacing="0"/>
            </w:pPr>
            <w:r>
              <w:rPr>
                <w:rFonts w:ascii="Arial" w:hAnsi="Arial" w:cs="Arial"/>
                <w:color w:val="000000"/>
                <w:sz w:val="18"/>
                <w:szCs w:val="18"/>
              </w:rPr>
              <w:lastRenderedPageBreak/>
              <w:t>ha &amp;</w:t>
            </w:r>
          </w:p>
          <w:p w14:paraId="093F3E83" w14:textId="77777777" w:rsidR="00A35DC3" w:rsidRDefault="00A35DC3" w:rsidP="008C0828">
            <w:pPr>
              <w:pStyle w:val="NormalWeb"/>
              <w:spacing w:before="0" w:beforeAutospacing="0" w:after="120" w:afterAutospacing="0"/>
            </w:pPr>
            <w:r>
              <w:rPr>
                <w:rFonts w:ascii="Arial" w:hAnsi="Arial" w:cs="Arial"/>
                <w:color w:val="000000"/>
                <w:sz w:val="18"/>
                <w:szCs w:val="18"/>
              </w:rPr>
              <w:t>Nb</w:t>
            </w:r>
          </w:p>
          <w:p w14:paraId="5A4DEE8C"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AC54B38" w14:textId="77777777" w:rsidR="00A35DC3" w:rsidRDefault="00A35DC3" w:rsidP="008C0828">
            <w:pPr>
              <w:pStyle w:val="NormalWeb"/>
              <w:spacing w:before="0" w:beforeAutospacing="0" w:after="120" w:afterAutospacing="0"/>
            </w:pPr>
            <w:proofErr w:type="spellStart"/>
            <w:r>
              <w:rPr>
                <w:rFonts w:ascii="Arial" w:hAnsi="Arial" w:cs="Arial"/>
                <w:color w:val="000000"/>
                <w:sz w:val="16"/>
                <w:szCs w:val="16"/>
              </w:rPr>
              <w:t>Géoréférencée</w:t>
            </w:r>
            <w:proofErr w:type="spellEnd"/>
          </w:p>
          <w:p w14:paraId="7DE3A5CA"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15C3FBB"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 </w:t>
            </w:r>
          </w:p>
          <w:p w14:paraId="6B059A75"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2674C01A"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0DE61F29"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0462C61" w14:textId="77777777" w:rsidR="00A35DC3" w:rsidRDefault="00000000" w:rsidP="008C0828">
            <w:pPr>
              <w:pStyle w:val="NormalWeb"/>
              <w:spacing w:before="0" w:beforeAutospacing="0" w:after="120" w:afterAutospacing="0"/>
            </w:pPr>
            <w:hyperlink r:id="rId75" w:anchor="bookmark=id.nmf14n" w:history="1">
              <w:r w:rsidR="00A35DC3">
                <w:rPr>
                  <w:rStyle w:val="Lienhypertexte"/>
                  <w:rFonts w:ascii="Arial" w:hAnsi="Arial" w:cs="Arial"/>
                  <w:color w:val="0563C1"/>
                  <w:sz w:val="18"/>
                  <w:szCs w:val="18"/>
                </w:rPr>
                <w:t>FOR.5</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F215FD4"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Superficies forestières (ha) placées sous conservation, totale et</w:t>
            </w:r>
          </w:p>
          <w:p w14:paraId="2E6612A5" w14:textId="77777777" w:rsidR="00A35DC3" w:rsidRPr="00A35DC3" w:rsidRDefault="00A35DC3" w:rsidP="008C0828">
            <w:pPr>
              <w:pStyle w:val="NormalWeb"/>
              <w:spacing w:before="0" w:beforeAutospacing="0" w:after="120" w:afterAutospacing="0"/>
              <w:ind w:left="173"/>
              <w:rPr>
                <w:lang w:val="fr-CH"/>
              </w:rPr>
            </w:pPr>
            <w:r w:rsidRPr="00A35DC3">
              <w:rPr>
                <w:rFonts w:ascii="Arial" w:hAnsi="Arial" w:cs="Arial"/>
                <w:color w:val="000000"/>
                <w:sz w:val="18"/>
                <w:szCs w:val="18"/>
                <w:lang w:val="fr-CH"/>
              </w:rPr>
              <w:t>a) A l’intérieur d’une CFCL</w:t>
            </w:r>
          </w:p>
          <w:p w14:paraId="1CE61A7C" w14:textId="77777777" w:rsidR="00A35DC3" w:rsidRPr="00A35DC3" w:rsidRDefault="00A35DC3" w:rsidP="008C0828">
            <w:pPr>
              <w:pStyle w:val="NormalWeb"/>
              <w:spacing w:before="0" w:beforeAutospacing="0" w:after="120" w:afterAutospacing="0"/>
              <w:ind w:left="173"/>
              <w:rPr>
                <w:lang w:val="fr-CH"/>
              </w:rPr>
            </w:pPr>
            <w:r w:rsidRPr="00A35DC3">
              <w:rPr>
                <w:rFonts w:ascii="Arial" w:hAnsi="Arial" w:cs="Arial"/>
                <w:color w:val="000000"/>
                <w:sz w:val="18"/>
                <w:szCs w:val="18"/>
                <w:lang w:val="fr-CH"/>
              </w:rPr>
              <w:t>b) Au sein d’un PSAT (terroirs villageois)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292D905"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69C63B8"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Géoréférencée </w:t>
            </w:r>
          </w:p>
          <w:p w14:paraId="08AA479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Dont les forêts de grande valeur, les couloirs écologiques, les tourbières, les frayères, les forêts inondées</w:t>
            </w:r>
          </w:p>
          <w:p w14:paraId="078912BF" w14:textId="77777777" w:rsidR="00A35DC3" w:rsidRDefault="00A35DC3" w:rsidP="008C0828">
            <w:pPr>
              <w:pStyle w:val="NormalWeb"/>
              <w:spacing w:before="0" w:beforeAutospacing="0" w:after="120" w:afterAutospacing="0"/>
            </w:pPr>
            <w:r>
              <w:rPr>
                <w:rFonts w:ascii="Arial" w:hAnsi="Arial" w:cs="Arial"/>
                <w:color w:val="000000"/>
                <w:sz w:val="16"/>
                <w:szCs w:val="16"/>
              </w:rPr>
              <w:t xml:space="preserve">Application aux </w:t>
            </w:r>
            <w:proofErr w:type="spellStart"/>
            <w:r>
              <w:rPr>
                <w:rFonts w:ascii="Arial" w:hAnsi="Arial" w:cs="Arial"/>
                <w:color w:val="000000"/>
                <w:sz w:val="16"/>
                <w:szCs w:val="16"/>
              </w:rPr>
              <w:t>projets</w:t>
            </w:r>
            <w:proofErr w:type="spellEnd"/>
            <w:r>
              <w:rPr>
                <w:rFonts w:ascii="Arial" w:hAnsi="Arial" w:cs="Arial"/>
                <w:color w:val="000000"/>
                <w:sz w:val="16"/>
                <w:szCs w:val="16"/>
              </w:rPr>
              <w:t xml:space="preserve">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0A0E747"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27D569FC" w14:textId="77777777" w:rsidR="00A35DC3" w:rsidRDefault="00A35DC3" w:rsidP="008C0828">
            <w:pPr>
              <w:spacing w:after="120"/>
            </w:pPr>
          </w:p>
          <w:p w14:paraId="414F9E32"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1787F11F"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67FA7A69"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F370D9A" w14:textId="77777777" w:rsidR="00A35DC3" w:rsidRDefault="00000000" w:rsidP="008C0828">
            <w:pPr>
              <w:pStyle w:val="NormalWeb"/>
              <w:spacing w:before="0" w:beforeAutospacing="0" w:after="120" w:afterAutospacing="0"/>
            </w:pPr>
            <w:hyperlink r:id="rId76" w:anchor="bookmark=id.37m2jsg" w:history="1">
              <w:r w:rsidR="00A35DC3">
                <w:rPr>
                  <w:rStyle w:val="Lienhypertexte"/>
                  <w:rFonts w:ascii="Arial" w:hAnsi="Arial" w:cs="Arial"/>
                  <w:color w:val="0563C1"/>
                  <w:sz w:val="18"/>
                  <w:szCs w:val="18"/>
                </w:rPr>
                <w:t>FOR.6</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E117F4C" w14:textId="77777777" w:rsidR="00A35DC3" w:rsidRDefault="00A35DC3" w:rsidP="008C0828">
            <w:pPr>
              <w:pStyle w:val="NormalWeb"/>
              <w:spacing w:before="0" w:beforeAutospacing="0" w:after="120" w:afterAutospacing="0"/>
            </w:pPr>
            <w:r>
              <w:rPr>
                <w:rFonts w:ascii="Arial" w:hAnsi="Arial" w:cs="Arial"/>
                <w:color w:val="000000"/>
                <w:sz w:val="18"/>
                <w:szCs w:val="18"/>
              </w:rPr>
              <w:t>Conservation</w:t>
            </w:r>
          </w:p>
          <w:p w14:paraId="104D62D9" w14:textId="77777777" w:rsidR="00A35DC3" w:rsidRPr="00A35DC3" w:rsidRDefault="00A35DC3" w:rsidP="00487A95">
            <w:pPr>
              <w:pStyle w:val="NormalWeb"/>
              <w:numPr>
                <w:ilvl w:val="0"/>
                <w:numId w:val="20"/>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 de PSAT auxquels sont associés des guides de bonnes pratiques de Gestion Naturelle des ressources </w:t>
            </w:r>
          </w:p>
          <w:p w14:paraId="03D5E951"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b) Degré d’application de ces pratiques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0646AAB"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75CFC55" w14:textId="77777777" w:rsidR="00A35DC3" w:rsidRDefault="00A35DC3" w:rsidP="008C0828">
            <w:pPr>
              <w:spacing w:after="120"/>
            </w:pPr>
            <w:r>
              <w:br/>
            </w:r>
          </w:p>
          <w:p w14:paraId="75493D64" w14:textId="77777777" w:rsidR="00A35DC3" w:rsidRDefault="00A35DC3" w:rsidP="00487A95">
            <w:pPr>
              <w:pStyle w:val="NormalWeb"/>
              <w:numPr>
                <w:ilvl w:val="0"/>
                <w:numId w:val="21"/>
              </w:numPr>
              <w:spacing w:before="0" w:beforeAutospacing="0" w:after="120" w:afterAutospacing="0"/>
              <w:ind w:left="720" w:hanging="360"/>
              <w:textAlignment w:val="baseline"/>
              <w:rPr>
                <w:rFonts w:ascii="Arial" w:hAnsi="Arial" w:cs="Arial"/>
                <w:color w:val="000000"/>
                <w:sz w:val="16"/>
                <w:szCs w:val="16"/>
              </w:rPr>
            </w:pPr>
            <w:r>
              <w:rPr>
                <w:rFonts w:ascii="Arial" w:hAnsi="Arial" w:cs="Arial"/>
                <w:color w:val="000000"/>
                <w:sz w:val="16"/>
                <w:szCs w:val="16"/>
              </w:rPr>
              <w:t xml:space="preserve">Indicateur </w:t>
            </w:r>
            <w:proofErr w:type="spellStart"/>
            <w:r>
              <w:rPr>
                <w:rFonts w:ascii="Arial" w:hAnsi="Arial" w:cs="Arial"/>
                <w:color w:val="000000"/>
                <w:sz w:val="16"/>
                <w:szCs w:val="16"/>
              </w:rPr>
              <w:t>binaire</w:t>
            </w:r>
            <w:proofErr w:type="spellEnd"/>
          </w:p>
          <w:p w14:paraId="15C5107A" w14:textId="77777777" w:rsidR="00A35DC3" w:rsidRPr="00A35DC3" w:rsidRDefault="00A35DC3" w:rsidP="00487A95">
            <w:pPr>
              <w:pStyle w:val="NormalWeb"/>
              <w:numPr>
                <w:ilvl w:val="0"/>
                <w:numId w:val="22"/>
              </w:numPr>
              <w:spacing w:before="0" w:beforeAutospacing="0" w:after="120" w:afterAutospacing="0"/>
              <w:textAlignment w:val="baseline"/>
              <w:rPr>
                <w:rFonts w:ascii="Arial" w:hAnsi="Arial" w:cs="Arial"/>
                <w:color w:val="000000"/>
                <w:sz w:val="16"/>
                <w:szCs w:val="16"/>
                <w:lang w:val="fr-CH"/>
              </w:rPr>
            </w:pPr>
            <w:r w:rsidRPr="00A35DC3">
              <w:rPr>
                <w:rFonts w:ascii="Arial" w:hAnsi="Arial" w:cs="Arial"/>
                <w:color w:val="000000"/>
                <w:sz w:val="16"/>
                <w:szCs w:val="16"/>
                <w:lang w:val="fr-CH"/>
              </w:rPr>
              <w:t>Evaluation sur une échelle de 1 à 5, sur la base d’une méthodologie à définir</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415E892" w14:textId="77777777" w:rsidR="00A35DC3" w:rsidRDefault="00A35DC3" w:rsidP="008C0828">
            <w:pPr>
              <w:pStyle w:val="NormalWeb"/>
              <w:spacing w:before="0" w:beforeAutospacing="0" w:after="120" w:afterAutospacing="0"/>
            </w:pPr>
            <w:r>
              <w:rPr>
                <w:rFonts w:ascii="Arial" w:hAnsi="Arial" w:cs="Arial"/>
                <w:color w:val="000000"/>
                <w:sz w:val="16"/>
                <w:szCs w:val="16"/>
              </w:rPr>
              <w:t>Haute importance</w:t>
            </w:r>
          </w:p>
        </w:tc>
      </w:tr>
      <w:tr w:rsidR="00A35DC3" w14:paraId="34D34E40"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553A020F"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D6DE473" w14:textId="77777777" w:rsidR="00A35DC3" w:rsidRDefault="00000000" w:rsidP="008C0828">
            <w:pPr>
              <w:pStyle w:val="NormalWeb"/>
              <w:spacing w:before="0" w:beforeAutospacing="0" w:after="120" w:afterAutospacing="0"/>
            </w:pPr>
            <w:hyperlink r:id="rId77" w:anchor="bookmark=id.1mrcu09" w:history="1">
              <w:r w:rsidR="00A35DC3">
                <w:rPr>
                  <w:rStyle w:val="Lienhypertexte"/>
                  <w:rFonts w:ascii="Arial" w:hAnsi="Arial" w:cs="Arial"/>
                  <w:color w:val="000000"/>
                  <w:sz w:val="18"/>
                  <w:szCs w:val="18"/>
                </w:rPr>
                <w:t>FOR.7</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BE1D1F0"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Nombre total de bénéficiaires indirects, ventilé par genre et type (CFCL, PSAT) </w:t>
            </w:r>
          </w:p>
          <w:p w14:paraId="513FCCF0" w14:textId="77777777" w:rsidR="00A35DC3" w:rsidRPr="003B4456" w:rsidRDefault="00A35DC3" w:rsidP="008C0828">
            <w:pPr>
              <w:pStyle w:val="NormalWeb"/>
              <w:spacing w:before="0" w:beforeAutospacing="0" w:after="120" w:afterAutospacing="0"/>
              <w:rPr>
                <w:lang w:val="nb-NO"/>
              </w:rPr>
            </w:pPr>
            <w:r w:rsidRPr="003B4456">
              <w:rPr>
                <w:rFonts w:ascii="Arial" w:hAnsi="Arial" w:cs="Arial"/>
                <w:color w:val="000000"/>
                <w:sz w:val="18"/>
                <w:szCs w:val="18"/>
                <w:lang w:val="nb-NO"/>
              </w:rPr>
              <w:t>(inclut FOR 4 e et f)</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7A5EAA2" w14:textId="77777777" w:rsidR="00A35DC3" w:rsidRPr="003B4456" w:rsidRDefault="00A35DC3" w:rsidP="008C0828">
            <w:pPr>
              <w:spacing w:after="120"/>
              <w:rPr>
                <w:lang w:val="nb-NO"/>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326FB5A" w14:textId="77777777" w:rsidR="00A35DC3" w:rsidRPr="003B4456" w:rsidRDefault="00A35DC3" w:rsidP="008C0828">
            <w:pPr>
              <w:spacing w:after="120"/>
              <w:rPr>
                <w:lang w:val="nb-NO"/>
              </w:rPr>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98595DF"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69B857B7" w14:textId="77777777" w:rsidTr="00A4367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296DB69B" w14:textId="77777777" w:rsidR="00A35DC3" w:rsidRDefault="00A35DC3" w:rsidP="008C0828">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1032B7A" w14:textId="77777777" w:rsidR="00A35DC3" w:rsidRDefault="00A35DC3" w:rsidP="008C0828">
            <w:pPr>
              <w:pStyle w:val="NormalWeb"/>
              <w:spacing w:before="0" w:beforeAutospacing="0" w:after="120" w:afterAutospacing="0"/>
            </w:pPr>
            <w:r>
              <w:rPr>
                <w:rFonts w:ascii="Arial" w:hAnsi="Arial" w:cs="Arial"/>
                <w:color w:val="000000"/>
                <w:sz w:val="18"/>
                <w:szCs w:val="18"/>
              </w:rPr>
              <w:t>FOR.8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1A7D8FD" w14:textId="77777777" w:rsidR="00A35DC3" w:rsidRPr="00A35DC3" w:rsidRDefault="00A35DC3" w:rsidP="008C0828">
            <w:pPr>
              <w:pStyle w:val="NormalWeb"/>
              <w:spacing w:before="0" w:beforeAutospacing="0" w:after="120" w:afterAutospacing="0"/>
              <w:rPr>
                <w:lang w:val="fr-CH"/>
              </w:rPr>
            </w:pPr>
            <w:r w:rsidRPr="00A35DC3">
              <w:rPr>
                <w:rFonts w:ascii="Arial" w:hAnsi="Arial" w:cs="Arial"/>
                <w:color w:val="000000"/>
                <w:sz w:val="18"/>
                <w:szCs w:val="18"/>
                <w:lang w:val="fr-CH"/>
              </w:rPr>
              <w:t>Superficies de forêts sous concessions certifiées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F3C2A84" w14:textId="77777777" w:rsidR="00A35DC3" w:rsidRDefault="00A35DC3" w:rsidP="008C0828">
            <w:pPr>
              <w:pStyle w:val="NormalWeb"/>
              <w:spacing w:before="0" w:beforeAutospacing="0" w:after="120" w:afterAutospacing="0"/>
            </w:pPr>
            <w:r>
              <w:rPr>
                <w:rFonts w:ascii="Arial" w:hAnsi="Arial" w:cs="Arial"/>
                <w:color w:val="000000"/>
                <w:sz w:val="18"/>
                <w:szCs w:val="18"/>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237E42C" w14:textId="77777777" w:rsidR="00A35DC3" w:rsidRDefault="00A35DC3" w:rsidP="008C0828">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53913C6" w14:textId="77777777" w:rsidR="00A35DC3" w:rsidRDefault="00A35DC3" w:rsidP="008C0828">
            <w:pPr>
              <w:spacing w:after="120"/>
            </w:pPr>
          </w:p>
        </w:tc>
      </w:tr>
    </w:tbl>
    <w:p w14:paraId="6009EE95" w14:textId="77777777" w:rsidR="00A35DC3" w:rsidRDefault="00A35DC3" w:rsidP="00A35DC3">
      <w:r>
        <w:br/>
      </w:r>
    </w:p>
    <w:p w14:paraId="7812A191" w14:textId="77777777" w:rsidR="00A35DC3" w:rsidRPr="00C53158" w:rsidRDefault="00A35DC3" w:rsidP="00C53158">
      <w:pPr>
        <w:pStyle w:val="NormalWeb"/>
        <w:spacing w:before="0" w:beforeAutospacing="0" w:after="160" w:afterAutospacing="0"/>
        <w:rPr>
          <w:rFonts w:ascii="Arial" w:hAnsi="Arial" w:cs="Arial"/>
          <w:b/>
          <w:bCs/>
          <w:color w:val="2F5496"/>
          <w:sz w:val="28"/>
          <w:szCs w:val="28"/>
        </w:rPr>
      </w:pPr>
      <w:proofErr w:type="spellStart"/>
      <w:r>
        <w:rPr>
          <w:rFonts w:ascii="Arial" w:hAnsi="Arial" w:cs="Arial"/>
          <w:b/>
          <w:bCs/>
          <w:color w:val="2F5496"/>
          <w:sz w:val="28"/>
          <w:szCs w:val="28"/>
        </w:rPr>
        <w:t>Indicateurs</w:t>
      </w:r>
      <w:proofErr w:type="spellEnd"/>
      <w:r>
        <w:rPr>
          <w:rFonts w:ascii="Arial" w:hAnsi="Arial" w:cs="Arial"/>
          <w:b/>
          <w:bCs/>
          <w:color w:val="2F5496"/>
          <w:sz w:val="28"/>
          <w:szCs w:val="28"/>
        </w:rPr>
        <w:t xml:space="preserve"> </w:t>
      </w:r>
      <w:proofErr w:type="spellStart"/>
      <w:r>
        <w:rPr>
          <w:rFonts w:ascii="Arial" w:hAnsi="Arial" w:cs="Arial"/>
          <w:b/>
          <w:bCs/>
          <w:color w:val="2F5496"/>
          <w:sz w:val="28"/>
          <w:szCs w:val="28"/>
        </w:rPr>
        <w:t>d’effet</w:t>
      </w:r>
      <w:proofErr w:type="spellEnd"/>
    </w:p>
    <w:p w14:paraId="7DCD36E7" w14:textId="77777777" w:rsidR="00A35DC3" w:rsidRPr="00A35DC3" w:rsidRDefault="00A35DC3" w:rsidP="00A35DC3">
      <w:pPr>
        <w:pStyle w:val="NormalWeb"/>
        <w:spacing w:before="0" w:beforeAutospacing="0" w:after="160" w:afterAutospacing="0"/>
        <w:rPr>
          <w:lang w:val="fr-CH"/>
        </w:rPr>
      </w:pPr>
      <w:r w:rsidRPr="00A35DC3">
        <w:rPr>
          <w:rFonts w:ascii="Arial" w:hAnsi="Arial" w:cs="Arial"/>
          <w:color w:val="000000"/>
          <w:sz w:val="20"/>
          <w:szCs w:val="20"/>
          <w:lang w:val="fr-CH"/>
        </w:rPr>
        <w:t>Les énoncés en bleu ci-dessous sont des énoncés de résultats </w:t>
      </w:r>
    </w:p>
    <w:tbl>
      <w:tblPr>
        <w:tblW w:w="0" w:type="auto"/>
        <w:tblCellMar>
          <w:top w:w="15" w:type="dxa"/>
          <w:left w:w="15" w:type="dxa"/>
          <w:bottom w:w="15" w:type="dxa"/>
          <w:right w:w="15" w:type="dxa"/>
        </w:tblCellMar>
        <w:tblLook w:val="04A0" w:firstRow="1" w:lastRow="0" w:firstColumn="1" w:lastColumn="0" w:noHBand="0" w:noVBand="1"/>
      </w:tblPr>
      <w:tblGrid>
        <w:gridCol w:w="1969"/>
        <w:gridCol w:w="431"/>
        <w:gridCol w:w="5842"/>
        <w:gridCol w:w="543"/>
        <w:gridCol w:w="4021"/>
        <w:gridCol w:w="2582"/>
      </w:tblGrid>
      <w:tr w:rsidR="00A35DC3" w14:paraId="6AF9BC02" w14:textId="77777777" w:rsidTr="00A35DC3">
        <w:trPr>
          <w:trHeight w:val="60"/>
        </w:trPr>
        <w:tc>
          <w:tcPr>
            <w:tcW w:w="0" w:type="auto"/>
            <w:gridSpan w:val="5"/>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44C0263E" w14:textId="77777777" w:rsidR="00A35DC3" w:rsidRDefault="00A35DC3" w:rsidP="00A43673">
            <w:pPr>
              <w:pStyle w:val="NormalWeb"/>
              <w:spacing w:before="0" w:beforeAutospacing="0" w:after="120" w:afterAutospacing="0"/>
            </w:pPr>
            <w:proofErr w:type="spellStart"/>
            <w:r>
              <w:rPr>
                <w:rFonts w:ascii="Arial" w:hAnsi="Arial" w:cs="Arial"/>
                <w:color w:val="000000"/>
                <w:sz w:val="22"/>
                <w:szCs w:val="22"/>
              </w:rPr>
              <w:t>Indicateurs</w:t>
            </w:r>
            <w:proofErr w:type="spellEnd"/>
            <w:r>
              <w:rPr>
                <w:rFonts w:ascii="Arial" w:hAnsi="Arial" w:cs="Arial"/>
                <w:color w:val="000000"/>
                <w:sz w:val="22"/>
                <w:szCs w:val="22"/>
              </w:rPr>
              <w:t xml:space="preserve"> </w:t>
            </w:r>
            <w:proofErr w:type="spellStart"/>
            <w:r>
              <w:rPr>
                <w:rFonts w:ascii="Arial" w:hAnsi="Arial" w:cs="Arial"/>
                <w:color w:val="000000"/>
                <w:sz w:val="22"/>
                <w:szCs w:val="22"/>
              </w:rPr>
              <w:t>d’Effet</w:t>
            </w:r>
            <w:proofErr w:type="spellEnd"/>
            <w:r>
              <w:rPr>
                <w:rFonts w:ascii="Arial" w:hAnsi="Arial" w:cs="Arial"/>
                <w:color w:val="000000"/>
                <w:sz w:val="22"/>
                <w:szCs w:val="22"/>
              </w:rPr>
              <w:t xml:space="preserve"> / Outcome (16)</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A87E8C6" w14:textId="77777777" w:rsidR="00A35DC3" w:rsidRDefault="00A35DC3" w:rsidP="00A43673">
            <w:pPr>
              <w:spacing w:after="120"/>
            </w:pPr>
          </w:p>
        </w:tc>
      </w:tr>
      <w:tr w:rsidR="00A35DC3" w14:paraId="715105B2" w14:textId="77777777" w:rsidTr="00A35DC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09AE8EE4"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8AC858B"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D8BC843" w14:textId="77777777" w:rsidR="00A35DC3" w:rsidRDefault="00A35DC3" w:rsidP="00A43673">
            <w:pPr>
              <w:pStyle w:val="NormalWeb"/>
              <w:spacing w:before="0" w:beforeAutospacing="0" w:after="120" w:afterAutospacing="0"/>
            </w:pPr>
            <w:proofErr w:type="spellStart"/>
            <w:r>
              <w:rPr>
                <w:rFonts w:ascii="Arial" w:hAnsi="Arial" w:cs="Arial"/>
                <w:b/>
                <w:bCs/>
                <w:color w:val="000000"/>
                <w:sz w:val="16"/>
                <w:szCs w:val="16"/>
              </w:rPr>
              <w:t>Indicateurs</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68E96F8" w14:textId="77777777" w:rsidR="00A35DC3" w:rsidRDefault="00A35DC3" w:rsidP="00A43673">
            <w:pPr>
              <w:pStyle w:val="NormalWeb"/>
              <w:spacing w:before="0" w:beforeAutospacing="0" w:after="120" w:afterAutospacing="0"/>
              <w:ind w:left="-111" w:right="-109"/>
            </w:pPr>
            <w:r>
              <w:rPr>
                <w:rFonts w:ascii="Arial" w:hAnsi="Arial" w:cs="Arial"/>
                <w:b/>
                <w:bCs/>
                <w:color w:val="000000"/>
                <w:sz w:val="16"/>
                <w:szCs w:val="16"/>
              </w:rPr>
              <w:t>Unité</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7427FC3" w14:textId="77777777" w:rsidR="00A35DC3" w:rsidRDefault="00A35DC3" w:rsidP="00A43673">
            <w:pPr>
              <w:pStyle w:val="NormalWeb"/>
              <w:spacing w:before="0" w:beforeAutospacing="0" w:after="120" w:afterAutospacing="0"/>
              <w:ind w:left="-111" w:right="-109"/>
            </w:pPr>
            <w:proofErr w:type="spellStart"/>
            <w:r>
              <w:rPr>
                <w:rFonts w:ascii="Arial" w:hAnsi="Arial" w:cs="Arial"/>
                <w:b/>
                <w:bCs/>
                <w:color w:val="000000"/>
                <w:sz w:val="16"/>
                <w:szCs w:val="16"/>
              </w:rPr>
              <w:t>Vérification</w:t>
            </w:r>
            <w:proofErr w:type="spellEnd"/>
            <w:r>
              <w:rPr>
                <w:rFonts w:ascii="Arial" w:hAnsi="Arial" w:cs="Arial"/>
                <w:b/>
                <w:bCs/>
                <w:color w:val="000000"/>
                <w:sz w:val="16"/>
                <w:szCs w:val="16"/>
              </w:rPr>
              <w:t xml:space="preserve"> et </w:t>
            </w:r>
            <w:proofErr w:type="spellStart"/>
            <w:r>
              <w:rPr>
                <w:rFonts w:ascii="Arial" w:hAnsi="Arial" w:cs="Arial"/>
                <w:b/>
                <w:bCs/>
                <w:color w:val="000000"/>
                <w:sz w:val="16"/>
                <w:szCs w:val="16"/>
              </w:rPr>
              <w:t>commentaire</w:t>
            </w:r>
            <w:proofErr w:type="spellEnd"/>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D2C2340" w14:textId="77777777" w:rsidR="00A35DC3" w:rsidRDefault="00A35DC3" w:rsidP="00A43673">
            <w:pPr>
              <w:pStyle w:val="NormalWeb"/>
              <w:spacing w:before="0" w:beforeAutospacing="0" w:after="120" w:afterAutospacing="0"/>
              <w:ind w:left="-111" w:right="-109"/>
            </w:pPr>
            <w:r>
              <w:rPr>
                <w:rFonts w:ascii="Arial" w:hAnsi="Arial" w:cs="Arial"/>
                <w:b/>
                <w:bCs/>
                <w:color w:val="000000"/>
                <w:sz w:val="16"/>
                <w:szCs w:val="16"/>
              </w:rPr>
              <w:t>Importance</w:t>
            </w:r>
          </w:p>
        </w:tc>
      </w:tr>
      <w:tr w:rsidR="00A35DC3" w14:paraId="5113AC69" w14:textId="77777777" w:rsidTr="00A35DC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4C546763"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Progrès vers les indicateurs d’impact – pauvreté</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D0F2631" w14:textId="77777777" w:rsidR="00A35DC3" w:rsidRDefault="00000000" w:rsidP="00A43673">
            <w:pPr>
              <w:pStyle w:val="NormalWeb"/>
              <w:spacing w:before="0" w:beforeAutospacing="0" w:after="120" w:afterAutospacing="0"/>
            </w:pPr>
            <w:hyperlink r:id="rId78" w:anchor="bookmark=id.2lwamvv" w:history="1">
              <w:r w:rsidR="00A35DC3">
                <w:rPr>
                  <w:rStyle w:val="Lienhypertexte"/>
                  <w:rFonts w:ascii="Arial" w:hAnsi="Arial" w:cs="Arial"/>
                  <w:color w:val="0563C1"/>
                  <w:sz w:val="18"/>
                  <w:szCs w:val="18"/>
                </w:rPr>
                <w:t>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9390EDA"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Paiements effectués sur la base de la performance</w:t>
            </w:r>
          </w:p>
          <w:p w14:paraId="0CFB8E00"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xml:space="preserve">Montant des PSE transférés, ventilé par i) type de PSE (cultures pérennes, agroforesterie, régénération, conservation, gestion forestière durable, reboisement </w:t>
            </w:r>
            <w:proofErr w:type="spellStart"/>
            <w:r w:rsidRPr="00A35DC3">
              <w:rPr>
                <w:rFonts w:ascii="Arial" w:hAnsi="Arial" w:cs="Arial"/>
                <w:color w:val="000000"/>
                <w:sz w:val="18"/>
                <w:szCs w:val="18"/>
                <w:lang w:val="fr-CH"/>
              </w:rPr>
              <w:t>etc</w:t>
            </w:r>
            <w:proofErr w:type="spellEnd"/>
            <w:r w:rsidRPr="00A35DC3">
              <w:rPr>
                <w:rFonts w:ascii="Arial" w:hAnsi="Arial" w:cs="Arial"/>
                <w:color w:val="000000"/>
                <w:sz w:val="18"/>
                <w:szCs w:val="18"/>
                <w:lang w:val="fr-CH"/>
              </w:rPr>
              <w:t>), ii)genre et iii)groupe vulnérable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9835072" w14:textId="77777777" w:rsidR="00A35DC3" w:rsidRDefault="00A35DC3" w:rsidP="00A43673">
            <w:pPr>
              <w:pStyle w:val="NormalWeb"/>
              <w:spacing w:before="0" w:beforeAutospacing="0" w:after="120" w:afterAutospacing="0"/>
            </w:pPr>
            <w:r>
              <w:rPr>
                <w:rFonts w:ascii="Arial" w:hAnsi="Arial" w:cs="Arial"/>
                <w:color w:val="000000"/>
                <w:sz w:val="16"/>
                <w:szCs w:val="16"/>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DB1F2F7"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Géoréférencé</w:t>
            </w:r>
            <w:r w:rsidRPr="00A35DC3">
              <w:rPr>
                <w:rFonts w:ascii="Arial" w:hAnsi="Arial" w:cs="Arial"/>
                <w:color w:val="000000"/>
                <w:sz w:val="16"/>
                <w:szCs w:val="16"/>
                <w:u w:val="single"/>
                <w:lang w:val="fr-CH"/>
              </w:rPr>
              <w:t> </w:t>
            </w:r>
          </w:p>
          <w:p w14:paraId="1EC2C77F"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Rapports des Agences locales d’exécution du projet</w:t>
            </w:r>
          </w:p>
          <w:p w14:paraId="316C1DD7" w14:textId="77777777" w:rsidR="00A35DC3" w:rsidRDefault="00A35DC3" w:rsidP="00A43673">
            <w:pPr>
              <w:pStyle w:val="NormalWeb"/>
              <w:spacing w:before="0" w:beforeAutospacing="0" w:after="120" w:afterAutospacing="0"/>
            </w:pPr>
            <w:r>
              <w:rPr>
                <w:rFonts w:ascii="Arial" w:hAnsi="Arial" w:cs="Arial"/>
                <w:color w:val="000000"/>
                <w:sz w:val="16"/>
                <w:szCs w:val="16"/>
              </w:rPr>
              <w:t>Application aux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BC19E9E"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Haute importance </w:t>
            </w:r>
          </w:p>
          <w:p w14:paraId="6DEEE13F" w14:textId="77777777" w:rsidR="00A35DC3" w:rsidRDefault="00A35DC3" w:rsidP="00A43673">
            <w:pPr>
              <w:spacing w:after="120"/>
            </w:pPr>
          </w:p>
          <w:p w14:paraId="00442387"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44F77022"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7ACA2517"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7FDCFA1" w14:textId="77777777" w:rsidR="00A35DC3" w:rsidRDefault="00000000" w:rsidP="00A43673">
            <w:pPr>
              <w:pStyle w:val="NormalWeb"/>
              <w:spacing w:before="0" w:beforeAutospacing="0" w:after="120" w:afterAutospacing="0"/>
            </w:pPr>
            <w:hyperlink r:id="rId79" w:anchor="bookmark=id.111kx3o" w:history="1">
              <w:r w:rsidR="00A35DC3">
                <w:rPr>
                  <w:rStyle w:val="Lienhypertexte"/>
                  <w:rFonts w:ascii="Arial" w:hAnsi="Arial" w:cs="Arial"/>
                  <w:color w:val="0563C1"/>
                  <w:sz w:val="18"/>
                  <w:szCs w:val="18"/>
                </w:rPr>
                <w:t>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F131919"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Sécurité alimentaire améliorée :</w:t>
            </w:r>
          </w:p>
          <w:p w14:paraId="3AB6A41B"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lastRenderedPageBreak/>
              <w:t>a) Les zones et périodes de disette identifiées par le projet sont résorbées</w:t>
            </w:r>
          </w:p>
          <w:p w14:paraId="0BC2795A"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b) Les activités commerciales et les choix de spéculation promues ne créent pas de nouvelle disette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EB6277F" w14:textId="77777777" w:rsidR="00A35DC3" w:rsidRDefault="00A35DC3" w:rsidP="00A43673">
            <w:pPr>
              <w:spacing w:after="120"/>
            </w:pPr>
            <w:r>
              <w:lastRenderedPageBreak/>
              <w:br/>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D15F6A5"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 xml:space="preserve">Les zones de disette sont identifiées et ciblées en priorité par le projet et des stratégies de lutte contre </w:t>
            </w:r>
            <w:r w:rsidRPr="00A35DC3">
              <w:rPr>
                <w:rFonts w:ascii="Arial" w:hAnsi="Arial" w:cs="Arial"/>
                <w:color w:val="000000"/>
                <w:sz w:val="16"/>
                <w:szCs w:val="16"/>
                <w:lang w:val="fr-CH"/>
              </w:rPr>
              <w:lastRenderedPageBreak/>
              <w:t>l’insécurité alimentaire sont élaborées et mises en œuvre (lors de la formulation du Prodoc ou en A1)</w:t>
            </w:r>
          </w:p>
          <w:p w14:paraId="7EA40B07"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Etude sur la sécurité alimentaire dans la zone d’intervention (A1-3-5)</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76480BBE"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lastRenderedPageBreak/>
              <w:t xml:space="preserve">Cette étude pourrait faire l’objet d’une évaluation externe conjointe </w:t>
            </w:r>
            <w:r w:rsidRPr="00A35DC3">
              <w:rPr>
                <w:rFonts w:ascii="Arial" w:hAnsi="Arial" w:cs="Arial"/>
                <w:color w:val="000000"/>
                <w:sz w:val="16"/>
                <w:szCs w:val="16"/>
                <w:lang w:val="fr-CH"/>
              </w:rPr>
              <w:lastRenderedPageBreak/>
              <w:t>plutôt que d'être uniquement confiée au projet</w:t>
            </w:r>
          </w:p>
        </w:tc>
      </w:tr>
      <w:tr w:rsidR="00A35DC3" w14:paraId="5D63F98B" w14:textId="77777777" w:rsidTr="00A35DC3">
        <w:trPr>
          <w:trHeight w:val="1496"/>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6395A8C8"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F78F817" w14:textId="77777777" w:rsidR="00A35DC3" w:rsidRDefault="00000000" w:rsidP="00A43673">
            <w:pPr>
              <w:pStyle w:val="NormalWeb"/>
              <w:spacing w:before="0" w:beforeAutospacing="0" w:after="120" w:afterAutospacing="0"/>
            </w:pPr>
            <w:hyperlink r:id="rId80" w:anchor="bookmark=id.3l18frh" w:history="1">
              <w:r w:rsidR="00A35DC3">
                <w:rPr>
                  <w:rStyle w:val="Lienhypertexte"/>
                  <w:rFonts w:ascii="Arial" w:hAnsi="Arial" w:cs="Arial"/>
                  <w:color w:val="0563C1"/>
                  <w:sz w:val="18"/>
                  <w:szCs w:val="18"/>
                </w:rPr>
                <w:t>3</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ED278B9"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Conditions de vie améliorées</w:t>
            </w:r>
          </w:p>
          <w:p w14:paraId="4B6E407A"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Nombre de villages ayant bénéficié d’équipements (incluant les infrastructures, mais pas les intrants) financés au travers des PSE collectifs reçus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FAC580B" w14:textId="77777777" w:rsidR="00A35DC3" w:rsidRDefault="00A35DC3" w:rsidP="00A43673">
            <w:pPr>
              <w:pStyle w:val="NormalWeb"/>
              <w:spacing w:before="0" w:beforeAutospacing="0" w:after="120" w:afterAutospacing="0"/>
            </w:pPr>
            <w:r>
              <w:rPr>
                <w:rFonts w:ascii="Arial" w:hAnsi="Arial" w:cs="Arial"/>
                <w:color w:val="000000"/>
                <w:sz w:val="16"/>
                <w:szCs w:val="16"/>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1BA8206"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Géoréférencé</w:t>
            </w:r>
            <w:r w:rsidRPr="00A35DC3">
              <w:rPr>
                <w:rFonts w:ascii="Arial" w:hAnsi="Arial" w:cs="Arial"/>
                <w:color w:val="000000"/>
                <w:sz w:val="16"/>
                <w:szCs w:val="16"/>
                <w:u w:val="single"/>
                <w:lang w:val="fr-CH"/>
              </w:rPr>
              <w:t> </w:t>
            </w:r>
          </w:p>
          <w:p w14:paraId="1B1B0CD4"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Rapports des ALE et du projet</w:t>
            </w:r>
          </w:p>
          <w:p w14:paraId="77C7E32D" w14:textId="77777777" w:rsidR="00A35DC3" w:rsidRDefault="00A35DC3" w:rsidP="00A43673">
            <w:pPr>
              <w:pStyle w:val="NormalWeb"/>
              <w:spacing w:before="0" w:beforeAutospacing="0" w:after="120" w:afterAutospacing="0"/>
            </w:pPr>
            <w:r>
              <w:rPr>
                <w:rFonts w:ascii="Arial" w:hAnsi="Arial" w:cs="Arial"/>
                <w:color w:val="000000"/>
                <w:sz w:val="16"/>
                <w:szCs w:val="16"/>
              </w:rPr>
              <w:t>Application aux PSE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A631E19"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Haute importance</w:t>
            </w:r>
          </w:p>
          <w:p w14:paraId="57867C86"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1D26FD51"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5F6933AB"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1F00FB8" w14:textId="77777777" w:rsidR="00A35DC3" w:rsidRDefault="00A35DC3" w:rsidP="00A43673">
            <w:pPr>
              <w:pStyle w:val="NormalWeb"/>
              <w:spacing w:before="0" w:beforeAutospacing="0" w:after="120" w:afterAutospacing="0"/>
            </w:pPr>
            <w:r>
              <w:rPr>
                <w:rFonts w:ascii="Arial" w:hAnsi="Arial" w:cs="Arial"/>
                <w:color w:val="000000"/>
                <w:sz w:val="22"/>
                <w:szCs w:val="22"/>
              </w:rPr>
              <w:t>4</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197F590"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Nombre total de bénéficiaires directs du projet, désagrégé par la géographie, le genre et les minorités (peuples autochtones)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DB4687B" w14:textId="77777777" w:rsidR="00A35DC3" w:rsidRDefault="00A35DC3" w:rsidP="00A43673">
            <w:pPr>
              <w:pStyle w:val="NormalWeb"/>
              <w:spacing w:before="0" w:beforeAutospacing="0" w:after="120" w:afterAutospacing="0"/>
            </w:pPr>
            <w:r>
              <w:rPr>
                <w:rFonts w:ascii="Arial" w:hAnsi="Arial" w:cs="Arial"/>
                <w:color w:val="000000"/>
                <w:sz w:val="16"/>
                <w:szCs w:val="16"/>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D19285A"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692DCD39"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Haute importance</w:t>
            </w:r>
          </w:p>
        </w:tc>
      </w:tr>
      <w:tr w:rsidR="00A35DC3" w14:paraId="36C70BC4" w14:textId="77777777" w:rsidTr="00A35DC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7BD0DEB2"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Progrès vers les indicateurs d’impact – couvert forestier</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6FC3D71" w14:textId="77777777" w:rsidR="00A35DC3" w:rsidRDefault="00A35DC3" w:rsidP="00A43673">
            <w:pPr>
              <w:pStyle w:val="NormalWeb"/>
              <w:spacing w:before="0" w:beforeAutospacing="0" w:after="120" w:afterAutospacing="0"/>
            </w:pPr>
            <w:r>
              <w:rPr>
                <w:rFonts w:ascii="Arial" w:hAnsi="Arial" w:cs="Arial"/>
                <w:color w:val="000000"/>
                <w:sz w:val="18"/>
                <w:szCs w:val="18"/>
              </w:rPr>
              <w:t>5</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5CDC561"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Superficie, sous contrat PSE ou PSAT, annuelle moyenne brûlée dans les terroirs (zones agricoles, sous régénération naturelle, conservation)</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21A1652" w14:textId="77777777" w:rsidR="00A35DC3" w:rsidRDefault="00A35DC3" w:rsidP="00A43673">
            <w:pPr>
              <w:pStyle w:val="NormalWeb"/>
              <w:spacing w:before="0" w:beforeAutospacing="0" w:after="120" w:afterAutospacing="0"/>
            </w:pPr>
            <w:r>
              <w:rPr>
                <w:rFonts w:ascii="Arial" w:hAnsi="Arial" w:cs="Arial"/>
                <w:color w:val="000000"/>
                <w:sz w:val="16"/>
                <w:szCs w:val="16"/>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DD719D6"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Géoréférencée</w:t>
            </w:r>
            <w:r w:rsidRPr="00A35DC3">
              <w:rPr>
                <w:rFonts w:ascii="Arial" w:hAnsi="Arial" w:cs="Arial"/>
                <w:color w:val="000000"/>
                <w:sz w:val="16"/>
                <w:szCs w:val="16"/>
                <w:u w:val="single"/>
                <w:lang w:val="fr-CH"/>
              </w:rPr>
              <w:t> </w:t>
            </w:r>
          </w:p>
          <w:p w14:paraId="2006FC9D"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Télédétection projet</w:t>
            </w:r>
          </w:p>
          <w:p w14:paraId="4715CCA8"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Cible : réduction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A5916A9" w14:textId="77777777" w:rsidR="00A35DC3" w:rsidRDefault="00A35DC3" w:rsidP="00A43673">
            <w:pPr>
              <w:pStyle w:val="NormalWeb"/>
              <w:spacing w:before="0" w:beforeAutospacing="0" w:after="120" w:afterAutospacing="0"/>
            </w:pPr>
            <w:r>
              <w:rPr>
                <w:rFonts w:ascii="Arial" w:hAnsi="Arial" w:cs="Arial"/>
                <w:color w:val="000000"/>
                <w:sz w:val="16"/>
                <w:szCs w:val="16"/>
              </w:rPr>
              <w:t>Haute importance</w:t>
            </w:r>
          </w:p>
        </w:tc>
      </w:tr>
      <w:tr w:rsidR="00A35DC3" w14:paraId="413A9212"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0D1B24CA"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55F10E7" w14:textId="77777777" w:rsidR="00A35DC3" w:rsidRDefault="00A35DC3" w:rsidP="00A43673">
            <w:pPr>
              <w:pStyle w:val="NormalWeb"/>
              <w:spacing w:before="0" w:beforeAutospacing="0" w:after="120" w:afterAutospacing="0"/>
            </w:pPr>
            <w:r>
              <w:rPr>
                <w:rFonts w:ascii="Arial" w:hAnsi="Arial" w:cs="Arial"/>
                <w:color w:val="000000"/>
                <w:sz w:val="18"/>
                <w:szCs w:val="18"/>
              </w:rPr>
              <w:t>6</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B185E9D"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Superficies, sous PSAT, de tourbières et forêts inondées préservées ou gérées en accord avec les règles de bonnes pratiques de GRN</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0F267B4" w14:textId="77777777" w:rsidR="00A35DC3" w:rsidRDefault="00A35DC3" w:rsidP="00A43673">
            <w:pPr>
              <w:pStyle w:val="NormalWeb"/>
              <w:spacing w:before="0" w:beforeAutospacing="0" w:after="120" w:afterAutospacing="0"/>
            </w:pPr>
            <w:r>
              <w:rPr>
                <w:rFonts w:ascii="Arial" w:hAnsi="Arial" w:cs="Arial"/>
                <w:color w:val="000000"/>
                <w:sz w:val="16"/>
                <w:szCs w:val="16"/>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E8146D9" w14:textId="77777777" w:rsidR="00A35DC3" w:rsidRDefault="00A35DC3" w:rsidP="00A43673">
            <w:pPr>
              <w:pStyle w:val="NormalWeb"/>
              <w:spacing w:before="0" w:beforeAutospacing="0" w:after="120" w:afterAutospacing="0"/>
            </w:pPr>
            <w:proofErr w:type="spellStart"/>
            <w:r>
              <w:rPr>
                <w:rFonts w:ascii="Arial" w:hAnsi="Arial" w:cs="Arial"/>
                <w:color w:val="000000"/>
                <w:sz w:val="16"/>
                <w:szCs w:val="16"/>
              </w:rPr>
              <w:t>Géoréférencée</w:t>
            </w:r>
            <w:proofErr w:type="spellEnd"/>
            <w:r>
              <w:rPr>
                <w:rFonts w:ascii="Arial" w:hAnsi="Arial" w:cs="Arial"/>
                <w:color w:val="000000"/>
                <w:sz w:val="16"/>
                <w:szCs w:val="16"/>
                <w:u w:val="single"/>
              </w:rPr>
              <w:t> </w:t>
            </w:r>
          </w:p>
          <w:p w14:paraId="3087C03C" w14:textId="77777777" w:rsidR="00A35DC3" w:rsidRDefault="00A35DC3" w:rsidP="00A43673">
            <w:pPr>
              <w:pStyle w:val="NormalWeb"/>
              <w:spacing w:before="0" w:beforeAutospacing="0" w:after="120" w:afterAutospacing="0"/>
            </w:pPr>
            <w:proofErr w:type="spellStart"/>
            <w:proofErr w:type="gramStart"/>
            <w:r>
              <w:rPr>
                <w:rFonts w:ascii="Arial" w:hAnsi="Arial" w:cs="Arial"/>
                <w:color w:val="000000"/>
                <w:sz w:val="16"/>
                <w:szCs w:val="16"/>
                <w:u w:val="single"/>
              </w:rPr>
              <w:t>Vérification</w:t>
            </w:r>
            <w:proofErr w:type="spellEnd"/>
            <w:r>
              <w:rPr>
                <w:rFonts w:ascii="Arial" w:hAnsi="Arial" w:cs="Arial"/>
                <w:color w:val="000000"/>
                <w:sz w:val="16"/>
                <w:szCs w:val="16"/>
              </w:rPr>
              <w:t> :</w:t>
            </w:r>
            <w:proofErr w:type="gramEnd"/>
            <w:r>
              <w:rPr>
                <w:rFonts w:ascii="Arial" w:hAnsi="Arial" w:cs="Arial"/>
                <w:color w:val="000000"/>
                <w:sz w:val="16"/>
                <w:szCs w:val="16"/>
              </w:rPr>
              <w:t xml:space="preserve"> </w:t>
            </w:r>
            <w:proofErr w:type="spellStart"/>
            <w:r>
              <w:rPr>
                <w:rFonts w:ascii="Arial" w:hAnsi="Arial" w:cs="Arial"/>
                <w:color w:val="000000"/>
                <w:sz w:val="16"/>
                <w:szCs w:val="16"/>
              </w:rPr>
              <w:t>Télédétection</w:t>
            </w:r>
            <w:proofErr w:type="spellEnd"/>
            <w:r>
              <w:rPr>
                <w:rFonts w:ascii="Arial" w:hAnsi="Arial" w:cs="Arial"/>
                <w:color w:val="000000"/>
                <w:sz w:val="16"/>
                <w:szCs w:val="16"/>
              </w:rPr>
              <w:t xml:space="preserve"> projet</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62E6899F"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r w:rsidR="00A35DC3" w14:paraId="1B3897AA" w14:textId="77777777" w:rsidTr="00A35DC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7F02994C" w14:textId="77777777" w:rsidR="00A35DC3" w:rsidRDefault="00A35DC3" w:rsidP="00A43673">
            <w:pPr>
              <w:pStyle w:val="NormalWeb"/>
              <w:spacing w:before="0" w:beforeAutospacing="0" w:after="120" w:afterAutospacing="0"/>
            </w:pPr>
            <w:proofErr w:type="spellStart"/>
            <w:r>
              <w:rPr>
                <w:rFonts w:ascii="Arial" w:hAnsi="Arial" w:cs="Arial"/>
                <w:color w:val="000000"/>
                <w:sz w:val="18"/>
                <w:szCs w:val="18"/>
              </w:rPr>
              <w:t>Gouvernance</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1BFF3DE" w14:textId="77777777" w:rsidR="00A35DC3" w:rsidRDefault="00A35DC3" w:rsidP="00A43673">
            <w:pPr>
              <w:pStyle w:val="NormalWeb"/>
              <w:spacing w:before="0" w:beforeAutospacing="0" w:after="120" w:afterAutospacing="0"/>
            </w:pPr>
            <w:r>
              <w:rPr>
                <w:rFonts w:ascii="Arial" w:hAnsi="Arial" w:cs="Arial"/>
                <w:color w:val="000000"/>
                <w:sz w:val="18"/>
                <w:szCs w:val="18"/>
              </w:rPr>
              <w:t>7</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BFB5DD8"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Les plateformes multi-acteurs s’impliquent activement dans la GRN</w:t>
            </w:r>
            <w:r w:rsidRPr="00A35DC3">
              <w:rPr>
                <w:rFonts w:ascii="Arial" w:hAnsi="Arial" w:cs="Arial"/>
                <w:color w:val="000000"/>
                <w:sz w:val="18"/>
                <w:szCs w:val="18"/>
                <w:lang w:val="fr-CH"/>
              </w:rPr>
              <w:t>:</w:t>
            </w:r>
          </w:p>
          <w:p w14:paraId="554C0B46"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xml:space="preserve">Nb d’arbitrages réalisés par les structures de gouvernance pour assurer le respect des pratiques agréées, ventilé par type de structure : PSG, PSAT/PGRN, PLD, </w:t>
            </w:r>
            <w:proofErr w:type="spellStart"/>
            <w:r w:rsidRPr="00A35DC3">
              <w:rPr>
                <w:rFonts w:ascii="Arial" w:hAnsi="Arial" w:cs="Arial"/>
                <w:color w:val="000000"/>
                <w:sz w:val="18"/>
                <w:szCs w:val="18"/>
                <w:lang w:val="fr-CH"/>
              </w:rPr>
              <w:t>etc</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159542B"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AFEEA5C"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Géoréférencées</w:t>
            </w:r>
            <w:r w:rsidRPr="00A35DC3">
              <w:rPr>
                <w:rFonts w:ascii="Arial" w:hAnsi="Arial" w:cs="Arial"/>
                <w:color w:val="000000"/>
                <w:sz w:val="16"/>
                <w:szCs w:val="16"/>
                <w:u w:val="single"/>
                <w:lang w:val="fr-CH"/>
              </w:rPr>
              <w:t> </w:t>
            </w:r>
          </w:p>
          <w:p w14:paraId="6071A51C"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Contrats et rapports projets</w:t>
            </w:r>
          </w:p>
          <w:p w14:paraId="02D80D46"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NB: ne comporte pas seulement les plaintes enregistrées</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581F1B3"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Pas de cible attendue </w:t>
            </w:r>
          </w:p>
          <w:p w14:paraId="55222D81"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07509E22"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651F1A84"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54917E9" w14:textId="77777777" w:rsidR="00A35DC3" w:rsidRDefault="00A35DC3" w:rsidP="00A43673">
            <w:pPr>
              <w:pStyle w:val="NormalWeb"/>
              <w:spacing w:before="0" w:beforeAutospacing="0" w:after="120" w:afterAutospacing="0"/>
            </w:pPr>
            <w:r>
              <w:rPr>
                <w:rFonts w:ascii="Arial" w:hAnsi="Arial" w:cs="Arial"/>
                <w:color w:val="000000"/>
                <w:sz w:val="18"/>
                <w:szCs w:val="18"/>
              </w:rPr>
              <w:t>8</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0273D4F"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Les services techniques sont opérationnels et contribuent activement à la meilleure Gestion des ressources naturelles.</w:t>
            </w:r>
          </w:p>
          <w:p w14:paraId="4C67B652"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Nombre de personnes recevant un appui par les services techniques (formations, contrôles, bilans de GRN), ventilé par genre et groupes vulnérables (PA, jeunes)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1CA5197"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Nb</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9A8D39E"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Rapports</w:t>
            </w:r>
          </w:p>
          <w:p w14:paraId="2CCB0BFF"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Le nombre exprimé ici est une sous composante de l’indicateur 4, cependant il permet aussi de fournir une mesure de l'opérationnalité des services techniques.  </w:t>
            </w:r>
          </w:p>
          <w:p w14:paraId="049806F0"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574EDBBC" w14:textId="77777777" w:rsidR="00A35DC3" w:rsidRDefault="00A35DC3" w:rsidP="00A43673">
            <w:pPr>
              <w:spacing w:after="120"/>
            </w:pPr>
          </w:p>
        </w:tc>
      </w:tr>
      <w:tr w:rsidR="00A35DC3" w14:paraId="27FA27C9"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3ACF21DE"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7531F3C" w14:textId="77777777" w:rsidR="00A35DC3" w:rsidRDefault="00A35DC3" w:rsidP="00A43673">
            <w:pPr>
              <w:pStyle w:val="NormalWeb"/>
              <w:spacing w:before="0" w:beforeAutospacing="0" w:after="120" w:afterAutospacing="0"/>
            </w:pPr>
            <w:r>
              <w:rPr>
                <w:rFonts w:ascii="Arial" w:hAnsi="Arial" w:cs="Arial"/>
                <w:color w:val="000000"/>
                <w:sz w:val="18"/>
                <w:szCs w:val="18"/>
              </w:rPr>
              <w:t>9</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AE2159F"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Les Agences Locales d’Exécution (ALE) acquièrent des capacités leur permettant de prolonger l’atteinte des résultats du projet (capacité fiduciaire et comptable, capacités techniques, capacités à gérer les financements, à contractualiser les PSE, atteindre les résultats et les vérifier) :  </w:t>
            </w:r>
          </w:p>
          <w:p w14:paraId="1E64198E" w14:textId="77777777" w:rsidR="00A35DC3" w:rsidRPr="00A35DC3" w:rsidRDefault="00A35DC3" w:rsidP="00487A95">
            <w:pPr>
              <w:pStyle w:val="NormalWeb"/>
              <w:numPr>
                <w:ilvl w:val="0"/>
                <w:numId w:val="23"/>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 de fonds transférés aux ONG locales</w:t>
            </w:r>
          </w:p>
          <w:p w14:paraId="0135172F" w14:textId="77777777" w:rsidR="00A35DC3" w:rsidRPr="00A35DC3" w:rsidRDefault="00A35DC3" w:rsidP="00487A95">
            <w:pPr>
              <w:pStyle w:val="NormalWeb"/>
              <w:numPr>
                <w:ilvl w:val="0"/>
                <w:numId w:val="24"/>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lastRenderedPageBreak/>
              <w:t>Les ALE sont en charge sur toutes les activités du début à la fin du projet</w:t>
            </w:r>
          </w:p>
          <w:p w14:paraId="6CC71B32" w14:textId="77777777" w:rsidR="00A35DC3" w:rsidRPr="00A35DC3" w:rsidRDefault="00A35DC3" w:rsidP="00487A95">
            <w:pPr>
              <w:pStyle w:val="NormalWeb"/>
              <w:numPr>
                <w:ilvl w:val="0"/>
                <w:numId w:val="25"/>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Les ALE rendent compte efficacement de leurs activités</w:t>
            </w:r>
          </w:p>
          <w:p w14:paraId="2D6B450D" w14:textId="77777777" w:rsidR="00A35DC3" w:rsidRPr="00A35DC3" w:rsidRDefault="00A35DC3" w:rsidP="00487A95">
            <w:pPr>
              <w:pStyle w:val="NormalWeb"/>
              <w:numPr>
                <w:ilvl w:val="0"/>
                <w:numId w:val="26"/>
              </w:numPr>
              <w:spacing w:before="0" w:beforeAutospacing="0" w:after="120" w:afterAutospacing="0"/>
              <w:textAlignment w:val="baseline"/>
              <w:rPr>
                <w:rFonts w:ascii="Arial" w:hAnsi="Arial" w:cs="Arial"/>
                <w:color w:val="000000"/>
                <w:sz w:val="18"/>
                <w:szCs w:val="18"/>
                <w:lang w:val="fr-CH"/>
              </w:rPr>
            </w:pPr>
            <w:r w:rsidRPr="00A35DC3">
              <w:rPr>
                <w:rFonts w:ascii="Arial" w:hAnsi="Arial" w:cs="Arial"/>
                <w:color w:val="000000"/>
                <w:sz w:val="18"/>
                <w:szCs w:val="18"/>
                <w:lang w:val="fr-CH"/>
              </w:rPr>
              <w:t>Les ALE prennent en charge la communication grand public sur leurs activités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744DAB8" w14:textId="77777777" w:rsidR="00A35DC3" w:rsidRDefault="00A35DC3" w:rsidP="00A43673">
            <w:pPr>
              <w:spacing w:after="120"/>
              <w:rPr>
                <w:rFonts w:ascii="Times New Roman" w:hAnsi="Times New Roman"/>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78773E5"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Rapports de mise en œuvre, rapports financiers de transferts budgétaires aux ALE, comptes-rendus des activités par les ALE et l’organisation de mise en œuvre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2761B18"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Possibilité d’inclure les sous -indicateurs b) c) et d) dans une évaluation externe</w:t>
            </w:r>
          </w:p>
        </w:tc>
      </w:tr>
      <w:tr w:rsidR="00A35DC3" w14:paraId="7B6B750B" w14:textId="77777777" w:rsidTr="00A35DC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42D5091C"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1CB4EC4" w14:textId="77777777" w:rsidR="00A35DC3" w:rsidRDefault="00A35DC3" w:rsidP="00A43673">
            <w:pPr>
              <w:pStyle w:val="NormalWeb"/>
              <w:spacing w:before="0" w:beforeAutospacing="0" w:after="120" w:afterAutospacing="0"/>
            </w:pPr>
            <w:r>
              <w:rPr>
                <w:rFonts w:ascii="Arial" w:hAnsi="Arial" w:cs="Arial"/>
                <w:color w:val="000000"/>
                <w:sz w:val="18"/>
                <w:szCs w:val="18"/>
              </w:rPr>
              <w:t>10</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F9975A4"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xml:space="preserve">Superficies sous contrat PSE, ventilé par ALE et par type de PSE (agriculture durable, cultures pérennes, agroforesterie, régénération </w:t>
            </w:r>
            <w:proofErr w:type="spellStart"/>
            <w:r w:rsidRPr="00A35DC3">
              <w:rPr>
                <w:rFonts w:ascii="Arial" w:hAnsi="Arial" w:cs="Arial"/>
                <w:color w:val="000000"/>
                <w:sz w:val="18"/>
                <w:szCs w:val="18"/>
                <w:lang w:val="fr-CH"/>
              </w:rPr>
              <w:t>etc</w:t>
            </w:r>
            <w:proofErr w:type="spellEnd"/>
            <w:r w:rsidRPr="00A35DC3">
              <w:rPr>
                <w:rFonts w:ascii="Arial" w:hAnsi="Arial" w:cs="Arial"/>
                <w:color w:val="000000"/>
                <w:sz w:val="18"/>
                <w:szCs w:val="18"/>
                <w:lang w:val="fr-CH"/>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D42F682"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CF7D994"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B62E274"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Haute importance </w:t>
            </w:r>
          </w:p>
          <w:p w14:paraId="6B962DE4"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r w:rsidR="00A35DC3" w14:paraId="220F6039" w14:textId="77777777" w:rsidTr="00A35DC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64761284" w14:textId="77777777" w:rsidR="00A35DC3" w:rsidRDefault="00A35DC3" w:rsidP="00A43673">
            <w:pPr>
              <w:pStyle w:val="NormalWeb"/>
              <w:spacing w:before="0" w:beforeAutospacing="0" w:after="120" w:afterAutospacing="0"/>
            </w:pPr>
            <w:r>
              <w:rPr>
                <w:rFonts w:ascii="Arial" w:hAnsi="Arial" w:cs="Arial"/>
                <w:color w:val="000000"/>
                <w:sz w:val="18"/>
                <w:szCs w:val="18"/>
              </w:rPr>
              <w:t>Agriculture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0B144F8" w14:textId="77777777" w:rsidR="00A35DC3" w:rsidRDefault="00000000" w:rsidP="00A43673">
            <w:pPr>
              <w:pStyle w:val="NormalWeb"/>
              <w:spacing w:before="0" w:beforeAutospacing="0" w:after="120" w:afterAutospacing="0"/>
            </w:pPr>
            <w:hyperlink r:id="rId81" w:anchor="bookmark=id.206ipza" w:history="1">
              <w:r w:rsidR="00A35DC3">
                <w:rPr>
                  <w:rStyle w:val="Lienhypertexte"/>
                  <w:rFonts w:ascii="Arial" w:hAnsi="Arial" w:cs="Arial"/>
                  <w:color w:val="0563C1"/>
                  <w:sz w:val="18"/>
                  <w:szCs w:val="18"/>
                </w:rPr>
                <w:t>1</w:t>
              </w:r>
            </w:hyperlink>
            <w:r w:rsidR="00A35DC3">
              <w:rPr>
                <w:rFonts w:ascii="Arial" w:hAnsi="Arial" w:cs="Arial"/>
                <w:color w:val="000000"/>
                <w:sz w:val="18"/>
                <w:szCs w:val="18"/>
              </w:rPr>
              <w:t>1</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BAFB0F7"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xml:space="preserve">Productions annuelles issues des plantations, ventilé par type (makala, manioc, café, cacao, huile de palme, </w:t>
            </w:r>
            <w:proofErr w:type="spellStart"/>
            <w:r w:rsidRPr="00A35DC3">
              <w:rPr>
                <w:rFonts w:ascii="Arial" w:hAnsi="Arial" w:cs="Arial"/>
                <w:color w:val="000000"/>
                <w:sz w:val="18"/>
                <w:szCs w:val="18"/>
                <w:lang w:val="fr-CH"/>
              </w:rPr>
              <w:t>etc</w:t>
            </w:r>
            <w:proofErr w:type="spellEnd"/>
            <w:r w:rsidRPr="00A35DC3">
              <w:rPr>
                <w:rFonts w:ascii="Arial" w:hAnsi="Arial" w:cs="Arial"/>
                <w:color w:val="000000"/>
                <w:sz w:val="18"/>
                <w:szCs w:val="18"/>
                <w:lang w:val="fr-CH"/>
              </w:rPr>
              <w:t>)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E24C986"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T, L</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453F2B2"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Rapports des ALE et du projet</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3926869"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Haute importance</w:t>
            </w:r>
          </w:p>
          <w:p w14:paraId="12BC6481"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Il est possible que ces résultats ne soient pas mesurables avant la fin du projet, donc reporter l’estimation </w:t>
            </w:r>
          </w:p>
          <w:p w14:paraId="606872F7"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Cependant le document de projet ne peut pas être approuvé si cet indicateur n’apparait pas dans le cadre de résultats</w:t>
            </w:r>
          </w:p>
        </w:tc>
      </w:tr>
      <w:tr w:rsidR="00A35DC3" w14:paraId="3512FBE5" w14:textId="77777777" w:rsidTr="00A35DC3">
        <w:trPr>
          <w:trHeight w:val="674"/>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42EB332A"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4169E89" w14:textId="77777777" w:rsidR="00A35DC3" w:rsidRDefault="00000000" w:rsidP="00A43673">
            <w:pPr>
              <w:pStyle w:val="NormalWeb"/>
              <w:spacing w:before="0" w:beforeAutospacing="0" w:after="120" w:afterAutospacing="0"/>
            </w:pPr>
            <w:hyperlink r:id="rId82" w:anchor="bookmark=id.206ipza" w:history="1">
              <w:r w:rsidR="00A35DC3">
                <w:rPr>
                  <w:rStyle w:val="Lienhypertexte"/>
                  <w:rFonts w:ascii="Arial" w:hAnsi="Arial" w:cs="Arial"/>
                  <w:color w:val="0563C1"/>
                  <w:sz w:val="18"/>
                  <w:szCs w:val="18"/>
                </w:rPr>
                <w:t>1</w:t>
              </w:r>
            </w:hyperlink>
            <w:r w:rsidR="00A35DC3">
              <w:rPr>
                <w:rFonts w:ascii="Arial" w:hAnsi="Arial" w:cs="Arial"/>
                <w:color w:val="000000"/>
                <w:sz w:val="18"/>
                <w:szCs w:val="18"/>
              </w:rPr>
              <w:t>2</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2CCC42A"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A86E8"/>
                <w:sz w:val="18"/>
                <w:szCs w:val="18"/>
                <w:lang w:val="fr-CH"/>
              </w:rPr>
              <w:t xml:space="preserve">Acceptabilité par les ménages des </w:t>
            </w:r>
            <w:r w:rsidRPr="00FF769F">
              <w:rPr>
                <w:rFonts w:ascii="Arial" w:hAnsi="Arial" w:cs="Arial"/>
                <w:color w:val="4A86E8"/>
                <w:sz w:val="18"/>
                <w:szCs w:val="18"/>
                <w:lang w:val="fr-CH"/>
              </w:rPr>
              <w:t>bénéfices</w:t>
            </w:r>
            <w:r w:rsidRPr="00A35DC3">
              <w:rPr>
                <w:rFonts w:ascii="Arial" w:hAnsi="Arial" w:cs="Arial"/>
                <w:color w:val="4A86E8"/>
                <w:sz w:val="18"/>
                <w:szCs w:val="18"/>
                <w:lang w:val="fr-CH"/>
              </w:rPr>
              <w:t xml:space="preserve"> et de la rentabilité des spéculations promues</w:t>
            </w:r>
          </w:p>
          <w:p w14:paraId="048E434C"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Taux de survie des pratiques appuyées par les projets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0B86B63"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DFCAF51"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Questionnaire d’opinion dans l’étude agroéconomique annuelle (méthodologie harmonisée à définir)</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1DE725F" w14:textId="77777777" w:rsidR="00A35DC3" w:rsidRDefault="00A35DC3" w:rsidP="00A43673">
            <w:pPr>
              <w:pStyle w:val="NormalWeb"/>
              <w:spacing w:before="0" w:beforeAutospacing="0" w:after="120" w:afterAutospacing="0"/>
              <w:ind w:right="-110"/>
            </w:pPr>
            <w:r>
              <w:rPr>
                <w:rFonts w:ascii="Arial" w:hAnsi="Arial" w:cs="Arial"/>
                <w:color w:val="000000"/>
                <w:sz w:val="16"/>
                <w:szCs w:val="16"/>
                <w:u w:val="single"/>
              </w:rPr>
              <w:t>Haute importance. </w:t>
            </w:r>
          </w:p>
          <w:p w14:paraId="4DD665FA" w14:textId="77777777" w:rsidR="00A35DC3" w:rsidRDefault="00A35DC3" w:rsidP="00A43673">
            <w:pPr>
              <w:spacing w:after="120"/>
            </w:pPr>
          </w:p>
        </w:tc>
      </w:tr>
      <w:tr w:rsidR="00A35DC3" w14:paraId="7CD02B56"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34564307"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C563E47" w14:textId="77777777" w:rsidR="00A35DC3" w:rsidRDefault="00000000" w:rsidP="00A43673">
            <w:pPr>
              <w:pStyle w:val="NormalWeb"/>
              <w:spacing w:before="0" w:beforeAutospacing="0" w:after="120" w:afterAutospacing="0"/>
            </w:pPr>
            <w:hyperlink r:id="rId83" w:anchor="bookmark=id.206ipza" w:history="1">
              <w:r w:rsidR="00A35DC3">
                <w:rPr>
                  <w:rStyle w:val="Lienhypertexte"/>
                  <w:rFonts w:ascii="Arial" w:hAnsi="Arial" w:cs="Arial"/>
                  <w:color w:val="0563C1"/>
                  <w:sz w:val="18"/>
                  <w:szCs w:val="18"/>
                </w:rPr>
                <w:t>1</w:t>
              </w:r>
            </w:hyperlink>
            <w:r w:rsidR="00A35DC3">
              <w:rPr>
                <w:rFonts w:ascii="Arial" w:hAnsi="Arial" w:cs="Arial"/>
                <w:color w:val="000000"/>
                <w:sz w:val="18"/>
                <w:szCs w:val="18"/>
              </w:rPr>
              <w:t>3</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3A028B9"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Revenus agricoles augmentés</w:t>
            </w:r>
          </w:p>
          <w:p w14:paraId="72470FA7"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xml:space="preserve">Revenu global généré par le projet dans la vente des produits issus des plantations, ventilé par type (makala, manioc, café, cacao, huile de palme, </w:t>
            </w:r>
            <w:proofErr w:type="spellStart"/>
            <w:r w:rsidRPr="00A35DC3">
              <w:rPr>
                <w:rFonts w:ascii="Arial" w:hAnsi="Arial" w:cs="Arial"/>
                <w:color w:val="000000"/>
                <w:sz w:val="18"/>
                <w:szCs w:val="18"/>
                <w:lang w:val="fr-CH"/>
              </w:rPr>
              <w:t>etc</w:t>
            </w:r>
            <w:proofErr w:type="spellEnd"/>
            <w:r w:rsidRPr="00A35DC3">
              <w:rPr>
                <w:rFonts w:ascii="Arial" w:hAnsi="Arial" w:cs="Arial"/>
                <w:color w:val="000000"/>
                <w:sz w:val="18"/>
                <w:szCs w:val="18"/>
                <w:lang w:val="fr-CH"/>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B3080B1"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EC5C610"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Etude agroéconomique annuelle (méthodologie harmonisée à définir)</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44C43C2" w14:textId="77777777" w:rsidR="00A35DC3" w:rsidRDefault="00A35DC3" w:rsidP="00A43673">
            <w:pPr>
              <w:spacing w:after="120"/>
            </w:pPr>
          </w:p>
        </w:tc>
      </w:tr>
      <w:tr w:rsidR="00A35DC3" w14:paraId="5E04B35E"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591B757B"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D76D79D" w14:textId="77777777" w:rsidR="00A35DC3" w:rsidRDefault="00000000" w:rsidP="00A43673">
            <w:pPr>
              <w:pStyle w:val="NormalWeb"/>
              <w:spacing w:before="0" w:beforeAutospacing="0" w:after="120" w:afterAutospacing="0"/>
            </w:pPr>
            <w:hyperlink r:id="rId84" w:anchor="bookmark=id.206ipza" w:history="1">
              <w:r w:rsidR="00A35DC3">
                <w:rPr>
                  <w:rStyle w:val="Lienhypertexte"/>
                  <w:rFonts w:ascii="Arial" w:hAnsi="Arial" w:cs="Arial"/>
                  <w:color w:val="0563C1"/>
                  <w:sz w:val="18"/>
                  <w:szCs w:val="18"/>
                </w:rPr>
                <w:t>1</w:t>
              </w:r>
            </w:hyperlink>
            <w:r w:rsidR="00A35DC3">
              <w:rPr>
                <w:rFonts w:ascii="Arial" w:hAnsi="Arial" w:cs="Arial"/>
                <w:color w:val="000000"/>
                <w:sz w:val="18"/>
                <w:szCs w:val="18"/>
              </w:rPr>
              <w:t>4</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233A530A"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Les chaînes de valeur sont opérationnelles et prêtes à absorber les productions (marges de commercialisation raisonnables et prix attractifs) : </w:t>
            </w:r>
          </w:p>
          <w:p w14:paraId="0F907888"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Pourcentage de produits achetées issus des plantations appuyées par le projet (non consommés par les ménages)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46CC157"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B41E878"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Etude agroéconomique annuelle (méthodologie harmonisée à définir)</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A801079" w14:textId="77777777" w:rsidR="00A35DC3" w:rsidRDefault="00A35DC3" w:rsidP="00A43673">
            <w:pPr>
              <w:spacing w:after="120"/>
            </w:pPr>
          </w:p>
        </w:tc>
      </w:tr>
      <w:tr w:rsidR="00A35DC3" w14:paraId="1D204479"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75620CF0"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D9753B0" w14:textId="77777777" w:rsidR="00A35DC3" w:rsidRDefault="00000000" w:rsidP="00A43673">
            <w:pPr>
              <w:pStyle w:val="NormalWeb"/>
              <w:spacing w:before="0" w:beforeAutospacing="0" w:after="120" w:afterAutospacing="0"/>
            </w:pPr>
            <w:hyperlink r:id="rId85" w:anchor="bookmark=id.206ipza" w:history="1">
              <w:r w:rsidR="00A35DC3">
                <w:rPr>
                  <w:rStyle w:val="Lienhypertexte"/>
                  <w:rFonts w:ascii="Arial" w:hAnsi="Arial" w:cs="Arial"/>
                  <w:color w:val="0563C1"/>
                  <w:sz w:val="18"/>
                  <w:szCs w:val="18"/>
                </w:rPr>
                <w:t>1</w:t>
              </w:r>
            </w:hyperlink>
            <w:r w:rsidR="00A35DC3">
              <w:rPr>
                <w:rFonts w:ascii="Arial" w:hAnsi="Arial" w:cs="Arial"/>
                <w:color w:val="FF0000"/>
                <w:sz w:val="18"/>
                <w:szCs w:val="18"/>
              </w:rPr>
              <w:t>5</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172748F"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Les rendements des cultures vivrières sont améliorés :</w:t>
            </w:r>
            <w:r w:rsidRPr="00A35DC3">
              <w:rPr>
                <w:rFonts w:ascii="Arial" w:hAnsi="Arial" w:cs="Arial"/>
                <w:color w:val="000000"/>
                <w:sz w:val="18"/>
                <w:szCs w:val="18"/>
                <w:lang w:val="fr-CH"/>
              </w:rPr>
              <w:t>  </w:t>
            </w:r>
          </w:p>
          <w:p w14:paraId="5EEE61D2"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Pourcentage d’augmentation des rendements des cultures vivrières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A2BA740"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7BC4D04"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Au moins 20% d’augmentation sur toutes les spéculations</w:t>
            </w:r>
          </w:p>
          <w:p w14:paraId="0DE37B95" w14:textId="77777777" w:rsidR="00A35DC3" w:rsidRDefault="00A35DC3" w:rsidP="00A43673">
            <w:pPr>
              <w:pStyle w:val="NormalWeb"/>
              <w:spacing w:before="0" w:beforeAutospacing="0" w:after="120" w:afterAutospacing="0"/>
              <w:ind w:right="-110"/>
            </w:pPr>
            <w:proofErr w:type="spellStart"/>
            <w:proofErr w:type="gramStart"/>
            <w:r>
              <w:rPr>
                <w:rFonts w:ascii="Arial" w:hAnsi="Arial" w:cs="Arial"/>
                <w:color w:val="000000"/>
                <w:sz w:val="16"/>
                <w:szCs w:val="16"/>
                <w:u w:val="single"/>
              </w:rPr>
              <w:t>Vérification</w:t>
            </w:r>
            <w:proofErr w:type="spellEnd"/>
            <w:r>
              <w:rPr>
                <w:rFonts w:ascii="Arial" w:hAnsi="Arial" w:cs="Arial"/>
                <w:color w:val="000000"/>
                <w:sz w:val="16"/>
                <w:szCs w:val="16"/>
              </w:rPr>
              <w:t> :</w:t>
            </w:r>
            <w:proofErr w:type="gramEnd"/>
            <w:r>
              <w:rPr>
                <w:rFonts w:ascii="Arial" w:hAnsi="Arial" w:cs="Arial"/>
                <w:color w:val="000000"/>
                <w:sz w:val="16"/>
                <w:szCs w:val="16"/>
              </w:rPr>
              <w:t xml:space="preserve"> Etude </w:t>
            </w:r>
            <w:proofErr w:type="spellStart"/>
            <w:r>
              <w:rPr>
                <w:rFonts w:ascii="Arial" w:hAnsi="Arial" w:cs="Arial"/>
                <w:color w:val="000000"/>
                <w:sz w:val="16"/>
                <w:szCs w:val="16"/>
              </w:rPr>
              <w:t>agroéconomique</w:t>
            </w:r>
            <w:proofErr w:type="spellEnd"/>
            <w:r>
              <w:rPr>
                <w:rFonts w:ascii="Arial" w:hAnsi="Arial" w:cs="Arial"/>
                <w:color w:val="000000"/>
                <w:sz w:val="16"/>
                <w:szCs w:val="16"/>
              </w:rPr>
              <w:t xml:space="preserve"> </w:t>
            </w:r>
            <w:proofErr w:type="spellStart"/>
            <w:r>
              <w:rPr>
                <w:rFonts w:ascii="Arial" w:hAnsi="Arial" w:cs="Arial"/>
                <w:color w:val="000000"/>
                <w:sz w:val="16"/>
                <w:szCs w:val="16"/>
              </w:rPr>
              <w:t>annuelle</w:t>
            </w:r>
            <w:proofErr w:type="spellEnd"/>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6B08B09C"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haute importance </w:t>
            </w:r>
          </w:p>
          <w:p w14:paraId="476C3454"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7A903366" w14:textId="77777777" w:rsidTr="00A35DC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79EF9425" w14:textId="77777777" w:rsidR="00A35DC3" w:rsidRDefault="00A35DC3" w:rsidP="00A43673">
            <w:pPr>
              <w:pStyle w:val="NormalWeb"/>
              <w:spacing w:before="0" w:beforeAutospacing="0" w:after="120" w:afterAutospacing="0"/>
            </w:pPr>
            <w:proofErr w:type="spellStart"/>
            <w:r>
              <w:rPr>
                <w:rFonts w:ascii="Arial" w:hAnsi="Arial" w:cs="Arial"/>
                <w:color w:val="000000"/>
                <w:sz w:val="18"/>
                <w:szCs w:val="18"/>
              </w:rPr>
              <w:lastRenderedPageBreak/>
              <w:t>Energie</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7134680" w14:textId="77777777" w:rsidR="00A35DC3" w:rsidRDefault="00000000" w:rsidP="00A43673">
            <w:pPr>
              <w:pStyle w:val="NormalWeb"/>
              <w:spacing w:before="0" w:beforeAutospacing="0" w:after="120" w:afterAutospacing="0"/>
            </w:pPr>
            <w:hyperlink r:id="rId86" w:anchor="bookmark=id.4k668n3" w:history="1">
              <w:r w:rsidR="00A35DC3">
                <w:rPr>
                  <w:rStyle w:val="Lienhypertexte"/>
                  <w:rFonts w:ascii="Arial" w:hAnsi="Arial" w:cs="Arial"/>
                  <w:color w:val="0563C1"/>
                  <w:sz w:val="18"/>
                  <w:szCs w:val="18"/>
                </w:rPr>
                <w:t>1</w:t>
              </w:r>
            </w:hyperlink>
            <w:r w:rsidR="00A35DC3">
              <w:rPr>
                <w:rFonts w:ascii="Arial" w:hAnsi="Arial" w:cs="Arial"/>
                <w:color w:val="FF0000"/>
                <w:sz w:val="18"/>
                <w:szCs w:val="18"/>
              </w:rPr>
              <w:t>6</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9848E77"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4472C4"/>
                <w:sz w:val="18"/>
                <w:szCs w:val="18"/>
                <w:lang w:val="fr-CH"/>
              </w:rPr>
              <w:t>Taux de survie des plantations et mises en défens appuyées par le projet</w:t>
            </w:r>
          </w:p>
          <w:p w14:paraId="2D5A4FB6"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Superficies </w:t>
            </w:r>
          </w:p>
          <w:p w14:paraId="7CB0C2D8"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a) plantées subsistantes</w:t>
            </w:r>
          </w:p>
          <w:p w14:paraId="242FCE7C"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b) mises en défens subsistantes</w:t>
            </w:r>
          </w:p>
          <w:p w14:paraId="591121D1" w14:textId="77777777" w:rsidR="00A35DC3" w:rsidRDefault="00A35DC3" w:rsidP="00A43673">
            <w:pPr>
              <w:pStyle w:val="NormalWeb"/>
              <w:spacing w:before="0" w:beforeAutospacing="0" w:after="120" w:afterAutospacing="0"/>
            </w:pPr>
            <w:proofErr w:type="spellStart"/>
            <w:r>
              <w:rPr>
                <w:rFonts w:ascii="Arial" w:hAnsi="Arial" w:cs="Arial"/>
                <w:color w:val="000000"/>
                <w:sz w:val="18"/>
                <w:szCs w:val="18"/>
              </w:rPr>
              <w:t>ventilées</w:t>
            </w:r>
            <w:proofErr w:type="spellEnd"/>
            <w:r>
              <w:rPr>
                <w:rFonts w:ascii="Arial" w:hAnsi="Arial" w:cs="Arial"/>
                <w:color w:val="000000"/>
                <w:sz w:val="18"/>
                <w:szCs w:val="18"/>
              </w:rPr>
              <w:t xml:space="preserve"> par type</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14B46AA"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FE2A546"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Géoréférencée. </w:t>
            </w:r>
          </w:p>
          <w:p w14:paraId="74EB4D23"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Constat in-situ et télédétection</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1FB33CD"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1CFEEB29"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r w:rsidR="00A35DC3" w14:paraId="5EFEABC4" w14:textId="77777777" w:rsidTr="00A35DC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0910C70B" w14:textId="77777777" w:rsidR="00A35DC3" w:rsidRDefault="00A35DC3" w:rsidP="00A43673">
            <w:pPr>
              <w:pStyle w:val="NormalWeb"/>
              <w:spacing w:before="0" w:beforeAutospacing="0" w:after="120" w:afterAutospacing="0"/>
            </w:pPr>
            <w:proofErr w:type="spellStart"/>
            <w:r>
              <w:rPr>
                <w:rFonts w:ascii="Arial" w:hAnsi="Arial" w:cs="Arial"/>
                <w:color w:val="000000"/>
                <w:sz w:val="18"/>
                <w:szCs w:val="18"/>
              </w:rPr>
              <w:t>Forets</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3B0B58E" w14:textId="77777777" w:rsidR="00A35DC3" w:rsidRDefault="00000000" w:rsidP="00A43673">
            <w:pPr>
              <w:pStyle w:val="NormalWeb"/>
              <w:spacing w:before="0" w:beforeAutospacing="0" w:after="120" w:afterAutospacing="0"/>
            </w:pPr>
            <w:hyperlink r:id="rId87" w:anchor="bookmark=id.2zbgiuw" w:history="1">
              <w:r w:rsidR="00A35DC3">
                <w:rPr>
                  <w:rStyle w:val="Lienhypertexte"/>
                  <w:rFonts w:ascii="Arial" w:hAnsi="Arial" w:cs="Arial"/>
                  <w:color w:val="0563C1"/>
                  <w:sz w:val="18"/>
                  <w:szCs w:val="18"/>
                </w:rPr>
                <w:t>1</w:t>
              </w:r>
            </w:hyperlink>
            <w:r w:rsidR="00A35DC3">
              <w:rPr>
                <w:rFonts w:ascii="Arial" w:hAnsi="Arial" w:cs="Arial"/>
                <w:color w:val="FF0000"/>
                <w:sz w:val="18"/>
                <w:szCs w:val="18"/>
              </w:rPr>
              <w:t>7</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D31EA25"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Nb et superficie d’alertes de déforestation dans les zones PSAT sous mise en défens et/ou conservation, ventilé par alertes reçues / contrôlées / traitées</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EF053F3"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4D16831" w14:textId="77777777" w:rsidR="00A35DC3" w:rsidRDefault="00A35DC3" w:rsidP="00A43673">
            <w:pPr>
              <w:spacing w:after="120"/>
            </w:pP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097149E" w14:textId="77777777" w:rsidR="00A35DC3" w:rsidRPr="00A35DC3" w:rsidRDefault="00A35DC3" w:rsidP="00A43673">
            <w:pPr>
              <w:pStyle w:val="NormalWeb"/>
              <w:spacing w:before="0" w:beforeAutospacing="0" w:after="120" w:afterAutospacing="0"/>
              <w:ind w:right="-110"/>
              <w:rPr>
                <w:lang w:val="fr-CH"/>
              </w:rPr>
            </w:pPr>
            <w:r w:rsidRPr="00A35DC3">
              <w:rPr>
                <w:rFonts w:ascii="Arial" w:hAnsi="Arial" w:cs="Arial"/>
                <w:color w:val="000000"/>
                <w:sz w:val="16"/>
                <w:szCs w:val="16"/>
                <w:lang w:val="fr-CH"/>
              </w:rPr>
              <w:t>Le document de projet ne peut pas être approuvé si cet indicateur n'apparaît pas dans le cadre de résultats</w:t>
            </w:r>
          </w:p>
        </w:tc>
      </w:tr>
    </w:tbl>
    <w:p w14:paraId="6B106B26" w14:textId="77777777" w:rsidR="00A35DC3" w:rsidRDefault="00A35DC3" w:rsidP="00A35DC3"/>
    <w:p w14:paraId="6FEB6EB0" w14:textId="54AE0CD4" w:rsidR="00A35DC3" w:rsidRPr="0026489A" w:rsidRDefault="00A35DC3" w:rsidP="00A35DC3">
      <w:pPr>
        <w:pStyle w:val="NormalWeb"/>
        <w:spacing w:before="0" w:beforeAutospacing="0" w:after="160" w:afterAutospacing="0"/>
        <w:rPr>
          <w:sz w:val="28"/>
          <w:szCs w:val="28"/>
        </w:rPr>
      </w:pPr>
      <w:proofErr w:type="spellStart"/>
      <w:r w:rsidRPr="0026489A">
        <w:rPr>
          <w:rFonts w:ascii="Arial" w:hAnsi="Arial" w:cs="Arial"/>
          <w:b/>
          <w:bCs/>
          <w:color w:val="2F5496"/>
          <w:sz w:val="28"/>
          <w:szCs w:val="28"/>
        </w:rPr>
        <w:t>Indicateurs</w:t>
      </w:r>
      <w:proofErr w:type="spellEnd"/>
      <w:r w:rsidRPr="0026489A">
        <w:rPr>
          <w:rFonts w:ascii="Arial" w:hAnsi="Arial" w:cs="Arial"/>
          <w:b/>
          <w:bCs/>
          <w:color w:val="2F5496"/>
          <w:sz w:val="28"/>
          <w:szCs w:val="28"/>
        </w:rPr>
        <w:t xml:space="preserve"> </w:t>
      </w:r>
      <w:proofErr w:type="spellStart"/>
      <w:r w:rsidRPr="0026489A">
        <w:rPr>
          <w:rFonts w:ascii="Arial" w:hAnsi="Arial" w:cs="Arial"/>
          <w:b/>
          <w:bCs/>
          <w:color w:val="2F5496"/>
          <w:sz w:val="28"/>
          <w:szCs w:val="28"/>
        </w:rPr>
        <w:t>d’impact</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1825"/>
        <w:gridCol w:w="331"/>
        <w:gridCol w:w="4164"/>
        <w:gridCol w:w="547"/>
        <w:gridCol w:w="5928"/>
        <w:gridCol w:w="2593"/>
      </w:tblGrid>
      <w:tr w:rsidR="00A35DC3" w14:paraId="2E0EEA6D" w14:textId="77777777" w:rsidTr="00A35DC3">
        <w:trPr>
          <w:trHeight w:val="20"/>
        </w:trPr>
        <w:tc>
          <w:tcPr>
            <w:tcW w:w="0" w:type="auto"/>
            <w:gridSpan w:val="5"/>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105F4F78" w14:textId="529C54BE" w:rsidR="00A35DC3" w:rsidRDefault="00A35DC3" w:rsidP="00A43673">
            <w:pPr>
              <w:pStyle w:val="NormalWeb"/>
              <w:spacing w:before="0" w:beforeAutospacing="0" w:after="120" w:afterAutospacing="0"/>
            </w:pPr>
            <w:proofErr w:type="spellStart"/>
            <w:r>
              <w:rPr>
                <w:rFonts w:ascii="Arial" w:hAnsi="Arial" w:cs="Arial"/>
                <w:color w:val="000000"/>
                <w:sz w:val="22"/>
                <w:szCs w:val="22"/>
              </w:rPr>
              <w:t>Indicateurs</w:t>
            </w:r>
            <w:proofErr w:type="spellEnd"/>
            <w:r>
              <w:rPr>
                <w:rFonts w:ascii="Arial" w:hAnsi="Arial" w:cs="Arial"/>
                <w:color w:val="000000"/>
                <w:sz w:val="22"/>
                <w:szCs w:val="22"/>
              </w:rPr>
              <w:t xml:space="preserve"> </w:t>
            </w:r>
            <w:proofErr w:type="spellStart"/>
            <w:r>
              <w:rPr>
                <w:rFonts w:ascii="Arial" w:hAnsi="Arial" w:cs="Arial"/>
                <w:color w:val="000000"/>
                <w:sz w:val="22"/>
                <w:szCs w:val="22"/>
              </w:rPr>
              <w:t>d’Impact</w:t>
            </w:r>
            <w:proofErr w:type="spellEnd"/>
            <w:r>
              <w:rPr>
                <w:rFonts w:ascii="Arial" w:hAnsi="Arial" w:cs="Arial"/>
                <w:color w:val="000000"/>
                <w:sz w:val="22"/>
                <w:szCs w:val="22"/>
              </w:rPr>
              <w:t xml:space="preserve">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33786D89" w14:textId="77777777" w:rsidR="00A35DC3" w:rsidRDefault="00A35DC3" w:rsidP="00A43673">
            <w:pPr>
              <w:spacing w:after="120"/>
            </w:pPr>
          </w:p>
        </w:tc>
      </w:tr>
      <w:tr w:rsidR="00A35DC3" w14:paraId="354CB88E" w14:textId="77777777" w:rsidTr="00A35DC3">
        <w:trPr>
          <w:trHeight w:val="20"/>
        </w:trPr>
        <w:tc>
          <w:tcPr>
            <w:tcW w:w="0" w:type="auto"/>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0D442048" w14:textId="77777777" w:rsidR="00A35DC3" w:rsidRDefault="00A35DC3" w:rsidP="00A43673">
            <w:pPr>
              <w:pStyle w:val="NormalWeb"/>
              <w:spacing w:before="0" w:beforeAutospacing="0" w:after="120" w:afterAutospacing="0"/>
            </w:pPr>
            <w:proofErr w:type="spellStart"/>
            <w:r>
              <w:rPr>
                <w:rFonts w:ascii="Arial" w:hAnsi="Arial" w:cs="Arial"/>
                <w:i/>
                <w:iCs/>
                <w:color w:val="FFFFFF"/>
                <w:sz w:val="16"/>
                <w:szCs w:val="16"/>
              </w:rPr>
              <w:t>Thématique</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99724FB" w14:textId="77777777" w:rsidR="00A35DC3" w:rsidRDefault="00A35DC3" w:rsidP="00A43673">
            <w:pPr>
              <w:pStyle w:val="NormalWeb"/>
              <w:spacing w:before="0" w:beforeAutospacing="0" w:after="120" w:afterAutospacing="0"/>
            </w:pPr>
            <w:r>
              <w:rPr>
                <w:rFonts w:ascii="Arial" w:hAnsi="Arial" w:cs="Arial"/>
                <w:b/>
                <w:bCs/>
                <w:color w:val="FFFFFF"/>
                <w:sz w:val="16"/>
                <w:szCs w:val="16"/>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67254DA" w14:textId="77777777" w:rsidR="00A35DC3" w:rsidRDefault="00A35DC3" w:rsidP="00A43673">
            <w:pPr>
              <w:pStyle w:val="NormalWeb"/>
              <w:spacing w:before="0" w:beforeAutospacing="0" w:after="120" w:afterAutospacing="0"/>
            </w:pPr>
            <w:proofErr w:type="spellStart"/>
            <w:r>
              <w:rPr>
                <w:rFonts w:ascii="Arial" w:hAnsi="Arial" w:cs="Arial"/>
                <w:b/>
                <w:bCs/>
                <w:color w:val="000000"/>
                <w:sz w:val="16"/>
                <w:szCs w:val="16"/>
              </w:rPr>
              <w:t>Indicateurs</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B2DF45A" w14:textId="77777777" w:rsidR="00A35DC3" w:rsidRDefault="00A35DC3" w:rsidP="00A43673">
            <w:pPr>
              <w:pStyle w:val="NormalWeb"/>
              <w:spacing w:before="0" w:beforeAutospacing="0" w:after="120" w:afterAutospacing="0"/>
              <w:ind w:left="-111" w:right="-109"/>
            </w:pPr>
            <w:r>
              <w:rPr>
                <w:rFonts w:ascii="Arial" w:hAnsi="Arial" w:cs="Arial"/>
                <w:b/>
                <w:bCs/>
                <w:color w:val="FFFFFF"/>
                <w:sz w:val="16"/>
                <w:szCs w:val="16"/>
              </w:rPr>
              <w:t>Unité</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D0413A2" w14:textId="77777777" w:rsidR="00A35DC3" w:rsidRDefault="00A35DC3" w:rsidP="00A43673">
            <w:pPr>
              <w:pStyle w:val="NormalWeb"/>
              <w:spacing w:before="0" w:beforeAutospacing="0" w:after="120" w:afterAutospacing="0"/>
              <w:ind w:left="-111" w:right="-109"/>
            </w:pPr>
            <w:proofErr w:type="spellStart"/>
            <w:r>
              <w:rPr>
                <w:rFonts w:ascii="Arial" w:hAnsi="Arial" w:cs="Arial"/>
                <w:b/>
                <w:bCs/>
                <w:color w:val="FFFFFF"/>
                <w:sz w:val="16"/>
                <w:szCs w:val="16"/>
              </w:rPr>
              <w:t>Commentaire</w:t>
            </w:r>
            <w:proofErr w:type="spellEnd"/>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00722045" w14:textId="77777777" w:rsidR="00A35DC3" w:rsidRDefault="00A35DC3" w:rsidP="00A43673">
            <w:pPr>
              <w:spacing w:after="120"/>
            </w:pPr>
          </w:p>
        </w:tc>
      </w:tr>
      <w:tr w:rsidR="00A35DC3" w14:paraId="22FC3A22" w14:textId="77777777" w:rsidTr="00A35DC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5B50EFFC" w14:textId="77777777" w:rsidR="00A35DC3" w:rsidRDefault="00A35DC3" w:rsidP="00A43673">
            <w:pPr>
              <w:pStyle w:val="NormalWeb"/>
              <w:spacing w:before="0" w:beforeAutospacing="0" w:after="120" w:afterAutospacing="0"/>
            </w:pPr>
            <w:proofErr w:type="spellStart"/>
            <w:r>
              <w:rPr>
                <w:rFonts w:ascii="Arial" w:hAnsi="Arial" w:cs="Arial"/>
                <w:color w:val="000000"/>
                <w:sz w:val="18"/>
                <w:szCs w:val="18"/>
              </w:rPr>
              <w:t>Couvert</w:t>
            </w:r>
            <w:proofErr w:type="spellEnd"/>
            <w:r>
              <w:rPr>
                <w:rFonts w:ascii="Arial" w:hAnsi="Arial" w:cs="Arial"/>
                <w:color w:val="000000"/>
                <w:sz w:val="18"/>
                <w:szCs w:val="18"/>
              </w:rPr>
              <w:t xml:space="preserve"> </w:t>
            </w:r>
            <w:proofErr w:type="spellStart"/>
            <w:r>
              <w:rPr>
                <w:rFonts w:ascii="Arial" w:hAnsi="Arial" w:cs="Arial"/>
                <w:color w:val="000000"/>
                <w:sz w:val="18"/>
                <w:szCs w:val="18"/>
              </w:rPr>
              <w:t>forestier</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B137811" w14:textId="77777777" w:rsidR="00A35DC3" w:rsidRDefault="00000000" w:rsidP="00A43673">
            <w:pPr>
              <w:pStyle w:val="NormalWeb"/>
              <w:spacing w:before="0" w:beforeAutospacing="0" w:after="120" w:afterAutospacing="0"/>
            </w:pPr>
            <w:hyperlink r:id="rId88" w:anchor="bookmark=id.1egqt2p" w:history="1">
              <w:r w:rsidR="00A35DC3">
                <w:rPr>
                  <w:rStyle w:val="Lienhypertexte"/>
                  <w:rFonts w:ascii="Arial" w:hAnsi="Arial" w:cs="Arial"/>
                  <w:color w:val="0563C1"/>
                  <w:sz w:val="18"/>
                  <w:szCs w:val="18"/>
                </w:rPr>
                <w:t>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4F1FA58"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Superficie annuelle moyenne de déforestation et de dégradation (ou à défaut, de perte de couvert arboré) dans la zone de projet</w:t>
            </w:r>
            <w:r w:rsidRPr="00A35DC3">
              <w:rPr>
                <w:rFonts w:ascii="Arial" w:hAnsi="Arial" w:cs="Arial"/>
                <w:color w:val="000000"/>
                <w:sz w:val="22"/>
                <w:szCs w:val="22"/>
                <w:lang w:val="fr-CH"/>
              </w:rPr>
              <w:t>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21DD777" w14:textId="77777777" w:rsidR="00A35DC3" w:rsidRDefault="00A35DC3" w:rsidP="00A43673">
            <w:pPr>
              <w:pStyle w:val="NormalWeb"/>
              <w:spacing w:before="0" w:beforeAutospacing="0" w:after="120" w:afterAutospacing="0"/>
            </w:pPr>
            <w:r>
              <w:rPr>
                <w:rFonts w:ascii="Arial" w:hAnsi="Arial" w:cs="Arial"/>
                <w:color w:val="000000"/>
                <w:sz w:val="16"/>
                <w:szCs w:val="16"/>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DDFAD60" w14:textId="2B4EE444"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A défaut de pouvoir fournir la perte de couvert forestier et la dégradation, il est acceptable de fournir la perte de couvert arboré en utilisant des outils globaux (plateforme de suivi automatisée accessible aux projet (GFW</w:t>
            </w:r>
            <w:r>
              <w:rPr>
                <w:rFonts w:ascii="Arial" w:hAnsi="Arial" w:cs="Arial"/>
                <w:color w:val="000000"/>
                <w:sz w:val="16"/>
                <w:szCs w:val="16"/>
                <w:lang w:val="fr-CH"/>
              </w:rPr>
              <w:t xml:space="preserve">, Tropical </w:t>
            </w:r>
            <w:proofErr w:type="spellStart"/>
            <w:r>
              <w:rPr>
                <w:rFonts w:ascii="Arial" w:hAnsi="Arial" w:cs="Arial"/>
                <w:color w:val="000000"/>
                <w:sz w:val="16"/>
                <w:szCs w:val="16"/>
                <w:lang w:val="fr-CH"/>
              </w:rPr>
              <w:t>Moist</w:t>
            </w:r>
            <w:proofErr w:type="spellEnd"/>
            <w:r>
              <w:rPr>
                <w:rFonts w:ascii="Arial" w:hAnsi="Arial" w:cs="Arial"/>
                <w:color w:val="000000"/>
                <w:sz w:val="16"/>
                <w:szCs w:val="16"/>
                <w:lang w:val="fr-CH"/>
              </w:rPr>
              <w:t xml:space="preserve"> </w:t>
            </w:r>
            <w:proofErr w:type="spellStart"/>
            <w:r>
              <w:rPr>
                <w:rFonts w:ascii="Arial" w:hAnsi="Arial" w:cs="Arial"/>
                <w:color w:val="000000"/>
                <w:sz w:val="16"/>
                <w:szCs w:val="16"/>
                <w:lang w:val="fr-CH"/>
              </w:rPr>
              <w:t>Forests</w:t>
            </w:r>
            <w:proofErr w:type="spellEnd"/>
            <w:r w:rsidRPr="00A35DC3">
              <w:rPr>
                <w:rFonts w:ascii="Arial" w:hAnsi="Arial" w:cs="Arial"/>
                <w:color w:val="000000"/>
                <w:sz w:val="16"/>
                <w:szCs w:val="16"/>
                <w:lang w:val="fr-CH"/>
              </w:rPr>
              <w:t xml:space="preserve"> ou équivalent), utilisée pour le suivi des PSE.</w:t>
            </w:r>
          </w:p>
          <w:p w14:paraId="290AF7BF"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Au moins annuellement et à échelle Province et zones d’intervention directe du projet (désagréger)</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24CF12E2"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Haute importance</w:t>
            </w:r>
          </w:p>
          <w:p w14:paraId="3714404B"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r w:rsidR="00A35DC3" w14:paraId="0FC6331D"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772D2680"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A2AE8D9" w14:textId="77777777" w:rsidR="00A35DC3" w:rsidRDefault="00000000" w:rsidP="00A43673">
            <w:pPr>
              <w:pStyle w:val="NormalWeb"/>
              <w:spacing w:before="0" w:beforeAutospacing="0" w:after="120" w:afterAutospacing="0"/>
            </w:pPr>
            <w:hyperlink r:id="rId89" w:anchor="bookmark=id.1egqt2p" w:history="1">
              <w:r w:rsidR="00A35DC3">
                <w:rPr>
                  <w:rStyle w:val="Lienhypertexte"/>
                  <w:rFonts w:ascii="Arial" w:hAnsi="Arial" w:cs="Arial"/>
                  <w:color w:val="0563C1"/>
                  <w:sz w:val="18"/>
                  <w:szCs w:val="18"/>
                </w:rPr>
                <w:t>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B33997B"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xml:space="preserve">Superficie totale de compensation des pertes du couvert forestier, </w:t>
            </w:r>
            <w:r w:rsidRPr="00A35DC3">
              <w:rPr>
                <w:rFonts w:ascii="Arial" w:hAnsi="Arial" w:cs="Arial"/>
                <w:i/>
                <w:iCs/>
                <w:color w:val="000000"/>
                <w:sz w:val="18"/>
                <w:szCs w:val="18"/>
                <w:lang w:val="fr-CH"/>
              </w:rPr>
              <w:t xml:space="preserve">ventilé par type : agroforesterie, cultures pérennes, restauration par mise en défens, plantation, </w:t>
            </w:r>
            <w:proofErr w:type="spellStart"/>
            <w:r w:rsidRPr="00A35DC3">
              <w:rPr>
                <w:rFonts w:ascii="Arial" w:hAnsi="Arial" w:cs="Arial"/>
                <w:i/>
                <w:iCs/>
                <w:color w:val="000000"/>
                <w:sz w:val="18"/>
                <w:szCs w:val="18"/>
                <w:lang w:val="fr-CH"/>
              </w:rPr>
              <w:t>etc</w:t>
            </w:r>
            <w:proofErr w:type="spellEnd"/>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0593FCEC" w14:textId="77777777" w:rsidR="00A35DC3" w:rsidRDefault="00A35DC3" w:rsidP="00A43673">
            <w:pPr>
              <w:pStyle w:val="NormalWeb"/>
              <w:spacing w:before="0" w:beforeAutospacing="0" w:after="120" w:afterAutospacing="0"/>
            </w:pPr>
            <w:r>
              <w:rPr>
                <w:rFonts w:ascii="Arial" w:hAnsi="Arial" w:cs="Arial"/>
                <w:color w:val="000000"/>
                <w:sz w:val="16"/>
                <w:szCs w:val="16"/>
              </w:rPr>
              <w:t>ha</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95A9951"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Géoréférencée</w:t>
            </w:r>
          </w:p>
          <w:p w14:paraId="43B87904"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rapports de projet, rapports de vérification indépendante</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170757F6"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r w:rsidR="00A35DC3" w14:paraId="3C953280" w14:textId="77777777" w:rsidTr="00A35DC3">
        <w:trPr>
          <w:trHeight w:val="20"/>
        </w:trPr>
        <w:tc>
          <w:tcPr>
            <w:tcW w:w="0" w:type="auto"/>
            <w:vMerge w:val="restart"/>
            <w:tcBorders>
              <w:top w:val="single" w:sz="4" w:space="0" w:color="9CC3E5"/>
              <w:left w:val="single" w:sz="4" w:space="0" w:color="9CC3E5"/>
              <w:bottom w:val="single" w:sz="4" w:space="0" w:color="9CC3E5"/>
              <w:right w:val="single" w:sz="4" w:space="0" w:color="000000"/>
            </w:tcBorders>
            <w:tcMar>
              <w:top w:w="0" w:type="dxa"/>
              <w:left w:w="115" w:type="dxa"/>
              <w:bottom w:w="0" w:type="dxa"/>
              <w:right w:w="115" w:type="dxa"/>
            </w:tcMar>
            <w:hideMark/>
          </w:tcPr>
          <w:p w14:paraId="41A3A299" w14:textId="77777777" w:rsidR="00A35DC3" w:rsidRDefault="00A35DC3" w:rsidP="00A43673">
            <w:pPr>
              <w:pStyle w:val="NormalWeb"/>
              <w:spacing w:before="0" w:beforeAutospacing="0" w:after="120" w:afterAutospacing="0"/>
            </w:pPr>
            <w:r>
              <w:rPr>
                <w:rFonts w:ascii="Arial" w:hAnsi="Arial" w:cs="Arial"/>
                <w:color w:val="000000"/>
                <w:sz w:val="18"/>
                <w:szCs w:val="18"/>
              </w:rPr>
              <w:t>Co-</w:t>
            </w:r>
            <w:proofErr w:type="spellStart"/>
            <w:r>
              <w:rPr>
                <w:rFonts w:ascii="Arial" w:hAnsi="Arial" w:cs="Arial"/>
                <w:color w:val="000000"/>
                <w:sz w:val="18"/>
                <w:szCs w:val="18"/>
              </w:rPr>
              <w:t>bénéfices</w:t>
            </w:r>
            <w:proofErr w:type="spellEnd"/>
            <w:r>
              <w:rPr>
                <w:rFonts w:ascii="Arial" w:hAnsi="Arial" w:cs="Arial"/>
                <w:color w:val="000000"/>
                <w:sz w:val="18"/>
                <w:szCs w:val="18"/>
              </w:rPr>
              <w:t xml:space="preserve"> du </w:t>
            </w:r>
            <w:proofErr w:type="spellStart"/>
            <w:r>
              <w:rPr>
                <w:rFonts w:ascii="Arial" w:hAnsi="Arial" w:cs="Arial"/>
                <w:color w:val="000000"/>
                <w:sz w:val="18"/>
                <w:szCs w:val="18"/>
              </w:rPr>
              <w:t>développement</w:t>
            </w:r>
            <w:proofErr w:type="spellEnd"/>
            <w:r>
              <w:rPr>
                <w:rFonts w:ascii="Arial" w:hAnsi="Arial" w:cs="Arial"/>
                <w:color w:val="000000"/>
                <w:sz w:val="18"/>
                <w:szCs w:val="18"/>
              </w:rPr>
              <w:t>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DA190DD" w14:textId="77777777" w:rsidR="00A35DC3" w:rsidRDefault="00000000" w:rsidP="00A43673">
            <w:pPr>
              <w:pStyle w:val="NormalWeb"/>
              <w:spacing w:before="0" w:beforeAutospacing="0" w:after="120" w:afterAutospacing="0"/>
            </w:pPr>
            <w:hyperlink r:id="rId90" w:anchor="bookmark=id.3ygebqi" w:history="1">
              <w:r w:rsidR="00A35DC3">
                <w:rPr>
                  <w:rStyle w:val="Lienhypertexte"/>
                  <w:rFonts w:ascii="Arial" w:hAnsi="Arial" w:cs="Arial"/>
                  <w:color w:val="0563C1"/>
                  <w:sz w:val="18"/>
                  <w:szCs w:val="18"/>
                </w:rPr>
                <w:t>1</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A3F3A7C"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Augmentation des revenus monétaires directs pour les bénéficiaires directs</w:t>
            </w:r>
            <w:r w:rsidRPr="00A35DC3">
              <w:rPr>
                <w:rFonts w:ascii="Arial" w:hAnsi="Arial" w:cs="Arial"/>
                <w:i/>
                <w:iCs/>
                <w:color w:val="000000"/>
                <w:sz w:val="18"/>
                <w:szCs w:val="18"/>
                <w:lang w:val="fr-CH"/>
              </w:rPr>
              <w:t> </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66B39CD5" w14:textId="77777777" w:rsidR="00A35DC3" w:rsidRDefault="00A35DC3" w:rsidP="00A43673">
            <w:pPr>
              <w:pStyle w:val="NormalWeb"/>
              <w:spacing w:before="0" w:beforeAutospacing="0" w:after="120" w:afterAutospacing="0"/>
            </w:pPr>
            <w:r>
              <w:rPr>
                <w:rFonts w:ascii="Arial" w:hAnsi="Arial" w:cs="Arial"/>
                <w:color w:val="000000"/>
                <w:sz w:val="16"/>
                <w:szCs w:val="16"/>
              </w:rPr>
              <w:t>$</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139485E7"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Enquête simplifiée (méthodologie harmonisée, sur base d’échantillonnage, à définir). Combiné à l’indicateur 2 ci-dessous, et aux indicateurs d’effet, la sécurité alimentaire est également renseignée. </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3E19F52"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r w:rsidR="00A35DC3" w14:paraId="4333E763" w14:textId="77777777" w:rsidTr="00A35DC3">
        <w:trPr>
          <w:trHeight w:val="20"/>
        </w:trPr>
        <w:tc>
          <w:tcPr>
            <w:tcW w:w="0" w:type="auto"/>
            <w:vMerge/>
            <w:tcBorders>
              <w:top w:val="single" w:sz="4" w:space="0" w:color="9CC3E5"/>
              <w:left w:val="single" w:sz="4" w:space="0" w:color="9CC3E5"/>
              <w:bottom w:val="single" w:sz="4" w:space="0" w:color="9CC3E5"/>
              <w:right w:val="single" w:sz="4" w:space="0" w:color="000000"/>
            </w:tcBorders>
            <w:vAlign w:val="center"/>
            <w:hideMark/>
          </w:tcPr>
          <w:p w14:paraId="2FF5A9A9" w14:textId="77777777" w:rsidR="00A35DC3" w:rsidRDefault="00A35DC3" w:rsidP="00A43673">
            <w:pPr>
              <w:spacing w:after="120"/>
              <w:rPr>
                <w:sz w:val="24"/>
                <w:szCs w:val="24"/>
              </w:rPr>
            </w:pP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7E7A7742" w14:textId="77777777" w:rsidR="00A35DC3" w:rsidRDefault="00000000" w:rsidP="00A43673">
            <w:pPr>
              <w:pStyle w:val="NormalWeb"/>
              <w:spacing w:before="0" w:beforeAutospacing="0" w:after="120" w:afterAutospacing="0"/>
            </w:pPr>
            <w:hyperlink r:id="rId91" w:anchor="bookmark=id.3ygebqi" w:history="1">
              <w:r w:rsidR="00A35DC3">
                <w:rPr>
                  <w:rStyle w:val="Lienhypertexte"/>
                  <w:rFonts w:ascii="Arial" w:hAnsi="Arial" w:cs="Arial"/>
                  <w:color w:val="0563C1"/>
                  <w:sz w:val="18"/>
                  <w:szCs w:val="18"/>
                </w:rPr>
                <w:t>2</w:t>
              </w:r>
            </w:hyperlink>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3B3E0807"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8"/>
                <w:szCs w:val="18"/>
                <w:lang w:val="fr-CH"/>
              </w:rPr>
              <w:t xml:space="preserve">Augmentation de la production vivrière des ménages bénéficiaires, </w:t>
            </w:r>
            <w:r w:rsidRPr="00A35DC3">
              <w:rPr>
                <w:rFonts w:ascii="Arial" w:hAnsi="Arial" w:cs="Arial"/>
                <w:i/>
                <w:iCs/>
                <w:color w:val="000000"/>
                <w:sz w:val="18"/>
                <w:szCs w:val="18"/>
                <w:lang w:val="fr-CH"/>
              </w:rPr>
              <w:t>ventilé par type de culture clé</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55C6C17E" w14:textId="77777777" w:rsidR="00A35DC3" w:rsidRDefault="00A35DC3" w:rsidP="00A43673">
            <w:pPr>
              <w:pStyle w:val="NormalWeb"/>
              <w:spacing w:before="0" w:beforeAutospacing="0" w:after="120" w:afterAutospacing="0"/>
              <w:ind w:right="-110"/>
            </w:pPr>
            <w:r>
              <w:rPr>
                <w:rFonts w:ascii="Arial" w:hAnsi="Arial" w:cs="Arial"/>
                <w:color w:val="000000"/>
                <w:sz w:val="16"/>
                <w:szCs w:val="16"/>
              </w:rPr>
              <w:t>T, L</w:t>
            </w:r>
          </w:p>
        </w:tc>
        <w:tc>
          <w:tcPr>
            <w:tcW w:w="0" w:type="auto"/>
            <w:tcBorders>
              <w:top w:val="single" w:sz="4" w:space="0" w:color="9CC3E5"/>
              <w:left w:val="single" w:sz="4" w:space="0" w:color="000000"/>
              <w:bottom w:val="single" w:sz="4" w:space="0" w:color="9CC3E5"/>
              <w:right w:val="single" w:sz="4" w:space="0" w:color="000000"/>
            </w:tcBorders>
            <w:tcMar>
              <w:top w:w="0" w:type="dxa"/>
              <w:left w:w="115" w:type="dxa"/>
              <w:bottom w:w="0" w:type="dxa"/>
              <w:right w:w="115" w:type="dxa"/>
            </w:tcMar>
            <w:hideMark/>
          </w:tcPr>
          <w:p w14:paraId="44F9ED84"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u w:val="single"/>
                <w:lang w:val="fr-CH"/>
              </w:rPr>
              <w:t>Vérification</w:t>
            </w:r>
            <w:r w:rsidRPr="00A35DC3">
              <w:rPr>
                <w:rFonts w:ascii="Arial" w:hAnsi="Arial" w:cs="Arial"/>
                <w:color w:val="000000"/>
                <w:sz w:val="16"/>
                <w:szCs w:val="16"/>
                <w:lang w:val="fr-CH"/>
              </w:rPr>
              <w:t> : Enquête simplifiée (méthodologie harmonisée, sur base d’échantillonnage, à définir).</w:t>
            </w:r>
          </w:p>
        </w:tc>
        <w:tc>
          <w:tcPr>
            <w:tcW w:w="0" w:type="auto"/>
            <w:tcBorders>
              <w:top w:val="single" w:sz="4" w:space="0" w:color="9CC3E5"/>
              <w:left w:val="single" w:sz="4" w:space="0" w:color="000000"/>
              <w:bottom w:val="single" w:sz="4" w:space="0" w:color="9CC3E5"/>
              <w:right w:val="single" w:sz="4" w:space="0" w:color="9CC3E5"/>
            </w:tcBorders>
            <w:tcMar>
              <w:top w:w="0" w:type="dxa"/>
              <w:left w:w="115" w:type="dxa"/>
              <w:bottom w:w="0" w:type="dxa"/>
              <w:right w:w="115" w:type="dxa"/>
            </w:tcMar>
            <w:hideMark/>
          </w:tcPr>
          <w:p w14:paraId="4319CCA0" w14:textId="77777777" w:rsidR="00A35DC3" w:rsidRPr="00A35DC3" w:rsidRDefault="00A35DC3" w:rsidP="00A43673">
            <w:pPr>
              <w:pStyle w:val="NormalWeb"/>
              <w:spacing w:before="0" w:beforeAutospacing="0" w:after="120" w:afterAutospacing="0"/>
              <w:rPr>
                <w:lang w:val="fr-CH"/>
              </w:rPr>
            </w:pPr>
            <w:r w:rsidRPr="00A35DC3">
              <w:rPr>
                <w:rFonts w:ascii="Arial" w:hAnsi="Arial" w:cs="Arial"/>
                <w:color w:val="000000"/>
                <w:sz w:val="16"/>
                <w:szCs w:val="16"/>
                <w:lang w:val="fr-CH"/>
              </w:rPr>
              <w:t>Le document de projet ne peut pas être approuvé si cet indicateur n’apparait pas dans le cadre de résultats</w:t>
            </w:r>
          </w:p>
        </w:tc>
      </w:tr>
    </w:tbl>
    <w:p w14:paraId="188811A8" w14:textId="62D7B11F" w:rsidR="00E97FF0" w:rsidRDefault="00E97FF0" w:rsidP="00F379E3">
      <w:pPr>
        <w:spacing w:before="20" w:after="20" w:line="259" w:lineRule="auto"/>
        <w:rPr>
          <w:rFonts w:ascii="Avenir Next LT Pro" w:hAnsi="Avenir Next LT Pro"/>
          <w:sz w:val="12"/>
          <w:szCs w:val="12"/>
        </w:rPr>
      </w:pPr>
    </w:p>
    <w:p w14:paraId="07B2EB46" w14:textId="77777777" w:rsidR="00E97FF0" w:rsidRDefault="00E97FF0">
      <w:pPr>
        <w:spacing w:after="160" w:line="259" w:lineRule="auto"/>
        <w:rPr>
          <w:rFonts w:ascii="Avenir Next LT Pro" w:hAnsi="Avenir Next LT Pro"/>
          <w:sz w:val="12"/>
          <w:szCs w:val="12"/>
        </w:rPr>
      </w:pPr>
      <w:r>
        <w:rPr>
          <w:rFonts w:ascii="Avenir Next LT Pro" w:hAnsi="Avenir Next LT Pro"/>
          <w:sz w:val="12"/>
          <w:szCs w:val="12"/>
        </w:rPr>
        <w:br w:type="page"/>
      </w:r>
    </w:p>
    <w:p w14:paraId="75F89D51" w14:textId="0B073157" w:rsidR="00E97FF0" w:rsidRDefault="00E97FF0" w:rsidP="00E97FF0">
      <w:pPr>
        <w:pStyle w:val="Titre3"/>
      </w:pPr>
      <w:bookmarkStart w:id="100" w:name="_Toc163230410"/>
      <w:r>
        <w:lastRenderedPageBreak/>
        <w:t xml:space="preserve">ANNEXE 10 : Plan de travail et budget </w:t>
      </w:r>
      <w:r w:rsidR="00D212B6">
        <w:t xml:space="preserve">(PTBA) </w:t>
      </w:r>
      <w:r>
        <w:t>annuel détaillé pour l’année 1</w:t>
      </w:r>
      <w:bookmarkEnd w:id="100"/>
    </w:p>
    <w:p w14:paraId="7C4449FF" w14:textId="77777777" w:rsidR="006946F1" w:rsidRPr="00CD73C2" w:rsidRDefault="006946F1" w:rsidP="00F379E3">
      <w:pPr>
        <w:spacing w:before="20" w:after="20" w:line="259" w:lineRule="auto"/>
        <w:rPr>
          <w:rFonts w:asciiTheme="minorHAnsi" w:hAnsiTheme="minorHAnsi" w:cstheme="minorHAnsi"/>
        </w:rPr>
      </w:pPr>
    </w:p>
    <w:p w14:paraId="3B4B505C" w14:textId="19CAB8B9" w:rsidR="00E97FF0" w:rsidRPr="00CD73C2" w:rsidRDefault="00D212B6" w:rsidP="00F379E3">
      <w:pPr>
        <w:spacing w:before="20" w:after="20" w:line="259" w:lineRule="auto"/>
        <w:rPr>
          <w:rFonts w:asciiTheme="minorHAnsi" w:hAnsiTheme="minorHAnsi" w:cstheme="minorHAnsi"/>
        </w:rPr>
      </w:pPr>
      <w:r w:rsidRPr="00CD73C2">
        <w:rPr>
          <w:rFonts w:asciiTheme="minorHAnsi" w:hAnsiTheme="minorHAnsi" w:cstheme="minorHAnsi"/>
        </w:rPr>
        <w:t xml:space="preserve">Le canevas de PTBA pour l’année est disponible dans le dossier </w:t>
      </w:r>
      <w:hyperlink r:id="rId92" w:history="1">
        <w:r w:rsidR="00CE5C4A" w:rsidRPr="00CD73C2">
          <w:rPr>
            <w:rStyle w:val="Lienhypertexte"/>
            <w:rFonts w:asciiTheme="minorHAnsi" w:hAnsiTheme="minorHAnsi" w:cstheme="minorHAnsi"/>
          </w:rPr>
          <w:t xml:space="preserve">06_Project </w:t>
        </w:r>
        <w:proofErr w:type="spellStart"/>
        <w:r w:rsidR="00CE5C4A" w:rsidRPr="00CD73C2">
          <w:rPr>
            <w:rStyle w:val="Lienhypertexte"/>
            <w:rFonts w:asciiTheme="minorHAnsi" w:hAnsiTheme="minorHAnsi" w:cstheme="minorHAnsi"/>
          </w:rPr>
          <w:t>implementation</w:t>
        </w:r>
        <w:proofErr w:type="spellEnd"/>
        <w:r w:rsidR="00CE5C4A" w:rsidRPr="00CD73C2">
          <w:rPr>
            <w:rStyle w:val="Lienhypertexte"/>
            <w:rFonts w:asciiTheme="minorHAnsi" w:hAnsiTheme="minorHAnsi" w:cstheme="minorHAnsi"/>
          </w:rPr>
          <w:t xml:space="preserve"> and M&amp;E</w:t>
        </w:r>
      </w:hyperlink>
      <w:r w:rsidR="00BC40BD">
        <w:rPr>
          <w:rStyle w:val="Lienhypertexte"/>
          <w:rFonts w:asciiTheme="minorHAnsi" w:hAnsiTheme="minorHAnsi" w:cstheme="minorHAnsi"/>
        </w:rPr>
        <w:t xml:space="preserve"> (voir fichier </w:t>
      </w:r>
      <w:proofErr w:type="spellStart"/>
      <w:r w:rsidR="00BC40BD">
        <w:rPr>
          <w:rStyle w:val="Lienhypertexte"/>
          <w:rFonts w:asciiTheme="minorHAnsi" w:hAnsiTheme="minorHAnsi" w:cstheme="minorHAnsi"/>
        </w:rPr>
        <w:t>excel</w:t>
      </w:r>
      <w:proofErr w:type="spellEnd"/>
      <w:r w:rsidR="00BC40BD">
        <w:rPr>
          <w:rStyle w:val="Lienhypertexte"/>
          <w:rFonts w:asciiTheme="minorHAnsi" w:hAnsiTheme="minorHAnsi" w:cstheme="minorHAnsi"/>
        </w:rPr>
        <w:t xml:space="preserve"> en annexe)</w:t>
      </w:r>
    </w:p>
    <w:p w14:paraId="2DDCD50D" w14:textId="77777777" w:rsidR="009822F6" w:rsidRPr="00CD73C2" w:rsidRDefault="009822F6" w:rsidP="00F379E3">
      <w:pPr>
        <w:spacing w:before="20" w:after="20" w:line="259" w:lineRule="auto"/>
        <w:rPr>
          <w:rFonts w:asciiTheme="minorHAnsi" w:hAnsiTheme="minorHAnsi" w:cstheme="minorHAnsi"/>
        </w:rPr>
      </w:pPr>
    </w:p>
    <w:p w14:paraId="16AB734B" w14:textId="77777777" w:rsidR="009822F6" w:rsidRDefault="009822F6" w:rsidP="00F379E3">
      <w:pPr>
        <w:spacing w:before="20" w:after="20" w:line="259" w:lineRule="auto"/>
        <w:rPr>
          <w:rFonts w:asciiTheme="minorHAnsi" w:hAnsiTheme="minorHAnsi" w:cstheme="minorHAnsi"/>
        </w:rPr>
      </w:pPr>
    </w:p>
    <w:p w14:paraId="235876ED" w14:textId="77777777" w:rsidR="0037291A" w:rsidRDefault="0037291A" w:rsidP="00F379E3">
      <w:pPr>
        <w:spacing w:before="20" w:after="20" w:line="259" w:lineRule="auto"/>
        <w:rPr>
          <w:rFonts w:asciiTheme="minorHAnsi" w:hAnsiTheme="minorHAnsi" w:cstheme="minorHAnsi"/>
        </w:rPr>
      </w:pPr>
    </w:p>
    <w:p w14:paraId="79D476AF" w14:textId="77777777" w:rsidR="0037291A" w:rsidRDefault="0037291A" w:rsidP="00F379E3">
      <w:pPr>
        <w:spacing w:before="20" w:after="20" w:line="259" w:lineRule="auto"/>
        <w:rPr>
          <w:rFonts w:asciiTheme="minorHAnsi" w:hAnsiTheme="minorHAnsi" w:cstheme="minorHAnsi"/>
        </w:rPr>
      </w:pPr>
    </w:p>
    <w:p w14:paraId="2E21C498" w14:textId="77777777" w:rsidR="0037291A" w:rsidRDefault="0037291A" w:rsidP="00F379E3">
      <w:pPr>
        <w:spacing w:before="20" w:after="20" w:line="259" w:lineRule="auto"/>
        <w:rPr>
          <w:rFonts w:asciiTheme="minorHAnsi" w:hAnsiTheme="minorHAnsi" w:cstheme="minorHAnsi"/>
        </w:rPr>
      </w:pPr>
    </w:p>
    <w:p w14:paraId="5EA2B83D" w14:textId="77777777" w:rsidR="0037291A" w:rsidRDefault="0037291A" w:rsidP="00F379E3">
      <w:pPr>
        <w:spacing w:before="20" w:after="20" w:line="259" w:lineRule="auto"/>
        <w:rPr>
          <w:rFonts w:asciiTheme="minorHAnsi" w:hAnsiTheme="minorHAnsi" w:cstheme="minorHAnsi"/>
        </w:rPr>
      </w:pPr>
    </w:p>
    <w:p w14:paraId="590194C9" w14:textId="77777777" w:rsidR="0037291A" w:rsidRDefault="0037291A" w:rsidP="00F379E3">
      <w:pPr>
        <w:spacing w:before="20" w:after="20" w:line="259" w:lineRule="auto"/>
        <w:rPr>
          <w:rFonts w:asciiTheme="minorHAnsi" w:hAnsiTheme="minorHAnsi" w:cstheme="minorHAnsi"/>
        </w:rPr>
      </w:pPr>
    </w:p>
    <w:p w14:paraId="1B69177D" w14:textId="77777777" w:rsidR="0037291A" w:rsidRDefault="0037291A" w:rsidP="00F379E3">
      <w:pPr>
        <w:spacing w:before="20" w:after="20" w:line="259" w:lineRule="auto"/>
        <w:rPr>
          <w:rFonts w:asciiTheme="minorHAnsi" w:hAnsiTheme="minorHAnsi" w:cstheme="minorHAnsi"/>
        </w:rPr>
      </w:pPr>
    </w:p>
    <w:p w14:paraId="73920B9E" w14:textId="77777777" w:rsidR="0037291A" w:rsidRDefault="0037291A" w:rsidP="00F379E3">
      <w:pPr>
        <w:spacing w:before="20" w:after="20" w:line="259" w:lineRule="auto"/>
        <w:rPr>
          <w:rFonts w:asciiTheme="minorHAnsi" w:hAnsiTheme="minorHAnsi" w:cstheme="minorHAnsi"/>
        </w:rPr>
      </w:pPr>
    </w:p>
    <w:p w14:paraId="08DA716E" w14:textId="77777777" w:rsidR="0037291A" w:rsidRDefault="0037291A" w:rsidP="00F379E3">
      <w:pPr>
        <w:spacing w:before="20" w:after="20" w:line="259" w:lineRule="auto"/>
        <w:rPr>
          <w:rFonts w:asciiTheme="minorHAnsi" w:hAnsiTheme="minorHAnsi" w:cstheme="minorHAnsi"/>
        </w:rPr>
      </w:pPr>
    </w:p>
    <w:p w14:paraId="3AAA8DC0" w14:textId="77777777" w:rsidR="0037291A" w:rsidRDefault="0037291A" w:rsidP="00F379E3">
      <w:pPr>
        <w:spacing w:before="20" w:after="20" w:line="259" w:lineRule="auto"/>
        <w:rPr>
          <w:rFonts w:asciiTheme="minorHAnsi" w:hAnsiTheme="minorHAnsi" w:cstheme="minorHAnsi"/>
        </w:rPr>
      </w:pPr>
    </w:p>
    <w:p w14:paraId="69CEA186" w14:textId="77777777" w:rsidR="0037291A" w:rsidRDefault="0037291A" w:rsidP="00F379E3">
      <w:pPr>
        <w:spacing w:before="20" w:after="20" w:line="259" w:lineRule="auto"/>
        <w:rPr>
          <w:rFonts w:asciiTheme="minorHAnsi" w:hAnsiTheme="minorHAnsi" w:cstheme="minorHAnsi"/>
        </w:rPr>
      </w:pPr>
    </w:p>
    <w:p w14:paraId="7A1E127B" w14:textId="77777777" w:rsidR="0037291A" w:rsidRDefault="0037291A" w:rsidP="00F379E3">
      <w:pPr>
        <w:spacing w:before="20" w:after="20" w:line="259" w:lineRule="auto"/>
        <w:rPr>
          <w:rFonts w:asciiTheme="minorHAnsi" w:hAnsiTheme="minorHAnsi" w:cstheme="minorHAnsi"/>
        </w:rPr>
      </w:pPr>
    </w:p>
    <w:p w14:paraId="2C2528AD" w14:textId="77777777" w:rsidR="0037291A" w:rsidRDefault="0037291A" w:rsidP="00F379E3">
      <w:pPr>
        <w:spacing w:before="20" w:after="20" w:line="259" w:lineRule="auto"/>
        <w:rPr>
          <w:rFonts w:asciiTheme="minorHAnsi" w:hAnsiTheme="minorHAnsi" w:cstheme="minorHAnsi"/>
        </w:rPr>
      </w:pPr>
    </w:p>
    <w:p w14:paraId="3AFB1699" w14:textId="77777777" w:rsidR="0037291A" w:rsidRDefault="0037291A" w:rsidP="00F379E3">
      <w:pPr>
        <w:spacing w:before="20" w:after="20" w:line="259" w:lineRule="auto"/>
        <w:rPr>
          <w:rFonts w:asciiTheme="minorHAnsi" w:hAnsiTheme="minorHAnsi" w:cstheme="minorHAnsi"/>
        </w:rPr>
      </w:pPr>
    </w:p>
    <w:p w14:paraId="7963AE90" w14:textId="77777777" w:rsidR="0037291A" w:rsidRDefault="0037291A" w:rsidP="00F379E3">
      <w:pPr>
        <w:spacing w:before="20" w:after="20" w:line="259" w:lineRule="auto"/>
        <w:rPr>
          <w:rFonts w:asciiTheme="minorHAnsi" w:hAnsiTheme="minorHAnsi" w:cstheme="minorHAnsi"/>
        </w:rPr>
      </w:pPr>
    </w:p>
    <w:p w14:paraId="171FA667" w14:textId="77777777" w:rsidR="0037291A" w:rsidRDefault="0037291A" w:rsidP="00F379E3">
      <w:pPr>
        <w:spacing w:before="20" w:after="20" w:line="259" w:lineRule="auto"/>
        <w:rPr>
          <w:rFonts w:asciiTheme="minorHAnsi" w:hAnsiTheme="minorHAnsi" w:cstheme="minorHAnsi"/>
        </w:rPr>
      </w:pPr>
    </w:p>
    <w:p w14:paraId="0703320A" w14:textId="77777777" w:rsidR="0037291A" w:rsidRDefault="0037291A" w:rsidP="00F379E3">
      <w:pPr>
        <w:spacing w:before="20" w:after="20" w:line="259" w:lineRule="auto"/>
        <w:rPr>
          <w:rFonts w:asciiTheme="minorHAnsi" w:hAnsiTheme="minorHAnsi" w:cstheme="minorHAnsi"/>
        </w:rPr>
      </w:pPr>
    </w:p>
    <w:p w14:paraId="42A4BA36" w14:textId="77777777" w:rsidR="0037291A" w:rsidRDefault="0037291A" w:rsidP="00F379E3">
      <w:pPr>
        <w:spacing w:before="20" w:after="20" w:line="259" w:lineRule="auto"/>
        <w:rPr>
          <w:rFonts w:asciiTheme="minorHAnsi" w:hAnsiTheme="minorHAnsi" w:cstheme="minorHAnsi"/>
        </w:rPr>
      </w:pPr>
    </w:p>
    <w:p w14:paraId="67768419" w14:textId="77777777" w:rsidR="0037291A" w:rsidRDefault="0037291A" w:rsidP="00F379E3">
      <w:pPr>
        <w:spacing w:before="20" w:after="20" w:line="259" w:lineRule="auto"/>
        <w:rPr>
          <w:rFonts w:asciiTheme="minorHAnsi" w:hAnsiTheme="minorHAnsi" w:cstheme="minorHAnsi"/>
        </w:rPr>
      </w:pPr>
    </w:p>
    <w:p w14:paraId="1A45C740" w14:textId="77777777" w:rsidR="0037291A" w:rsidRDefault="0037291A" w:rsidP="00F379E3">
      <w:pPr>
        <w:spacing w:before="20" w:after="20" w:line="259" w:lineRule="auto"/>
        <w:rPr>
          <w:rFonts w:asciiTheme="minorHAnsi" w:hAnsiTheme="minorHAnsi" w:cstheme="minorHAnsi"/>
        </w:rPr>
      </w:pPr>
    </w:p>
    <w:p w14:paraId="37FB136C" w14:textId="77777777" w:rsidR="0037291A" w:rsidRDefault="0037291A" w:rsidP="00F379E3">
      <w:pPr>
        <w:spacing w:before="20" w:after="20" w:line="259" w:lineRule="auto"/>
        <w:rPr>
          <w:rFonts w:asciiTheme="minorHAnsi" w:hAnsiTheme="minorHAnsi" w:cstheme="minorHAnsi"/>
        </w:rPr>
      </w:pPr>
    </w:p>
    <w:p w14:paraId="17841730" w14:textId="77777777" w:rsidR="0037291A" w:rsidRDefault="0037291A" w:rsidP="00F379E3">
      <w:pPr>
        <w:spacing w:before="20" w:after="20" w:line="259" w:lineRule="auto"/>
        <w:rPr>
          <w:rFonts w:asciiTheme="minorHAnsi" w:hAnsiTheme="minorHAnsi" w:cstheme="minorHAnsi"/>
        </w:rPr>
      </w:pPr>
    </w:p>
    <w:p w14:paraId="7B588390" w14:textId="77777777" w:rsidR="0037291A" w:rsidRDefault="0037291A" w:rsidP="00F379E3">
      <w:pPr>
        <w:spacing w:before="20" w:after="20" w:line="259" w:lineRule="auto"/>
        <w:rPr>
          <w:rFonts w:asciiTheme="minorHAnsi" w:hAnsiTheme="minorHAnsi" w:cstheme="minorHAnsi"/>
        </w:rPr>
      </w:pPr>
    </w:p>
    <w:p w14:paraId="4C642840" w14:textId="77777777" w:rsidR="0037291A" w:rsidRDefault="0037291A" w:rsidP="00F379E3">
      <w:pPr>
        <w:spacing w:before="20" w:after="20" w:line="259" w:lineRule="auto"/>
        <w:rPr>
          <w:rFonts w:asciiTheme="minorHAnsi" w:hAnsiTheme="minorHAnsi" w:cstheme="minorHAnsi"/>
        </w:rPr>
      </w:pPr>
    </w:p>
    <w:p w14:paraId="2033FC6C" w14:textId="77777777" w:rsidR="0037291A" w:rsidRDefault="0037291A" w:rsidP="00F379E3">
      <w:pPr>
        <w:spacing w:before="20" w:after="20" w:line="259" w:lineRule="auto"/>
        <w:rPr>
          <w:rFonts w:asciiTheme="minorHAnsi" w:hAnsiTheme="minorHAnsi" w:cstheme="minorHAnsi"/>
        </w:rPr>
      </w:pPr>
    </w:p>
    <w:p w14:paraId="370B4CB7" w14:textId="77777777" w:rsidR="0037291A" w:rsidRDefault="0037291A" w:rsidP="00F379E3">
      <w:pPr>
        <w:spacing w:before="20" w:after="20" w:line="259" w:lineRule="auto"/>
        <w:rPr>
          <w:rFonts w:asciiTheme="minorHAnsi" w:hAnsiTheme="minorHAnsi" w:cstheme="minorHAnsi"/>
        </w:rPr>
      </w:pPr>
    </w:p>
    <w:p w14:paraId="1D395B2D" w14:textId="77777777" w:rsidR="0037291A" w:rsidRPr="00CD73C2" w:rsidRDefault="0037291A" w:rsidP="00F379E3">
      <w:pPr>
        <w:spacing w:before="20" w:after="20" w:line="259" w:lineRule="auto"/>
        <w:rPr>
          <w:rFonts w:asciiTheme="minorHAnsi" w:hAnsiTheme="minorHAnsi" w:cstheme="minorHAnsi"/>
        </w:rPr>
      </w:pPr>
    </w:p>
    <w:p w14:paraId="5CF05C54" w14:textId="4F9A1326" w:rsidR="009822F6" w:rsidRDefault="009822F6" w:rsidP="009822F6">
      <w:pPr>
        <w:pStyle w:val="Titre3"/>
      </w:pPr>
      <w:bookmarkStart w:id="101" w:name="_Toc163230411"/>
      <w:r>
        <w:t>ANNEXE 11 : Plan des livrables</w:t>
      </w:r>
      <w:bookmarkEnd w:id="101"/>
    </w:p>
    <w:tbl>
      <w:tblPr>
        <w:tblStyle w:val="NatureCoDefaultTable"/>
        <w:tblW w:w="14012" w:type="dxa"/>
        <w:tblLayout w:type="fixed"/>
        <w:tblLook w:val="04A0" w:firstRow="1" w:lastRow="0" w:firstColumn="1" w:lastColumn="0" w:noHBand="0" w:noVBand="1"/>
      </w:tblPr>
      <w:tblGrid>
        <w:gridCol w:w="396"/>
        <w:gridCol w:w="730"/>
        <w:gridCol w:w="3068"/>
        <w:gridCol w:w="627"/>
        <w:gridCol w:w="623"/>
        <w:gridCol w:w="779"/>
        <w:gridCol w:w="628"/>
        <w:gridCol w:w="623"/>
        <w:gridCol w:w="623"/>
        <w:gridCol w:w="2335"/>
        <w:gridCol w:w="2025"/>
        <w:gridCol w:w="1555"/>
      </w:tblGrid>
      <w:tr w:rsidR="00096644" w:rsidRPr="00B06EE7" w14:paraId="1FCB8C5A" w14:textId="77777777" w:rsidTr="005B16B5">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396" w:type="dxa"/>
            <w:vMerge w:val="restart"/>
            <w:textDirection w:val="tbLrV"/>
            <w:hideMark/>
          </w:tcPr>
          <w:p w14:paraId="095E55BE" w14:textId="77777777" w:rsidR="00096644" w:rsidRPr="00A03DC3" w:rsidRDefault="00096644" w:rsidP="005B16B5">
            <w:pPr>
              <w:spacing w:before="0"/>
              <w:jc w:val="center"/>
              <w:rPr>
                <w:rFonts w:eastAsia="Times New Roman" w:cs="Calibri"/>
                <w:b w:val="0"/>
                <w:bCs/>
                <w:color w:val="FFFFFF"/>
                <w:sz w:val="18"/>
                <w:szCs w:val="18"/>
                <w:lang w:eastAsia="fr-FR"/>
              </w:rPr>
            </w:pPr>
            <w:r w:rsidRPr="00A03DC3">
              <w:rPr>
                <w:rFonts w:eastAsia="Times New Roman" w:cs="Calibri"/>
                <w:bCs/>
                <w:color w:val="FFFFFF"/>
                <w:sz w:val="18"/>
                <w:szCs w:val="18"/>
                <w:lang w:eastAsia="fr-FR"/>
              </w:rPr>
              <w:t>Produit</w:t>
            </w:r>
          </w:p>
        </w:tc>
        <w:tc>
          <w:tcPr>
            <w:tcW w:w="730" w:type="dxa"/>
            <w:vMerge w:val="restart"/>
            <w:textDirection w:val="tbLrV"/>
            <w:hideMark/>
          </w:tcPr>
          <w:p w14:paraId="030C1A8A" w14:textId="77777777" w:rsidR="00096644" w:rsidRPr="00A03DC3"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color w:val="FFFFFF"/>
                <w:sz w:val="18"/>
                <w:szCs w:val="18"/>
                <w:lang w:eastAsia="fr-FR"/>
              </w:rPr>
            </w:pPr>
            <w:r w:rsidRPr="00A03DC3">
              <w:rPr>
                <w:rFonts w:eastAsia="Times New Roman" w:cs="Calibri"/>
                <w:bCs/>
                <w:color w:val="FFFFFF"/>
                <w:sz w:val="18"/>
                <w:szCs w:val="18"/>
                <w:lang w:eastAsia="fr-FR"/>
              </w:rPr>
              <w:t>Activité</w:t>
            </w:r>
          </w:p>
        </w:tc>
        <w:tc>
          <w:tcPr>
            <w:tcW w:w="3068" w:type="dxa"/>
            <w:vMerge w:val="restart"/>
            <w:hideMark/>
          </w:tcPr>
          <w:p w14:paraId="0262E2AC" w14:textId="77777777" w:rsidR="00096644" w:rsidRPr="00B336E0"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sz w:val="18"/>
                <w:szCs w:val="18"/>
                <w:lang w:eastAsia="fr-FR"/>
              </w:rPr>
            </w:pPr>
            <w:r w:rsidRPr="00B336E0">
              <w:rPr>
                <w:rFonts w:eastAsia="Times New Roman" w:cs="Calibri"/>
                <w:bCs/>
                <w:sz w:val="18"/>
                <w:szCs w:val="18"/>
                <w:lang w:eastAsia="fr-FR"/>
              </w:rPr>
              <w:t>Activités</w:t>
            </w:r>
          </w:p>
        </w:tc>
        <w:tc>
          <w:tcPr>
            <w:tcW w:w="1250" w:type="dxa"/>
            <w:gridSpan w:val="2"/>
            <w:hideMark/>
          </w:tcPr>
          <w:p w14:paraId="269E9F5A" w14:textId="770DBEB1" w:rsidR="00096644" w:rsidRPr="00B336E0"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sz w:val="18"/>
                <w:szCs w:val="18"/>
                <w:lang w:eastAsia="fr-FR"/>
              </w:rPr>
            </w:pPr>
            <w:r w:rsidRPr="00B336E0">
              <w:rPr>
                <w:rFonts w:eastAsia="Times New Roman" w:cs="Calibri"/>
                <w:b w:val="0"/>
                <w:bCs/>
                <w:sz w:val="18"/>
                <w:szCs w:val="18"/>
                <w:lang w:eastAsia="fr-FR"/>
              </w:rPr>
              <w:t>Année 1</w:t>
            </w:r>
            <w:r>
              <w:rPr>
                <w:rStyle w:val="Appelnotedebasdep"/>
                <w:rFonts w:eastAsia="Times New Roman" w:cs="Calibri"/>
                <w:b w:val="0"/>
                <w:bCs/>
                <w:sz w:val="18"/>
                <w:szCs w:val="18"/>
                <w:lang w:eastAsia="fr-FR"/>
              </w:rPr>
              <w:footnoteReference w:id="19"/>
            </w:r>
          </w:p>
        </w:tc>
        <w:tc>
          <w:tcPr>
            <w:tcW w:w="1407" w:type="dxa"/>
            <w:gridSpan w:val="2"/>
          </w:tcPr>
          <w:p w14:paraId="2E541962" w14:textId="77777777" w:rsidR="00096644"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color w:val="FFFFFF"/>
                <w:sz w:val="18"/>
                <w:szCs w:val="18"/>
                <w:lang w:eastAsia="fr-FR"/>
              </w:rPr>
            </w:pPr>
            <w:r>
              <w:rPr>
                <w:rFonts w:eastAsia="Times New Roman" w:cs="Calibri"/>
                <w:b w:val="0"/>
                <w:bCs/>
                <w:color w:val="FFFFFF"/>
                <w:sz w:val="18"/>
                <w:szCs w:val="18"/>
                <w:lang w:eastAsia="fr-FR"/>
              </w:rPr>
              <w:t>Année 2</w:t>
            </w:r>
          </w:p>
        </w:tc>
        <w:tc>
          <w:tcPr>
            <w:tcW w:w="1246" w:type="dxa"/>
            <w:gridSpan w:val="2"/>
          </w:tcPr>
          <w:p w14:paraId="6B5E80B1" w14:textId="77777777" w:rsidR="00096644"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color w:val="FFFFFF"/>
                <w:sz w:val="18"/>
                <w:szCs w:val="18"/>
                <w:lang w:eastAsia="fr-FR"/>
              </w:rPr>
            </w:pPr>
            <w:r>
              <w:rPr>
                <w:rFonts w:eastAsia="Times New Roman" w:cs="Calibri"/>
                <w:b w:val="0"/>
                <w:bCs/>
                <w:color w:val="FFFFFF"/>
                <w:sz w:val="18"/>
                <w:szCs w:val="18"/>
                <w:lang w:eastAsia="fr-FR"/>
              </w:rPr>
              <w:t>Année 3</w:t>
            </w:r>
          </w:p>
        </w:tc>
        <w:tc>
          <w:tcPr>
            <w:tcW w:w="2335" w:type="dxa"/>
          </w:tcPr>
          <w:p w14:paraId="237BFA11" w14:textId="77777777" w:rsidR="00096644"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color w:val="FFFFFF"/>
                <w:sz w:val="18"/>
                <w:szCs w:val="18"/>
                <w:lang w:eastAsia="fr-FR"/>
              </w:rPr>
            </w:pPr>
            <w:r>
              <w:rPr>
                <w:rFonts w:eastAsia="Times New Roman" w:cs="Calibri"/>
                <w:b w:val="0"/>
                <w:bCs/>
                <w:color w:val="FFFFFF"/>
                <w:sz w:val="18"/>
                <w:szCs w:val="18"/>
                <w:lang w:eastAsia="fr-FR"/>
              </w:rPr>
              <w:t>Indicateurs principaux</w:t>
            </w:r>
          </w:p>
        </w:tc>
        <w:tc>
          <w:tcPr>
            <w:tcW w:w="2025" w:type="dxa"/>
          </w:tcPr>
          <w:p w14:paraId="66352A13" w14:textId="77777777" w:rsidR="00096644"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color w:val="FFFFFF"/>
                <w:sz w:val="18"/>
                <w:szCs w:val="18"/>
                <w:lang w:eastAsia="fr-FR"/>
              </w:rPr>
            </w:pPr>
            <w:r>
              <w:rPr>
                <w:rFonts w:eastAsia="Times New Roman" w:cs="Calibri"/>
                <w:b w:val="0"/>
                <w:bCs/>
                <w:color w:val="FFFFFF"/>
                <w:sz w:val="18"/>
                <w:szCs w:val="18"/>
                <w:lang w:eastAsia="fr-FR"/>
              </w:rPr>
              <w:t xml:space="preserve">Résultat quantitatif attendu </w:t>
            </w:r>
          </w:p>
        </w:tc>
        <w:tc>
          <w:tcPr>
            <w:tcW w:w="1551" w:type="dxa"/>
          </w:tcPr>
          <w:p w14:paraId="209C1B2F" w14:textId="77777777" w:rsidR="00096644" w:rsidRDefault="00096644" w:rsidP="005B16B5">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color w:val="FFFFFF"/>
                <w:sz w:val="18"/>
                <w:szCs w:val="18"/>
                <w:lang w:eastAsia="fr-FR"/>
              </w:rPr>
            </w:pPr>
            <w:r>
              <w:rPr>
                <w:rFonts w:eastAsia="Times New Roman" w:cs="Calibri"/>
                <w:b w:val="0"/>
                <w:bCs/>
                <w:color w:val="FFFFFF"/>
                <w:sz w:val="18"/>
                <w:szCs w:val="18"/>
                <w:lang w:eastAsia="fr-FR"/>
              </w:rPr>
              <w:t xml:space="preserve">Partie responsable </w:t>
            </w:r>
          </w:p>
        </w:tc>
      </w:tr>
      <w:tr w:rsidR="00096644" w:rsidRPr="00B06EE7" w14:paraId="674EEF53" w14:textId="77777777" w:rsidTr="005B16B5">
        <w:trPr>
          <w:trHeight w:val="444"/>
        </w:trPr>
        <w:tc>
          <w:tcPr>
            <w:cnfStyle w:val="001000000000" w:firstRow="0" w:lastRow="0" w:firstColumn="1" w:lastColumn="0" w:oddVBand="0" w:evenVBand="0" w:oddHBand="0" w:evenHBand="0" w:firstRowFirstColumn="0" w:firstRowLastColumn="0" w:lastRowFirstColumn="0" w:lastRowLastColumn="0"/>
            <w:tcW w:w="396" w:type="dxa"/>
            <w:vMerge/>
            <w:textDirection w:val="tbLrV"/>
          </w:tcPr>
          <w:p w14:paraId="5ED42DF6" w14:textId="77777777" w:rsidR="00096644" w:rsidRPr="00A03DC3" w:rsidRDefault="00096644" w:rsidP="005B16B5">
            <w:pPr>
              <w:spacing w:before="0"/>
              <w:jc w:val="center"/>
              <w:rPr>
                <w:rFonts w:eastAsia="Times New Roman" w:cs="Calibri"/>
                <w:b w:val="0"/>
                <w:bCs/>
                <w:color w:val="FFFFFF"/>
                <w:szCs w:val="18"/>
                <w:lang w:eastAsia="fr-FR"/>
              </w:rPr>
            </w:pPr>
          </w:p>
        </w:tc>
        <w:tc>
          <w:tcPr>
            <w:tcW w:w="730" w:type="dxa"/>
            <w:vMerge/>
            <w:textDirection w:val="tbLrV"/>
          </w:tcPr>
          <w:p w14:paraId="0CF42B5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p>
        </w:tc>
        <w:tc>
          <w:tcPr>
            <w:tcW w:w="3068" w:type="dxa"/>
            <w:vMerge/>
          </w:tcPr>
          <w:p w14:paraId="0E2F241D" w14:textId="77777777" w:rsidR="00096644" w:rsidRPr="00B336E0"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auto"/>
                <w:szCs w:val="18"/>
                <w:lang w:eastAsia="fr-FR"/>
              </w:rPr>
            </w:pPr>
          </w:p>
        </w:tc>
        <w:tc>
          <w:tcPr>
            <w:tcW w:w="627" w:type="dxa"/>
          </w:tcPr>
          <w:p w14:paraId="418923E8" w14:textId="77777777" w:rsidR="00096644" w:rsidRPr="00B336E0" w:rsidRDefault="00096644" w:rsidP="005B16B5">
            <w:pPr>
              <w:spacing w:before="0" w:after="12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auto"/>
                <w:szCs w:val="18"/>
                <w:lang w:eastAsia="fr-FR"/>
              </w:rPr>
            </w:pPr>
            <w:r w:rsidRPr="00B336E0">
              <w:rPr>
                <w:rFonts w:eastAsia="Times New Roman" w:cs="Calibri"/>
                <w:b/>
                <w:bCs/>
                <w:color w:val="auto"/>
                <w:szCs w:val="18"/>
                <w:lang w:eastAsia="fr-FR"/>
              </w:rPr>
              <w:t>S1</w:t>
            </w:r>
          </w:p>
        </w:tc>
        <w:tc>
          <w:tcPr>
            <w:tcW w:w="623" w:type="dxa"/>
          </w:tcPr>
          <w:p w14:paraId="45335E09" w14:textId="77777777" w:rsidR="00096644" w:rsidRPr="00B336E0" w:rsidRDefault="00096644" w:rsidP="005B16B5">
            <w:pPr>
              <w:spacing w:before="0" w:after="12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auto"/>
                <w:szCs w:val="18"/>
                <w:lang w:eastAsia="fr-FR"/>
              </w:rPr>
            </w:pPr>
            <w:r w:rsidRPr="00B336E0">
              <w:rPr>
                <w:rFonts w:eastAsia="Times New Roman" w:cs="Calibri"/>
                <w:b/>
                <w:bCs/>
                <w:color w:val="auto"/>
                <w:szCs w:val="18"/>
                <w:lang w:eastAsia="fr-FR"/>
              </w:rPr>
              <w:t>S2</w:t>
            </w:r>
          </w:p>
        </w:tc>
        <w:tc>
          <w:tcPr>
            <w:tcW w:w="779" w:type="dxa"/>
          </w:tcPr>
          <w:p w14:paraId="5EAB688B" w14:textId="77777777" w:rsidR="00096644" w:rsidRDefault="00096644" w:rsidP="005B16B5">
            <w:pPr>
              <w:spacing w:before="0" w:after="12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r w:rsidRPr="00B336E0">
              <w:rPr>
                <w:rFonts w:eastAsia="Times New Roman" w:cs="Calibri"/>
                <w:b/>
                <w:bCs/>
                <w:color w:val="auto"/>
                <w:szCs w:val="18"/>
                <w:lang w:eastAsia="fr-FR"/>
              </w:rPr>
              <w:t>S1</w:t>
            </w:r>
          </w:p>
        </w:tc>
        <w:tc>
          <w:tcPr>
            <w:tcW w:w="628" w:type="dxa"/>
          </w:tcPr>
          <w:p w14:paraId="70D67E33" w14:textId="77777777" w:rsidR="00096644" w:rsidRDefault="00096644" w:rsidP="005B16B5">
            <w:pPr>
              <w:spacing w:before="0" w:after="12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r w:rsidRPr="00B336E0">
              <w:rPr>
                <w:rFonts w:eastAsia="Times New Roman" w:cs="Calibri"/>
                <w:b/>
                <w:bCs/>
                <w:color w:val="auto"/>
                <w:szCs w:val="18"/>
                <w:lang w:eastAsia="fr-FR"/>
              </w:rPr>
              <w:t>S2</w:t>
            </w:r>
          </w:p>
        </w:tc>
        <w:tc>
          <w:tcPr>
            <w:tcW w:w="623" w:type="dxa"/>
          </w:tcPr>
          <w:p w14:paraId="6FB46555" w14:textId="77777777" w:rsidR="00096644" w:rsidRDefault="00096644" w:rsidP="005B16B5">
            <w:pPr>
              <w:spacing w:before="0" w:after="12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r w:rsidRPr="00B336E0">
              <w:rPr>
                <w:rFonts w:eastAsia="Times New Roman" w:cs="Calibri"/>
                <w:b/>
                <w:bCs/>
                <w:color w:val="auto"/>
                <w:szCs w:val="18"/>
                <w:lang w:eastAsia="fr-FR"/>
              </w:rPr>
              <w:t>S1</w:t>
            </w:r>
          </w:p>
        </w:tc>
        <w:tc>
          <w:tcPr>
            <w:tcW w:w="623" w:type="dxa"/>
          </w:tcPr>
          <w:p w14:paraId="76A062FD" w14:textId="77777777" w:rsidR="00096644" w:rsidRDefault="00096644" w:rsidP="005B16B5">
            <w:pPr>
              <w:spacing w:before="0" w:after="12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r w:rsidRPr="00B336E0">
              <w:rPr>
                <w:rFonts w:eastAsia="Times New Roman" w:cs="Calibri"/>
                <w:b/>
                <w:bCs/>
                <w:color w:val="auto"/>
                <w:szCs w:val="18"/>
                <w:lang w:eastAsia="fr-FR"/>
              </w:rPr>
              <w:t>S2</w:t>
            </w:r>
          </w:p>
        </w:tc>
        <w:tc>
          <w:tcPr>
            <w:tcW w:w="2335" w:type="dxa"/>
          </w:tcPr>
          <w:p w14:paraId="02028085" w14:textId="77777777" w:rsidR="00096644"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p>
        </w:tc>
        <w:tc>
          <w:tcPr>
            <w:tcW w:w="2025" w:type="dxa"/>
          </w:tcPr>
          <w:p w14:paraId="3509247E" w14:textId="77777777" w:rsidR="00096644"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p>
        </w:tc>
        <w:tc>
          <w:tcPr>
            <w:tcW w:w="1551" w:type="dxa"/>
          </w:tcPr>
          <w:p w14:paraId="3AC9B5C4" w14:textId="77777777" w:rsidR="00096644"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b/>
                <w:bCs/>
                <w:color w:val="FFFFFF"/>
                <w:szCs w:val="18"/>
                <w:lang w:eastAsia="fr-FR"/>
              </w:rPr>
            </w:pPr>
          </w:p>
        </w:tc>
      </w:tr>
      <w:tr w:rsidR="00096644" w:rsidRPr="00B06EE7" w14:paraId="6D50D825" w14:textId="77777777" w:rsidTr="005B16B5">
        <w:trPr>
          <w:cantSplit/>
          <w:trHeight w:val="251"/>
        </w:trPr>
        <w:tc>
          <w:tcPr>
            <w:cnfStyle w:val="001000000000" w:firstRow="0" w:lastRow="0" w:firstColumn="1" w:lastColumn="0" w:oddVBand="0" w:evenVBand="0" w:oddHBand="0" w:evenHBand="0" w:firstRowFirstColumn="0" w:firstRowLastColumn="0" w:lastRowFirstColumn="0" w:lastRowLastColumn="0"/>
            <w:tcW w:w="14012" w:type="dxa"/>
            <w:gridSpan w:val="12"/>
            <w:shd w:val="clear" w:color="auto" w:fill="DAEFD3" w:themeFill="accent1" w:themeFillTint="33"/>
          </w:tcPr>
          <w:p w14:paraId="5A403C29" w14:textId="77777777" w:rsidR="00096644" w:rsidRDefault="00096644" w:rsidP="005B16B5">
            <w:pPr>
              <w:spacing w:before="0"/>
              <w:rPr>
                <w:rFonts w:eastAsia="Times New Roman" w:cs="Calibri"/>
                <w:b w:val="0"/>
                <w:bCs/>
                <w:color w:val="FFFFFF"/>
                <w:szCs w:val="18"/>
                <w:lang w:eastAsia="fr-FR"/>
              </w:rPr>
            </w:pPr>
            <w:r w:rsidRPr="00A03DC3">
              <w:rPr>
                <w:rFonts w:eastAsia="Times New Roman" w:cs="Calibri"/>
                <w:bCs/>
                <w:color w:val="000000"/>
                <w:szCs w:val="18"/>
                <w:lang w:eastAsia="fr-FR"/>
              </w:rPr>
              <w:t>Produit 1:Le cadre de gouvernance pour la mise en œuvre de la CDN est établi</w:t>
            </w:r>
          </w:p>
        </w:tc>
      </w:tr>
      <w:tr w:rsidR="00096644" w:rsidRPr="00B336E0" w14:paraId="548B13C8" w14:textId="77777777" w:rsidTr="005B16B5">
        <w:trPr>
          <w:trHeight w:val="941"/>
        </w:trPr>
        <w:tc>
          <w:tcPr>
            <w:cnfStyle w:val="001000000000" w:firstRow="0" w:lastRow="0" w:firstColumn="1" w:lastColumn="0" w:oddVBand="0" w:evenVBand="0" w:oddHBand="0" w:evenHBand="0" w:firstRowFirstColumn="0" w:firstRowLastColumn="0" w:lastRowFirstColumn="0" w:lastRowLastColumn="0"/>
            <w:tcW w:w="396" w:type="dxa"/>
            <w:hideMark/>
          </w:tcPr>
          <w:p w14:paraId="5180E8D2"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1</w:t>
            </w:r>
          </w:p>
        </w:tc>
        <w:tc>
          <w:tcPr>
            <w:tcW w:w="730" w:type="dxa"/>
            <w:hideMark/>
          </w:tcPr>
          <w:p w14:paraId="597090FC"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1.1</w:t>
            </w:r>
          </w:p>
        </w:tc>
        <w:tc>
          <w:tcPr>
            <w:tcW w:w="3068" w:type="dxa"/>
            <w:hideMark/>
          </w:tcPr>
          <w:p w14:paraId="4E770570"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1.1 : Appuyer la création et l’opérationnalisation du Conseil national de l’environnement et du développement durable (CNEDD)</w:t>
            </w:r>
          </w:p>
        </w:tc>
        <w:tc>
          <w:tcPr>
            <w:tcW w:w="627" w:type="dxa"/>
            <w:shd w:val="clear" w:color="auto" w:fill="FF0000"/>
            <w:hideMark/>
          </w:tcPr>
          <w:p w14:paraId="4718771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109ECD8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92D050"/>
          </w:tcPr>
          <w:p w14:paraId="373EC79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92D050"/>
          </w:tcPr>
          <w:p w14:paraId="7E7CFEF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1C4E52A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03C4989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281DE7B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570024">
              <w:rPr>
                <w:rFonts w:eastAsia="Times New Roman" w:cs="Calibri"/>
                <w:color w:val="000000"/>
                <w:szCs w:val="18"/>
                <w:lang w:val="en-AU" w:eastAsia="fr-FR"/>
              </w:rPr>
              <w:t xml:space="preserve">CNEDD </w:t>
            </w:r>
            <w:proofErr w:type="spellStart"/>
            <w:r w:rsidRPr="00570024">
              <w:rPr>
                <w:rFonts w:eastAsia="Times New Roman" w:cs="Calibri"/>
                <w:color w:val="000000"/>
                <w:szCs w:val="18"/>
                <w:lang w:val="en-AU" w:eastAsia="fr-FR"/>
              </w:rPr>
              <w:t>établi</w:t>
            </w:r>
            <w:proofErr w:type="spellEnd"/>
            <w:r w:rsidRPr="00570024">
              <w:rPr>
                <w:rFonts w:eastAsia="Times New Roman" w:cs="Calibri"/>
                <w:color w:val="000000"/>
                <w:szCs w:val="18"/>
                <w:lang w:val="en-AU" w:eastAsia="fr-FR"/>
              </w:rPr>
              <w:t xml:space="preserve"> et </w:t>
            </w:r>
            <w:proofErr w:type="spellStart"/>
            <w:r w:rsidRPr="00570024">
              <w:rPr>
                <w:rFonts w:eastAsia="Times New Roman" w:cs="Calibri"/>
                <w:color w:val="000000"/>
                <w:szCs w:val="18"/>
                <w:lang w:val="en-AU" w:eastAsia="fr-FR"/>
              </w:rPr>
              <w:t>opérationnel</w:t>
            </w:r>
            <w:proofErr w:type="spellEnd"/>
          </w:p>
        </w:tc>
        <w:tc>
          <w:tcPr>
            <w:tcW w:w="2025" w:type="dxa"/>
          </w:tcPr>
          <w:p w14:paraId="1E4F26A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Un acte de création officiel du CNEDD est disponible </w:t>
            </w:r>
          </w:p>
        </w:tc>
        <w:tc>
          <w:tcPr>
            <w:tcW w:w="1551" w:type="dxa"/>
          </w:tcPr>
          <w:p w14:paraId="5D8BBAD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PNUD/MINEDD</w:t>
            </w:r>
          </w:p>
        </w:tc>
      </w:tr>
      <w:tr w:rsidR="00096644" w:rsidRPr="00B336E0" w14:paraId="20A631F2" w14:textId="77777777" w:rsidTr="005B16B5">
        <w:trPr>
          <w:trHeight w:val="619"/>
        </w:trPr>
        <w:tc>
          <w:tcPr>
            <w:cnfStyle w:val="001000000000" w:firstRow="0" w:lastRow="0" w:firstColumn="1" w:lastColumn="0" w:oddVBand="0" w:evenVBand="0" w:oddHBand="0" w:evenHBand="0" w:firstRowFirstColumn="0" w:firstRowLastColumn="0" w:lastRowFirstColumn="0" w:lastRowLastColumn="0"/>
            <w:tcW w:w="396" w:type="dxa"/>
            <w:hideMark/>
          </w:tcPr>
          <w:p w14:paraId="7682C568"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1</w:t>
            </w:r>
          </w:p>
        </w:tc>
        <w:tc>
          <w:tcPr>
            <w:tcW w:w="730" w:type="dxa"/>
            <w:hideMark/>
          </w:tcPr>
          <w:p w14:paraId="11DC1A4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1.2</w:t>
            </w:r>
          </w:p>
        </w:tc>
        <w:tc>
          <w:tcPr>
            <w:tcW w:w="3068" w:type="dxa"/>
            <w:hideMark/>
          </w:tcPr>
          <w:p w14:paraId="43E7B947"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1.2 : Appuyer la mise en place et le fonctionnement de la Cellule Technique de la CDN</w:t>
            </w:r>
          </w:p>
        </w:tc>
        <w:tc>
          <w:tcPr>
            <w:tcW w:w="627" w:type="dxa"/>
            <w:shd w:val="clear" w:color="auto" w:fill="FF0000"/>
            <w:hideMark/>
          </w:tcPr>
          <w:p w14:paraId="2BBBC33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5D3C05F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92D050"/>
          </w:tcPr>
          <w:p w14:paraId="62BCD1E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92D050"/>
          </w:tcPr>
          <w:p w14:paraId="00CD859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678A3F8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3DB30F4E"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195F07A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1 cellule technique opérationnelle et des rapports d’activité disponible </w:t>
            </w:r>
          </w:p>
        </w:tc>
        <w:tc>
          <w:tcPr>
            <w:tcW w:w="2025" w:type="dxa"/>
          </w:tcPr>
          <w:p w14:paraId="6DB5E6E9"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604D11">
              <w:rPr>
                <w:rFonts w:eastAsia="Times New Roman" w:cs="Calibri"/>
                <w:color w:val="000000"/>
                <w:szCs w:val="18"/>
                <w:lang w:val="en-AU" w:eastAsia="fr-FR"/>
              </w:rPr>
              <w:t xml:space="preserve">1 Cellule Technique </w:t>
            </w:r>
            <w:proofErr w:type="spellStart"/>
            <w:r w:rsidRPr="00604D11">
              <w:rPr>
                <w:rFonts w:eastAsia="Times New Roman" w:cs="Calibri"/>
                <w:color w:val="000000"/>
                <w:szCs w:val="18"/>
                <w:lang w:val="en-AU" w:eastAsia="fr-FR"/>
              </w:rPr>
              <w:t>fonctionnelle</w:t>
            </w:r>
            <w:proofErr w:type="spellEnd"/>
          </w:p>
        </w:tc>
        <w:tc>
          <w:tcPr>
            <w:tcW w:w="1551" w:type="dxa"/>
          </w:tcPr>
          <w:p w14:paraId="766876E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PNUD/MINEDD</w:t>
            </w:r>
          </w:p>
        </w:tc>
      </w:tr>
      <w:tr w:rsidR="00096644" w:rsidRPr="00B336E0" w14:paraId="034FC8B8" w14:textId="77777777" w:rsidTr="005B16B5">
        <w:trPr>
          <w:trHeight w:val="930"/>
        </w:trPr>
        <w:tc>
          <w:tcPr>
            <w:cnfStyle w:val="001000000000" w:firstRow="0" w:lastRow="0" w:firstColumn="1" w:lastColumn="0" w:oddVBand="0" w:evenVBand="0" w:oddHBand="0" w:evenHBand="0" w:firstRowFirstColumn="0" w:firstRowLastColumn="0" w:lastRowFirstColumn="0" w:lastRowLastColumn="0"/>
            <w:tcW w:w="396" w:type="dxa"/>
            <w:hideMark/>
          </w:tcPr>
          <w:p w14:paraId="22D6C30B"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1</w:t>
            </w:r>
          </w:p>
        </w:tc>
        <w:tc>
          <w:tcPr>
            <w:tcW w:w="730" w:type="dxa"/>
            <w:hideMark/>
          </w:tcPr>
          <w:p w14:paraId="2405445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1.3</w:t>
            </w:r>
          </w:p>
        </w:tc>
        <w:tc>
          <w:tcPr>
            <w:tcW w:w="3068" w:type="dxa"/>
            <w:hideMark/>
          </w:tcPr>
          <w:p w14:paraId="791B215B"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1.3 :  Elaborer et appuyer la mise en œuvre de la Stratégie nationale de financement climatique de la CDN</w:t>
            </w:r>
          </w:p>
        </w:tc>
        <w:tc>
          <w:tcPr>
            <w:tcW w:w="627" w:type="dxa"/>
            <w:hideMark/>
          </w:tcPr>
          <w:p w14:paraId="20DB8DE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FF0000"/>
          </w:tcPr>
          <w:p w14:paraId="21DFBBD9"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tcPr>
          <w:p w14:paraId="1F36410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tcPr>
          <w:p w14:paraId="7F68C70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71A79D6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464E2DB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403BBED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521E82">
              <w:rPr>
                <w:rFonts w:eastAsia="Times New Roman" w:cs="Calibri"/>
                <w:color w:val="000000"/>
                <w:szCs w:val="18"/>
                <w:lang w:eastAsia="fr-FR"/>
              </w:rPr>
              <w:t>1 stratégie nationale développée</w:t>
            </w:r>
          </w:p>
        </w:tc>
        <w:tc>
          <w:tcPr>
            <w:tcW w:w="2025" w:type="dxa"/>
          </w:tcPr>
          <w:p w14:paraId="4F14E1EC"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Stratégie nationale DE financement climatique existe et est mis en œuvre par les différents acteurs </w:t>
            </w:r>
          </w:p>
        </w:tc>
        <w:tc>
          <w:tcPr>
            <w:tcW w:w="1551" w:type="dxa"/>
          </w:tcPr>
          <w:p w14:paraId="6F2BEDD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PNUD/MINEDD</w:t>
            </w:r>
          </w:p>
        </w:tc>
      </w:tr>
      <w:tr w:rsidR="00096644" w:rsidRPr="00B336E0" w14:paraId="2E74ADE0" w14:textId="77777777" w:rsidTr="005B16B5">
        <w:trPr>
          <w:trHeight w:val="1072"/>
        </w:trPr>
        <w:tc>
          <w:tcPr>
            <w:cnfStyle w:val="001000000000" w:firstRow="0" w:lastRow="0" w:firstColumn="1" w:lastColumn="0" w:oddVBand="0" w:evenVBand="0" w:oddHBand="0" w:evenHBand="0" w:firstRowFirstColumn="0" w:firstRowLastColumn="0" w:lastRowFirstColumn="0" w:lastRowLastColumn="0"/>
            <w:tcW w:w="396" w:type="dxa"/>
            <w:hideMark/>
          </w:tcPr>
          <w:p w14:paraId="26D3E122"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1</w:t>
            </w:r>
          </w:p>
        </w:tc>
        <w:tc>
          <w:tcPr>
            <w:tcW w:w="730" w:type="dxa"/>
            <w:hideMark/>
          </w:tcPr>
          <w:p w14:paraId="2970A83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1.4</w:t>
            </w:r>
          </w:p>
        </w:tc>
        <w:tc>
          <w:tcPr>
            <w:tcW w:w="3068" w:type="dxa"/>
            <w:hideMark/>
          </w:tcPr>
          <w:p w14:paraId="61F27F80"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1.4 : Finaliser le développement et opérationnalisation du système MRV de la CDN</w:t>
            </w:r>
          </w:p>
        </w:tc>
        <w:tc>
          <w:tcPr>
            <w:tcW w:w="627" w:type="dxa"/>
            <w:hideMark/>
          </w:tcPr>
          <w:p w14:paraId="2F1247D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6B59C92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tcPr>
          <w:p w14:paraId="6E85FDA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FF0000"/>
          </w:tcPr>
          <w:p w14:paraId="2560196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72BC41E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3B3892C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0462E88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805DD0">
              <w:rPr>
                <w:rFonts w:eastAsia="Times New Roman" w:cs="Calibri"/>
                <w:color w:val="000000"/>
                <w:szCs w:val="18"/>
                <w:lang w:eastAsia="fr-FR"/>
              </w:rPr>
              <w:t>1 système MRV de la CDN est opérationnel</w:t>
            </w:r>
          </w:p>
        </w:tc>
        <w:tc>
          <w:tcPr>
            <w:tcW w:w="2025" w:type="dxa"/>
          </w:tcPr>
          <w:p w14:paraId="617F6AE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Le système MRV de la CDN est finalisé et son appropriation par les différents acteurs est effectif  </w:t>
            </w:r>
          </w:p>
        </w:tc>
        <w:tc>
          <w:tcPr>
            <w:tcW w:w="1551" w:type="dxa"/>
          </w:tcPr>
          <w:p w14:paraId="7034A39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PNUD/MINEDD</w:t>
            </w:r>
          </w:p>
        </w:tc>
      </w:tr>
      <w:tr w:rsidR="00096644" w:rsidRPr="00B336E0" w14:paraId="4065D23B" w14:textId="77777777" w:rsidTr="005B16B5">
        <w:trPr>
          <w:trHeight w:val="1885"/>
        </w:trPr>
        <w:tc>
          <w:tcPr>
            <w:cnfStyle w:val="001000000000" w:firstRow="0" w:lastRow="0" w:firstColumn="1" w:lastColumn="0" w:oddVBand="0" w:evenVBand="0" w:oddHBand="0" w:evenHBand="0" w:firstRowFirstColumn="0" w:firstRowLastColumn="0" w:lastRowFirstColumn="0" w:lastRowLastColumn="0"/>
            <w:tcW w:w="396" w:type="dxa"/>
            <w:hideMark/>
          </w:tcPr>
          <w:p w14:paraId="4D3F31EE"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lastRenderedPageBreak/>
              <w:t>1</w:t>
            </w:r>
          </w:p>
        </w:tc>
        <w:tc>
          <w:tcPr>
            <w:tcW w:w="730" w:type="dxa"/>
            <w:hideMark/>
          </w:tcPr>
          <w:p w14:paraId="0C6B633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1.5</w:t>
            </w:r>
          </w:p>
        </w:tc>
        <w:tc>
          <w:tcPr>
            <w:tcW w:w="3068" w:type="dxa"/>
            <w:hideMark/>
          </w:tcPr>
          <w:p w14:paraId="0EC9C9BD"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1.5 : Appuyer l’intégration de la CDN dans les politiques et stratégies nationales et provinciales et sectorielles</w:t>
            </w:r>
          </w:p>
        </w:tc>
        <w:tc>
          <w:tcPr>
            <w:tcW w:w="627" w:type="dxa"/>
            <w:hideMark/>
          </w:tcPr>
          <w:p w14:paraId="6E4D173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FF0000"/>
          </w:tcPr>
          <w:p w14:paraId="1E7FDA9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tcPr>
          <w:p w14:paraId="29F0BAD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tcPr>
          <w:p w14:paraId="133C1BCE"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0403579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0F435C8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26423EE7" w14:textId="77777777" w:rsidR="00096644" w:rsidRPr="0028703E"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28703E">
              <w:rPr>
                <w:rFonts w:eastAsia="Times New Roman" w:cs="Calibri"/>
                <w:color w:val="000000"/>
                <w:szCs w:val="18"/>
                <w:lang w:eastAsia="fr-FR"/>
              </w:rPr>
              <w:t>Nombre de politiques</w:t>
            </w:r>
            <w:r>
              <w:rPr>
                <w:rFonts w:eastAsia="Times New Roman" w:cs="Calibri"/>
                <w:color w:val="000000"/>
                <w:szCs w:val="18"/>
                <w:lang w:eastAsia="fr-FR"/>
              </w:rPr>
              <w:t xml:space="preserve"> sectorielle</w:t>
            </w:r>
            <w:r w:rsidRPr="0028703E">
              <w:rPr>
                <w:rFonts w:eastAsia="Times New Roman" w:cs="Calibri"/>
                <w:color w:val="000000"/>
                <w:szCs w:val="18"/>
                <w:lang w:eastAsia="fr-FR"/>
              </w:rPr>
              <w:t xml:space="preserve"> intégrant la </w:t>
            </w:r>
            <w:r>
              <w:rPr>
                <w:rFonts w:eastAsia="Times New Roman" w:cs="Calibri"/>
                <w:color w:val="000000"/>
                <w:szCs w:val="18"/>
                <w:lang w:eastAsia="fr-FR"/>
              </w:rPr>
              <w:t>CDN dans leur cadre programmatique et budgétaire</w:t>
            </w:r>
          </w:p>
        </w:tc>
        <w:tc>
          <w:tcPr>
            <w:tcW w:w="2025" w:type="dxa"/>
          </w:tcPr>
          <w:p w14:paraId="5673E7C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Au moins 02 secteurs clés mentionnés dans la CDN intègrent les questions d’atténuation et de suivi des progrès de la mise en œuvre de la CDN dans leur cadre programmatique et budgétaire  </w:t>
            </w:r>
          </w:p>
        </w:tc>
        <w:tc>
          <w:tcPr>
            <w:tcW w:w="1551" w:type="dxa"/>
          </w:tcPr>
          <w:p w14:paraId="3790930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PNUD/MINEDD</w:t>
            </w:r>
          </w:p>
        </w:tc>
      </w:tr>
      <w:tr w:rsidR="00096644" w:rsidRPr="00B336E0" w14:paraId="2E5942AA" w14:textId="77777777" w:rsidTr="005B16B5">
        <w:trPr>
          <w:trHeight w:val="595"/>
        </w:trPr>
        <w:tc>
          <w:tcPr>
            <w:cnfStyle w:val="001000000000" w:firstRow="0" w:lastRow="0" w:firstColumn="1" w:lastColumn="0" w:oddVBand="0" w:evenVBand="0" w:oddHBand="0" w:evenHBand="0" w:firstRowFirstColumn="0" w:firstRowLastColumn="0" w:lastRowFirstColumn="0" w:lastRowLastColumn="0"/>
            <w:tcW w:w="396" w:type="dxa"/>
            <w:hideMark/>
          </w:tcPr>
          <w:p w14:paraId="1D3EF4FB"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1</w:t>
            </w:r>
          </w:p>
        </w:tc>
        <w:tc>
          <w:tcPr>
            <w:tcW w:w="730" w:type="dxa"/>
            <w:hideMark/>
          </w:tcPr>
          <w:p w14:paraId="134908F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1.6</w:t>
            </w:r>
          </w:p>
        </w:tc>
        <w:tc>
          <w:tcPr>
            <w:tcW w:w="3068" w:type="dxa"/>
            <w:hideMark/>
          </w:tcPr>
          <w:p w14:paraId="73E9C604"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 xml:space="preserve">Activité 1.6 :  Appuyer la réalisation d'une étude cadrage </w:t>
            </w:r>
          </w:p>
        </w:tc>
        <w:tc>
          <w:tcPr>
            <w:tcW w:w="627" w:type="dxa"/>
            <w:shd w:val="clear" w:color="auto" w:fill="FF0000"/>
            <w:hideMark/>
          </w:tcPr>
          <w:p w14:paraId="6A5E82E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46D1F1D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tcPr>
          <w:p w14:paraId="7F3808A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tcPr>
          <w:p w14:paraId="23B1651C"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6780A6AE"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4D87544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5BB9E7C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01 rapport d’étude de cadrage disponible </w:t>
            </w:r>
          </w:p>
        </w:tc>
        <w:tc>
          <w:tcPr>
            <w:tcW w:w="2025" w:type="dxa"/>
          </w:tcPr>
          <w:p w14:paraId="05FEE83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01 étude de cadrage permet de réorienter les activités du projet</w:t>
            </w:r>
          </w:p>
        </w:tc>
        <w:tc>
          <w:tcPr>
            <w:tcW w:w="1551" w:type="dxa"/>
          </w:tcPr>
          <w:p w14:paraId="1F201F3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PNUD/MINEDD</w:t>
            </w:r>
          </w:p>
        </w:tc>
      </w:tr>
      <w:tr w:rsidR="00096644" w:rsidRPr="00B336E0" w14:paraId="2E145092" w14:textId="77777777" w:rsidTr="005B16B5">
        <w:trPr>
          <w:trHeight w:val="319"/>
        </w:trPr>
        <w:tc>
          <w:tcPr>
            <w:cnfStyle w:val="001000000000" w:firstRow="0" w:lastRow="0" w:firstColumn="1" w:lastColumn="0" w:oddVBand="0" w:evenVBand="0" w:oddHBand="0" w:evenHBand="0" w:firstRowFirstColumn="0" w:firstRowLastColumn="0" w:lastRowFirstColumn="0" w:lastRowLastColumn="0"/>
            <w:tcW w:w="14012" w:type="dxa"/>
            <w:gridSpan w:val="12"/>
            <w:shd w:val="clear" w:color="auto" w:fill="E8F3D3" w:themeFill="accent2" w:themeFillTint="33"/>
          </w:tcPr>
          <w:p w14:paraId="315F3F83" w14:textId="77777777" w:rsidR="00096644" w:rsidRPr="006260E4" w:rsidRDefault="00096644" w:rsidP="005B16B5">
            <w:pPr>
              <w:spacing w:before="0"/>
              <w:rPr>
                <w:rFonts w:eastAsia="Times New Roman" w:cs="Calibri"/>
                <w:bCs/>
                <w:color w:val="000000"/>
                <w:szCs w:val="18"/>
                <w:lang w:eastAsia="fr-FR"/>
              </w:rPr>
            </w:pPr>
            <w:r w:rsidRPr="00A03DC3">
              <w:rPr>
                <w:rFonts w:eastAsia="Times New Roman" w:cs="Calibri"/>
                <w:bCs/>
                <w:color w:val="000000"/>
                <w:szCs w:val="18"/>
                <w:lang w:eastAsia="fr-FR"/>
              </w:rPr>
              <w:t>Produit 2: Le cadre de gouvernance pour le déploiement des marchés du carbone est renforcé</w:t>
            </w:r>
          </w:p>
        </w:tc>
      </w:tr>
      <w:tr w:rsidR="00096644" w:rsidRPr="00B336E0" w14:paraId="52436B27" w14:textId="77777777" w:rsidTr="005B16B5">
        <w:trPr>
          <w:trHeight w:val="619"/>
        </w:trPr>
        <w:tc>
          <w:tcPr>
            <w:cnfStyle w:val="001000000000" w:firstRow="0" w:lastRow="0" w:firstColumn="1" w:lastColumn="0" w:oddVBand="0" w:evenVBand="0" w:oddHBand="0" w:evenHBand="0" w:firstRowFirstColumn="0" w:firstRowLastColumn="0" w:lastRowFirstColumn="0" w:lastRowLastColumn="0"/>
            <w:tcW w:w="396" w:type="dxa"/>
            <w:hideMark/>
          </w:tcPr>
          <w:p w14:paraId="5C63AB8F"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2</w:t>
            </w:r>
          </w:p>
        </w:tc>
        <w:tc>
          <w:tcPr>
            <w:tcW w:w="730" w:type="dxa"/>
            <w:hideMark/>
          </w:tcPr>
          <w:p w14:paraId="76B9617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2.1</w:t>
            </w:r>
          </w:p>
        </w:tc>
        <w:tc>
          <w:tcPr>
            <w:tcW w:w="3068" w:type="dxa"/>
            <w:hideMark/>
          </w:tcPr>
          <w:p w14:paraId="40DD0E3D"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2.1 : Développer et appuyer la mise en œuvre d’une stratégie nationale d’accès aux marchés du carbone</w:t>
            </w:r>
          </w:p>
        </w:tc>
        <w:tc>
          <w:tcPr>
            <w:tcW w:w="627" w:type="dxa"/>
            <w:shd w:val="clear" w:color="auto" w:fill="FF0000"/>
            <w:hideMark/>
          </w:tcPr>
          <w:p w14:paraId="7B78054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4670AF0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tcPr>
          <w:p w14:paraId="6BF72E7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tcPr>
          <w:p w14:paraId="04BDF79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06D0924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0A899F7E"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5CB8607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36798D">
              <w:rPr>
                <w:rFonts w:eastAsia="Times New Roman" w:cs="Calibri"/>
                <w:color w:val="000000"/>
                <w:szCs w:val="18"/>
                <w:lang w:eastAsia="fr-FR"/>
              </w:rPr>
              <w:t xml:space="preserve">01 document de Stratégie d’accès aux marches du carbone </w:t>
            </w:r>
            <w:r>
              <w:rPr>
                <w:rFonts w:eastAsia="Times New Roman" w:cs="Calibri"/>
                <w:color w:val="000000"/>
                <w:szCs w:val="18"/>
                <w:lang w:eastAsia="fr-FR"/>
              </w:rPr>
              <w:t>est disponible</w:t>
            </w:r>
          </w:p>
        </w:tc>
        <w:tc>
          <w:tcPr>
            <w:tcW w:w="2025" w:type="dxa"/>
          </w:tcPr>
          <w:p w14:paraId="285A92B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La RDC s’appuie sur une stratégie d’accès aux marchés du carbone comme cadre de référence pour la régulation et la structuration des activités liées aux marchés du carbone sur son territoire </w:t>
            </w:r>
          </w:p>
        </w:tc>
        <w:tc>
          <w:tcPr>
            <w:tcW w:w="1551" w:type="dxa"/>
          </w:tcPr>
          <w:p w14:paraId="35BA9719"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PNUD/MINEDD </w:t>
            </w:r>
          </w:p>
        </w:tc>
      </w:tr>
      <w:tr w:rsidR="00096644" w:rsidRPr="00B336E0" w14:paraId="3B620B74" w14:textId="77777777" w:rsidTr="005B16B5">
        <w:trPr>
          <w:trHeight w:val="547"/>
        </w:trPr>
        <w:tc>
          <w:tcPr>
            <w:cnfStyle w:val="001000000000" w:firstRow="0" w:lastRow="0" w:firstColumn="1" w:lastColumn="0" w:oddVBand="0" w:evenVBand="0" w:oddHBand="0" w:evenHBand="0" w:firstRowFirstColumn="0" w:firstRowLastColumn="0" w:lastRowFirstColumn="0" w:lastRowLastColumn="0"/>
            <w:tcW w:w="396" w:type="dxa"/>
            <w:hideMark/>
          </w:tcPr>
          <w:p w14:paraId="7F72A589"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2</w:t>
            </w:r>
          </w:p>
        </w:tc>
        <w:tc>
          <w:tcPr>
            <w:tcW w:w="730" w:type="dxa"/>
            <w:hideMark/>
          </w:tcPr>
          <w:p w14:paraId="6C4567F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2.2</w:t>
            </w:r>
          </w:p>
        </w:tc>
        <w:tc>
          <w:tcPr>
            <w:tcW w:w="3068" w:type="dxa"/>
            <w:hideMark/>
          </w:tcPr>
          <w:p w14:paraId="3DB2377C"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2.2:  Appuyer le fonctionnement de l’Autorité de Régulation du Marché de Carbone</w:t>
            </w:r>
          </w:p>
        </w:tc>
        <w:tc>
          <w:tcPr>
            <w:tcW w:w="627" w:type="dxa"/>
            <w:shd w:val="clear" w:color="auto" w:fill="FF0000"/>
            <w:hideMark/>
          </w:tcPr>
          <w:p w14:paraId="7907784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2E9DE24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92D050"/>
          </w:tcPr>
          <w:p w14:paraId="79FFB24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92D050"/>
          </w:tcPr>
          <w:p w14:paraId="61668BB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360A70C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49963E5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23E26F9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Autorité de régulation est fonctionnelle </w:t>
            </w:r>
          </w:p>
        </w:tc>
        <w:tc>
          <w:tcPr>
            <w:tcW w:w="2025" w:type="dxa"/>
          </w:tcPr>
          <w:p w14:paraId="40DFC17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Des rapports annuels d’activités produits par l’ARMCA sont disponibles </w:t>
            </w:r>
          </w:p>
        </w:tc>
        <w:tc>
          <w:tcPr>
            <w:tcW w:w="1551" w:type="dxa"/>
          </w:tcPr>
          <w:p w14:paraId="630E6C6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PNUD/MINEDD </w:t>
            </w:r>
          </w:p>
        </w:tc>
      </w:tr>
      <w:tr w:rsidR="00096644" w:rsidRPr="00B336E0" w14:paraId="6DA393D6" w14:textId="77777777" w:rsidTr="000531B9">
        <w:trPr>
          <w:trHeight w:val="595"/>
        </w:trPr>
        <w:tc>
          <w:tcPr>
            <w:cnfStyle w:val="001000000000" w:firstRow="0" w:lastRow="0" w:firstColumn="1" w:lastColumn="0" w:oddVBand="0" w:evenVBand="0" w:oddHBand="0" w:evenHBand="0" w:firstRowFirstColumn="0" w:firstRowLastColumn="0" w:lastRowFirstColumn="0" w:lastRowLastColumn="0"/>
            <w:tcW w:w="0" w:type="dxa"/>
            <w:hideMark/>
          </w:tcPr>
          <w:p w14:paraId="3B5E3F07"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2</w:t>
            </w:r>
          </w:p>
        </w:tc>
        <w:tc>
          <w:tcPr>
            <w:tcW w:w="0" w:type="dxa"/>
            <w:hideMark/>
          </w:tcPr>
          <w:p w14:paraId="29A4B9E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2.3</w:t>
            </w:r>
          </w:p>
        </w:tc>
        <w:tc>
          <w:tcPr>
            <w:tcW w:w="0" w:type="dxa"/>
            <w:hideMark/>
          </w:tcPr>
          <w:p w14:paraId="2F7B810C"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2.3: Etablir et opérationnaliser les infrastructures essentielles des marchés du carbone</w:t>
            </w:r>
          </w:p>
        </w:tc>
        <w:tc>
          <w:tcPr>
            <w:tcW w:w="0" w:type="dxa"/>
            <w:hideMark/>
          </w:tcPr>
          <w:p w14:paraId="3012657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4CCAE08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1E15005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shd w:val="clear" w:color="auto" w:fill="FF0000"/>
          </w:tcPr>
          <w:p w14:paraId="26BA431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52ACF2D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4FED1D5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568C4AE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Au moins 01 infrastructure opérationnelle (registre, système de comptabilisation des </w:t>
            </w:r>
            <w:proofErr w:type="spellStart"/>
            <w:r>
              <w:rPr>
                <w:rFonts w:eastAsia="Times New Roman" w:cs="Calibri"/>
                <w:color w:val="000000"/>
                <w:szCs w:val="18"/>
                <w:lang w:eastAsia="fr-FR"/>
              </w:rPr>
              <w:t>GES,Outil</w:t>
            </w:r>
            <w:proofErr w:type="spellEnd"/>
            <w:r>
              <w:rPr>
                <w:rFonts w:eastAsia="Times New Roman" w:cs="Calibri"/>
                <w:color w:val="000000"/>
                <w:szCs w:val="18"/>
                <w:lang w:eastAsia="fr-FR"/>
              </w:rPr>
              <w:t xml:space="preserve"> pour les ajustements correspondants, </w:t>
            </w:r>
            <w:proofErr w:type="spellStart"/>
            <w:r>
              <w:rPr>
                <w:rFonts w:eastAsia="Times New Roman" w:cs="Calibri"/>
                <w:color w:val="000000"/>
                <w:szCs w:val="18"/>
                <w:lang w:eastAsia="fr-FR"/>
              </w:rPr>
              <w:t>etc</w:t>
            </w:r>
            <w:proofErr w:type="spellEnd"/>
            <w:r>
              <w:rPr>
                <w:rFonts w:eastAsia="Times New Roman" w:cs="Calibri"/>
                <w:color w:val="000000"/>
                <w:szCs w:val="18"/>
                <w:lang w:eastAsia="fr-FR"/>
              </w:rPr>
              <w:t xml:space="preserve"> ) </w:t>
            </w:r>
          </w:p>
        </w:tc>
        <w:tc>
          <w:tcPr>
            <w:tcW w:w="0" w:type="dxa"/>
          </w:tcPr>
          <w:p w14:paraId="5F22831E"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Les infrastructures essentielles des marchés du carbone sont mises en place et fonctionnent de façon optimale avec une appropriation de leurs fonctionnalités par les différents utilisateurs </w:t>
            </w:r>
          </w:p>
        </w:tc>
        <w:tc>
          <w:tcPr>
            <w:tcW w:w="0" w:type="dxa"/>
          </w:tcPr>
          <w:p w14:paraId="4A0CF1C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PNUD/MINEDD </w:t>
            </w:r>
          </w:p>
        </w:tc>
      </w:tr>
      <w:tr w:rsidR="00096644" w:rsidRPr="00B336E0" w14:paraId="2F56CD84" w14:textId="77777777" w:rsidTr="000531B9">
        <w:trPr>
          <w:trHeight w:val="559"/>
        </w:trPr>
        <w:tc>
          <w:tcPr>
            <w:cnfStyle w:val="001000000000" w:firstRow="0" w:lastRow="0" w:firstColumn="1" w:lastColumn="0" w:oddVBand="0" w:evenVBand="0" w:oddHBand="0" w:evenHBand="0" w:firstRowFirstColumn="0" w:firstRowLastColumn="0" w:lastRowFirstColumn="0" w:lastRowLastColumn="0"/>
            <w:tcW w:w="0" w:type="dxa"/>
            <w:hideMark/>
          </w:tcPr>
          <w:p w14:paraId="376B7C51"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lastRenderedPageBreak/>
              <w:t>2</w:t>
            </w:r>
          </w:p>
        </w:tc>
        <w:tc>
          <w:tcPr>
            <w:tcW w:w="0" w:type="dxa"/>
            <w:hideMark/>
          </w:tcPr>
          <w:p w14:paraId="318D07C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2.4</w:t>
            </w:r>
          </w:p>
        </w:tc>
        <w:tc>
          <w:tcPr>
            <w:tcW w:w="0" w:type="dxa"/>
            <w:hideMark/>
          </w:tcPr>
          <w:p w14:paraId="0A6FC9F7" w14:textId="4C5C1F7D"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 xml:space="preserve">Activité 2.4: </w:t>
            </w:r>
            <w:r w:rsidR="00257C70">
              <w:rPr>
                <w:rFonts w:eastAsia="Times New Roman" w:cs="Calibri"/>
                <w:color w:val="000000"/>
                <w:szCs w:val="18"/>
                <w:lang w:eastAsia="fr-FR"/>
              </w:rPr>
              <w:t xml:space="preserve">Appuyer l’élaboration du cadre réglementaire pour l’opérationnalisation des marchés du carbone en RDC et le soumettre au conseil des Ministres </w:t>
            </w:r>
            <w:r w:rsidR="004F5301">
              <w:rPr>
                <w:rFonts w:eastAsia="Times New Roman" w:cs="Calibri"/>
                <w:color w:val="000000"/>
                <w:szCs w:val="18"/>
                <w:lang w:eastAsia="fr-FR"/>
              </w:rPr>
              <w:t>pour son</w:t>
            </w:r>
            <w:r w:rsidR="00257C70">
              <w:rPr>
                <w:rFonts w:eastAsia="Times New Roman" w:cs="Calibri"/>
                <w:color w:val="000000"/>
                <w:szCs w:val="18"/>
                <w:lang w:eastAsia="fr-FR"/>
              </w:rPr>
              <w:t xml:space="preserve"> approbation.</w:t>
            </w:r>
          </w:p>
        </w:tc>
        <w:tc>
          <w:tcPr>
            <w:tcW w:w="0" w:type="dxa"/>
            <w:hideMark/>
          </w:tcPr>
          <w:p w14:paraId="7DA3C17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0E4145E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792267D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shd w:val="clear" w:color="auto" w:fill="FF0000"/>
          </w:tcPr>
          <w:p w14:paraId="37F63ED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7CD52CF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192A294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0" w:type="dxa"/>
          </w:tcPr>
          <w:p w14:paraId="017DD82B" w14:textId="41405A41" w:rsidR="00096644" w:rsidRPr="00A03DC3" w:rsidRDefault="00257C70"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01 réglementation nationale sur les marchés du carbone (Marché volontaire, mécanismes de l’article 6) est disponible en RDC  </w:t>
            </w:r>
          </w:p>
        </w:tc>
        <w:tc>
          <w:tcPr>
            <w:tcW w:w="0" w:type="dxa"/>
          </w:tcPr>
          <w:p w14:paraId="53DAA184" w14:textId="2FF5217B" w:rsidR="00096644" w:rsidRPr="00A03DC3" w:rsidRDefault="004F5301"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La RDC</w:t>
            </w:r>
            <w:r w:rsidR="00257C70">
              <w:rPr>
                <w:rFonts w:eastAsia="Times New Roman" w:cs="Calibri"/>
                <w:color w:val="000000"/>
                <w:szCs w:val="18"/>
                <w:lang w:eastAsia="fr-FR"/>
              </w:rPr>
              <w:t xml:space="preserve"> dispose d’un cadre réglementaire propice au déploiement des activités du marchés du carbone sur son territoire</w:t>
            </w:r>
          </w:p>
        </w:tc>
        <w:tc>
          <w:tcPr>
            <w:tcW w:w="0" w:type="dxa"/>
          </w:tcPr>
          <w:p w14:paraId="0573322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PNUD/MINEDD</w:t>
            </w:r>
          </w:p>
        </w:tc>
      </w:tr>
      <w:tr w:rsidR="00096644" w:rsidRPr="00A85723" w14:paraId="02EE3252" w14:textId="77777777" w:rsidTr="005B16B5">
        <w:trPr>
          <w:trHeight w:val="918"/>
        </w:trPr>
        <w:tc>
          <w:tcPr>
            <w:cnfStyle w:val="001000000000" w:firstRow="0" w:lastRow="0" w:firstColumn="1" w:lastColumn="0" w:oddVBand="0" w:evenVBand="0" w:oddHBand="0" w:evenHBand="0" w:firstRowFirstColumn="0" w:firstRowLastColumn="0" w:lastRowFirstColumn="0" w:lastRowLastColumn="0"/>
            <w:tcW w:w="396" w:type="dxa"/>
            <w:hideMark/>
          </w:tcPr>
          <w:p w14:paraId="30171D44"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2</w:t>
            </w:r>
          </w:p>
        </w:tc>
        <w:tc>
          <w:tcPr>
            <w:tcW w:w="730" w:type="dxa"/>
            <w:hideMark/>
          </w:tcPr>
          <w:p w14:paraId="01CA8B2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2.5</w:t>
            </w:r>
          </w:p>
        </w:tc>
        <w:tc>
          <w:tcPr>
            <w:tcW w:w="3068" w:type="dxa"/>
            <w:hideMark/>
          </w:tcPr>
          <w:p w14:paraId="52491BA7"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2.5: Appuyer la conception de programmes juridictionnels sur les marchés du carbone</w:t>
            </w:r>
          </w:p>
        </w:tc>
        <w:tc>
          <w:tcPr>
            <w:tcW w:w="627" w:type="dxa"/>
            <w:hideMark/>
          </w:tcPr>
          <w:p w14:paraId="59B6B04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5094B59C"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FF0000"/>
          </w:tcPr>
          <w:p w14:paraId="7407EF2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tcPr>
          <w:p w14:paraId="6F6E5799"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77237DD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279FABA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3388D39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Au moins 01 document de projet finalisé d’un programme juridictionnel REDD+ est disponible </w:t>
            </w:r>
          </w:p>
        </w:tc>
        <w:tc>
          <w:tcPr>
            <w:tcW w:w="2025" w:type="dxa"/>
          </w:tcPr>
          <w:p w14:paraId="232A7BA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Un programme juridictionnel REDD+ au niveau provincial est enregistré auprès d’un registre international (ART TREES)</w:t>
            </w:r>
          </w:p>
        </w:tc>
        <w:tc>
          <w:tcPr>
            <w:tcW w:w="1551" w:type="dxa"/>
          </w:tcPr>
          <w:p w14:paraId="2FD7C00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 </w:t>
            </w:r>
          </w:p>
        </w:tc>
      </w:tr>
      <w:tr w:rsidR="00096644" w:rsidRPr="00C71F11" w14:paraId="5938800F" w14:textId="77777777" w:rsidTr="005B16B5">
        <w:trPr>
          <w:trHeight w:val="977"/>
        </w:trPr>
        <w:tc>
          <w:tcPr>
            <w:cnfStyle w:val="001000000000" w:firstRow="0" w:lastRow="0" w:firstColumn="1" w:lastColumn="0" w:oddVBand="0" w:evenVBand="0" w:oddHBand="0" w:evenHBand="0" w:firstRowFirstColumn="0" w:firstRowLastColumn="0" w:lastRowFirstColumn="0" w:lastRowLastColumn="0"/>
            <w:tcW w:w="396" w:type="dxa"/>
            <w:hideMark/>
          </w:tcPr>
          <w:p w14:paraId="070D379A"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2</w:t>
            </w:r>
          </w:p>
        </w:tc>
        <w:tc>
          <w:tcPr>
            <w:tcW w:w="730" w:type="dxa"/>
            <w:hideMark/>
          </w:tcPr>
          <w:p w14:paraId="211AD13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2.6</w:t>
            </w:r>
          </w:p>
        </w:tc>
        <w:tc>
          <w:tcPr>
            <w:tcW w:w="3068" w:type="dxa"/>
            <w:hideMark/>
          </w:tcPr>
          <w:p w14:paraId="1CD7D86D"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C71F11">
              <w:rPr>
                <w:rFonts w:eastAsia="Times New Roman" w:cs="Calibri"/>
                <w:color w:val="000000"/>
                <w:szCs w:val="18"/>
                <w:lang w:eastAsia="fr-FR"/>
              </w:rPr>
              <w:t>Activité 2.6: Elaborer et mettre en œuvre un plan robuste de renforcement des capacités et partage d’expérience continue, inclusif et sensible au genre</w:t>
            </w:r>
          </w:p>
        </w:tc>
        <w:tc>
          <w:tcPr>
            <w:tcW w:w="627" w:type="dxa"/>
            <w:shd w:val="clear" w:color="auto" w:fill="FF0000"/>
            <w:hideMark/>
          </w:tcPr>
          <w:p w14:paraId="1F96887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6CFDAAD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92D050"/>
          </w:tcPr>
          <w:p w14:paraId="5A8FAA0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92D050"/>
          </w:tcPr>
          <w:p w14:paraId="547A74F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78E6A1F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42E15AD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5A662A7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01 plan de renforcement des capacités et de partage d’expérience est disponible  </w:t>
            </w:r>
          </w:p>
        </w:tc>
        <w:tc>
          <w:tcPr>
            <w:tcW w:w="2025" w:type="dxa"/>
          </w:tcPr>
          <w:p w14:paraId="1C78F57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Les capacités des différents acteurs du marché du carbone en RDC sont renforcées sur la base d’un plan de renforcement des capacités élaboré  </w:t>
            </w:r>
          </w:p>
        </w:tc>
        <w:tc>
          <w:tcPr>
            <w:tcW w:w="1551" w:type="dxa"/>
          </w:tcPr>
          <w:p w14:paraId="676CEFC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 </w:t>
            </w:r>
          </w:p>
        </w:tc>
      </w:tr>
      <w:tr w:rsidR="00096644" w:rsidRPr="00A85723" w14:paraId="442FA602" w14:textId="77777777" w:rsidTr="005B16B5">
        <w:trPr>
          <w:trHeight w:val="977"/>
        </w:trPr>
        <w:tc>
          <w:tcPr>
            <w:cnfStyle w:val="001000000000" w:firstRow="0" w:lastRow="0" w:firstColumn="1" w:lastColumn="0" w:oddVBand="0" w:evenVBand="0" w:oddHBand="0" w:evenHBand="0" w:firstRowFirstColumn="0" w:firstRowLastColumn="0" w:lastRowFirstColumn="0" w:lastRowLastColumn="0"/>
            <w:tcW w:w="396" w:type="dxa"/>
          </w:tcPr>
          <w:p w14:paraId="6795B190" w14:textId="77777777" w:rsidR="00096644" w:rsidRPr="00A03DC3" w:rsidRDefault="00096644" w:rsidP="005B16B5">
            <w:pPr>
              <w:spacing w:before="0"/>
              <w:jc w:val="center"/>
              <w:rPr>
                <w:rFonts w:eastAsia="Times New Roman" w:cs="Calibri"/>
                <w:color w:val="000000"/>
                <w:szCs w:val="18"/>
                <w:lang w:eastAsia="fr-FR"/>
              </w:rPr>
            </w:pPr>
            <w:r>
              <w:rPr>
                <w:rFonts w:eastAsia="Times New Roman" w:cs="Calibri"/>
                <w:color w:val="000000"/>
                <w:szCs w:val="18"/>
                <w:lang w:eastAsia="fr-FR"/>
              </w:rPr>
              <w:t>2</w:t>
            </w:r>
          </w:p>
        </w:tc>
        <w:tc>
          <w:tcPr>
            <w:tcW w:w="730" w:type="dxa"/>
          </w:tcPr>
          <w:p w14:paraId="74C9D3A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2.7</w:t>
            </w:r>
          </w:p>
        </w:tc>
        <w:tc>
          <w:tcPr>
            <w:tcW w:w="3068" w:type="dxa"/>
          </w:tcPr>
          <w:p w14:paraId="7DC98E8C"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2.</w:t>
            </w:r>
            <w:r>
              <w:rPr>
                <w:rFonts w:eastAsia="Times New Roman" w:cs="Calibri"/>
                <w:color w:val="000000"/>
                <w:szCs w:val="18"/>
                <w:lang w:eastAsia="fr-FR"/>
              </w:rPr>
              <w:t>7</w:t>
            </w:r>
            <w:r w:rsidRPr="00A03DC3">
              <w:rPr>
                <w:rFonts w:eastAsia="Times New Roman" w:cs="Calibri"/>
                <w:color w:val="000000"/>
                <w:szCs w:val="18"/>
                <w:lang w:eastAsia="fr-FR"/>
              </w:rPr>
              <w:t>: Appuyer la réalisation d’études sur le flux financier climatique et les mécanismes de financements climatiques innovants applicables au contexte de la RDC</w:t>
            </w:r>
          </w:p>
        </w:tc>
        <w:tc>
          <w:tcPr>
            <w:tcW w:w="627" w:type="dxa"/>
          </w:tcPr>
          <w:p w14:paraId="386E8BD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FF0000"/>
          </w:tcPr>
          <w:p w14:paraId="03F6AD9E"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tcPr>
          <w:p w14:paraId="296F2DF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tcPr>
          <w:p w14:paraId="29430C9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0C47992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31CA8CB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4285EAE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01 rapport d’étude sur les flux financiers climatiques et autres mécanismes de financement climatiques innovant applicable au contexte de la RDC est disponible</w:t>
            </w:r>
          </w:p>
        </w:tc>
        <w:tc>
          <w:tcPr>
            <w:tcW w:w="2025" w:type="dxa"/>
          </w:tcPr>
          <w:p w14:paraId="26917B4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Un mécanisme pour le </w:t>
            </w:r>
            <w:proofErr w:type="spellStart"/>
            <w:r>
              <w:rPr>
                <w:rFonts w:eastAsia="Times New Roman" w:cs="Calibri"/>
                <w:color w:val="000000"/>
                <w:szCs w:val="18"/>
                <w:lang w:eastAsia="fr-FR"/>
              </w:rPr>
              <w:t>tracking</w:t>
            </w:r>
            <w:proofErr w:type="spellEnd"/>
            <w:r>
              <w:rPr>
                <w:rFonts w:eastAsia="Times New Roman" w:cs="Calibri"/>
                <w:color w:val="000000"/>
                <w:szCs w:val="18"/>
                <w:lang w:eastAsia="fr-FR"/>
              </w:rPr>
              <w:t xml:space="preserve"> des divers flux financiers à destination de la RDC est proposé et permet de faciliter le rapportage dans le cadre de la mise en œuvre de la CDN, notamment la production des BTR  </w:t>
            </w:r>
          </w:p>
        </w:tc>
        <w:tc>
          <w:tcPr>
            <w:tcW w:w="1551" w:type="dxa"/>
          </w:tcPr>
          <w:p w14:paraId="3632569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roofErr w:type="spellStart"/>
            <w:r>
              <w:rPr>
                <w:rFonts w:eastAsia="Times New Roman" w:cs="Calibri"/>
                <w:color w:val="000000"/>
                <w:szCs w:val="18"/>
                <w:lang w:eastAsia="fr-FR"/>
              </w:rPr>
              <w:t>Minfi</w:t>
            </w:r>
            <w:proofErr w:type="spellEnd"/>
            <w:r>
              <w:rPr>
                <w:rFonts w:eastAsia="Times New Roman" w:cs="Calibri"/>
                <w:color w:val="000000"/>
                <w:szCs w:val="18"/>
                <w:lang w:eastAsia="fr-FR"/>
              </w:rPr>
              <w:t xml:space="preserve"> /PNUD </w:t>
            </w:r>
          </w:p>
        </w:tc>
      </w:tr>
      <w:tr w:rsidR="00096644" w:rsidRPr="00A85723" w14:paraId="72E69775" w14:textId="77777777" w:rsidTr="005B16B5">
        <w:trPr>
          <w:trHeight w:val="195"/>
        </w:trPr>
        <w:tc>
          <w:tcPr>
            <w:cnfStyle w:val="001000000000" w:firstRow="0" w:lastRow="0" w:firstColumn="1" w:lastColumn="0" w:oddVBand="0" w:evenVBand="0" w:oddHBand="0" w:evenHBand="0" w:firstRowFirstColumn="0" w:firstRowLastColumn="0" w:lastRowFirstColumn="0" w:lastRowLastColumn="0"/>
            <w:tcW w:w="14012" w:type="dxa"/>
            <w:gridSpan w:val="12"/>
            <w:shd w:val="clear" w:color="auto" w:fill="92D050"/>
          </w:tcPr>
          <w:p w14:paraId="73007071" w14:textId="77777777" w:rsidR="00096644" w:rsidRPr="00517A76" w:rsidRDefault="00096644" w:rsidP="005B16B5">
            <w:pPr>
              <w:spacing w:before="0"/>
              <w:rPr>
                <w:rFonts w:eastAsia="Times New Roman" w:cs="Calibri"/>
                <w:b w:val="0"/>
                <w:bCs/>
                <w:color w:val="000000"/>
                <w:szCs w:val="18"/>
                <w:lang w:eastAsia="fr-FR"/>
              </w:rPr>
            </w:pPr>
            <w:r w:rsidRPr="00A03DC3">
              <w:rPr>
                <w:rFonts w:eastAsia="Times New Roman" w:cs="Calibri"/>
                <w:bCs/>
                <w:color w:val="000000"/>
                <w:szCs w:val="18"/>
                <w:lang w:eastAsia="fr-FR"/>
              </w:rPr>
              <w:t xml:space="preserve">Produit 3: Des cadres de concertation inclusifs et sensible au genre, la diplomatie environnementales, la communication et sensibilisation sont renforcés </w:t>
            </w:r>
          </w:p>
        </w:tc>
      </w:tr>
      <w:tr w:rsidR="00096644" w:rsidRPr="00525881" w14:paraId="6E10C4CA" w14:textId="77777777" w:rsidTr="005B16B5">
        <w:trPr>
          <w:trHeight w:val="1358"/>
        </w:trPr>
        <w:tc>
          <w:tcPr>
            <w:cnfStyle w:val="001000000000" w:firstRow="0" w:lastRow="0" w:firstColumn="1" w:lastColumn="0" w:oddVBand="0" w:evenVBand="0" w:oddHBand="0" w:evenHBand="0" w:firstRowFirstColumn="0" w:firstRowLastColumn="0" w:lastRowFirstColumn="0" w:lastRowLastColumn="0"/>
            <w:tcW w:w="396" w:type="dxa"/>
            <w:hideMark/>
          </w:tcPr>
          <w:p w14:paraId="134D5FD0"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3</w:t>
            </w:r>
          </w:p>
        </w:tc>
        <w:tc>
          <w:tcPr>
            <w:tcW w:w="730" w:type="dxa"/>
            <w:hideMark/>
          </w:tcPr>
          <w:p w14:paraId="1A616F3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3.1</w:t>
            </w:r>
          </w:p>
        </w:tc>
        <w:tc>
          <w:tcPr>
            <w:tcW w:w="3068" w:type="dxa"/>
            <w:hideMark/>
          </w:tcPr>
          <w:p w14:paraId="26F4D48C"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3.1 : Appuyer les cadres de concertation et de dialogue inclusif (ex. secteur public, gouvernement + parlement), secteur privé, société civile, PTF, universités et instituts de recherche) sur les marchés du carbone et la CDN</w:t>
            </w:r>
          </w:p>
        </w:tc>
        <w:tc>
          <w:tcPr>
            <w:tcW w:w="627" w:type="dxa"/>
            <w:shd w:val="clear" w:color="auto" w:fill="FF0000"/>
            <w:hideMark/>
          </w:tcPr>
          <w:p w14:paraId="198AB57C"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7961197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tcPr>
          <w:p w14:paraId="1D1B6FC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tcPr>
          <w:p w14:paraId="409D0FDF"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6476B64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tcPr>
          <w:p w14:paraId="393B9A9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3EA62956"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01 Rapport sur l’analyse des cadres de concertation et la proposition d’un dispositif de concertation efficace et inclusif est disponible </w:t>
            </w:r>
          </w:p>
        </w:tc>
        <w:tc>
          <w:tcPr>
            <w:tcW w:w="2025" w:type="dxa"/>
          </w:tcPr>
          <w:p w14:paraId="078C8E9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Un dialogue inclusif est maintenu de façon continue entre les différentes parties prenantes impliqués dans le marché du carbone en RDC. Des </w:t>
            </w:r>
            <w:r>
              <w:rPr>
                <w:rFonts w:eastAsia="Times New Roman" w:cs="Calibri"/>
                <w:color w:val="000000"/>
                <w:szCs w:val="18"/>
                <w:lang w:eastAsia="fr-FR"/>
              </w:rPr>
              <w:lastRenderedPageBreak/>
              <w:t>comptes rendus de réunion sont disponibles</w:t>
            </w:r>
          </w:p>
        </w:tc>
        <w:tc>
          <w:tcPr>
            <w:tcW w:w="1551" w:type="dxa"/>
          </w:tcPr>
          <w:p w14:paraId="364772E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lastRenderedPageBreak/>
              <w:t xml:space="preserve">PNUD </w:t>
            </w:r>
          </w:p>
        </w:tc>
      </w:tr>
      <w:tr w:rsidR="00096644" w:rsidRPr="00112FF2" w14:paraId="1F3C5304" w14:textId="77777777" w:rsidTr="005B16B5">
        <w:trPr>
          <w:trHeight w:val="882"/>
        </w:trPr>
        <w:tc>
          <w:tcPr>
            <w:cnfStyle w:val="001000000000" w:firstRow="0" w:lastRow="0" w:firstColumn="1" w:lastColumn="0" w:oddVBand="0" w:evenVBand="0" w:oddHBand="0" w:evenHBand="0" w:firstRowFirstColumn="0" w:firstRowLastColumn="0" w:lastRowFirstColumn="0" w:lastRowLastColumn="0"/>
            <w:tcW w:w="396" w:type="dxa"/>
            <w:hideMark/>
          </w:tcPr>
          <w:p w14:paraId="145A594B"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3</w:t>
            </w:r>
          </w:p>
        </w:tc>
        <w:tc>
          <w:tcPr>
            <w:tcW w:w="730" w:type="dxa"/>
            <w:hideMark/>
          </w:tcPr>
          <w:p w14:paraId="692058E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3.2</w:t>
            </w:r>
          </w:p>
        </w:tc>
        <w:tc>
          <w:tcPr>
            <w:tcW w:w="3068" w:type="dxa"/>
            <w:hideMark/>
          </w:tcPr>
          <w:p w14:paraId="18FF7AC6"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3.2 : Appuyer la diplomatie environnementale, les négociations internationales et les dialogues avec les bailleurs de fonds</w:t>
            </w:r>
          </w:p>
        </w:tc>
        <w:tc>
          <w:tcPr>
            <w:tcW w:w="627" w:type="dxa"/>
            <w:shd w:val="clear" w:color="auto" w:fill="92D050"/>
            <w:hideMark/>
          </w:tcPr>
          <w:p w14:paraId="1C15C42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0A12542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92D050"/>
          </w:tcPr>
          <w:p w14:paraId="7C32083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92D050"/>
          </w:tcPr>
          <w:p w14:paraId="26714553"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627D4F0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FF0000"/>
          </w:tcPr>
          <w:p w14:paraId="7C4CA8A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23EE55CD"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Au moins trois missions internationales sont organisées à l’intention des cadres de</w:t>
            </w:r>
            <w:r w:rsidRPr="00112FF2">
              <w:rPr>
                <w:rFonts w:eastAsia="Times New Roman" w:cs="Calibri"/>
                <w:color w:val="000000"/>
                <w:szCs w:val="18"/>
                <w:lang w:eastAsia="fr-FR"/>
              </w:rPr>
              <w:t xml:space="preserve"> l'ARMCA et responsables de l'administration </w:t>
            </w:r>
            <w:r>
              <w:rPr>
                <w:rFonts w:eastAsia="Times New Roman" w:cs="Calibri"/>
                <w:color w:val="000000"/>
                <w:szCs w:val="18"/>
                <w:lang w:eastAsia="fr-FR"/>
              </w:rPr>
              <w:t xml:space="preserve">pour </w:t>
            </w:r>
            <w:r w:rsidRPr="00112FF2">
              <w:rPr>
                <w:rFonts w:eastAsia="Times New Roman" w:cs="Calibri"/>
                <w:color w:val="000000"/>
                <w:szCs w:val="18"/>
                <w:lang w:eastAsia="fr-FR"/>
              </w:rPr>
              <w:t>la participation d'évènement internationaux relatifs à la CDN et les marchés du carbone</w:t>
            </w:r>
            <w:r>
              <w:rPr>
                <w:rFonts w:eastAsia="Times New Roman" w:cs="Calibri"/>
                <w:color w:val="000000"/>
                <w:szCs w:val="18"/>
                <w:lang w:eastAsia="fr-FR"/>
              </w:rPr>
              <w:t xml:space="preserve"> </w:t>
            </w:r>
          </w:p>
        </w:tc>
        <w:tc>
          <w:tcPr>
            <w:tcW w:w="2025" w:type="dxa"/>
          </w:tcPr>
          <w:p w14:paraId="095E523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La diplomatie environnementale permet de renforcer les capacités de la RDC en matière de finance de carbone et de partager les expériences.  </w:t>
            </w:r>
          </w:p>
        </w:tc>
        <w:tc>
          <w:tcPr>
            <w:tcW w:w="1551" w:type="dxa"/>
          </w:tcPr>
          <w:p w14:paraId="02840EE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 </w:t>
            </w:r>
          </w:p>
        </w:tc>
      </w:tr>
      <w:tr w:rsidR="00096644" w:rsidRPr="00A25FEE" w14:paraId="43C53650" w14:textId="77777777" w:rsidTr="005B16B5">
        <w:trPr>
          <w:trHeight w:val="906"/>
        </w:trPr>
        <w:tc>
          <w:tcPr>
            <w:cnfStyle w:val="001000000000" w:firstRow="0" w:lastRow="0" w:firstColumn="1" w:lastColumn="0" w:oddVBand="0" w:evenVBand="0" w:oddHBand="0" w:evenHBand="0" w:firstRowFirstColumn="0" w:firstRowLastColumn="0" w:lastRowFirstColumn="0" w:lastRowLastColumn="0"/>
            <w:tcW w:w="396" w:type="dxa"/>
            <w:hideMark/>
          </w:tcPr>
          <w:p w14:paraId="6849828A"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3</w:t>
            </w:r>
          </w:p>
        </w:tc>
        <w:tc>
          <w:tcPr>
            <w:tcW w:w="730" w:type="dxa"/>
            <w:hideMark/>
          </w:tcPr>
          <w:p w14:paraId="6721E0E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3.3</w:t>
            </w:r>
          </w:p>
        </w:tc>
        <w:tc>
          <w:tcPr>
            <w:tcW w:w="3068" w:type="dxa"/>
            <w:hideMark/>
          </w:tcPr>
          <w:p w14:paraId="19BE69B8"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3.3 :  Elaborer et mettre en œuvre un Plan d’information, communication et sensibilisation, sensible au genre, sur les marchés du carbone et la CDN</w:t>
            </w:r>
          </w:p>
        </w:tc>
        <w:tc>
          <w:tcPr>
            <w:tcW w:w="627" w:type="dxa"/>
            <w:shd w:val="clear" w:color="auto" w:fill="FF0000"/>
            <w:hideMark/>
          </w:tcPr>
          <w:p w14:paraId="38EA8339"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17B8F135"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92D050"/>
          </w:tcPr>
          <w:p w14:paraId="2D0A4D6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92D050"/>
          </w:tcPr>
          <w:p w14:paraId="7F4754E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6E90495A"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305AE739"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2A65545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01 plan d’information, communication et sensibilisation est disponible </w:t>
            </w:r>
          </w:p>
        </w:tc>
        <w:tc>
          <w:tcPr>
            <w:tcW w:w="2025" w:type="dxa"/>
          </w:tcPr>
          <w:p w14:paraId="0C617742"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Au moins 1000 personnes sont sensibilisées à travers la mise en œuvre de ce plan</w:t>
            </w:r>
          </w:p>
        </w:tc>
        <w:tc>
          <w:tcPr>
            <w:tcW w:w="1551" w:type="dxa"/>
          </w:tcPr>
          <w:p w14:paraId="1228D6C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 </w:t>
            </w:r>
          </w:p>
        </w:tc>
      </w:tr>
      <w:tr w:rsidR="00096644" w:rsidRPr="00A25FEE" w14:paraId="00D16022" w14:textId="77777777" w:rsidTr="005B16B5">
        <w:trPr>
          <w:trHeight w:val="822"/>
        </w:trPr>
        <w:tc>
          <w:tcPr>
            <w:cnfStyle w:val="001000000000" w:firstRow="0" w:lastRow="0" w:firstColumn="1" w:lastColumn="0" w:oddVBand="0" w:evenVBand="0" w:oddHBand="0" w:evenHBand="0" w:firstRowFirstColumn="0" w:firstRowLastColumn="0" w:lastRowFirstColumn="0" w:lastRowLastColumn="0"/>
            <w:tcW w:w="396" w:type="dxa"/>
            <w:hideMark/>
          </w:tcPr>
          <w:p w14:paraId="7FC16B9B" w14:textId="77777777" w:rsidR="00096644" w:rsidRPr="00A03DC3" w:rsidRDefault="00096644" w:rsidP="005B16B5">
            <w:pPr>
              <w:spacing w:before="0"/>
              <w:jc w:val="center"/>
              <w:rPr>
                <w:rFonts w:eastAsia="Times New Roman" w:cs="Calibri"/>
                <w:color w:val="000000"/>
                <w:szCs w:val="18"/>
                <w:lang w:eastAsia="fr-FR"/>
              </w:rPr>
            </w:pPr>
            <w:r w:rsidRPr="00A03DC3">
              <w:rPr>
                <w:rFonts w:eastAsia="Times New Roman" w:cs="Calibri"/>
                <w:color w:val="000000"/>
                <w:szCs w:val="18"/>
                <w:lang w:eastAsia="fr-FR"/>
              </w:rPr>
              <w:t>3</w:t>
            </w:r>
          </w:p>
        </w:tc>
        <w:tc>
          <w:tcPr>
            <w:tcW w:w="730" w:type="dxa"/>
            <w:hideMark/>
          </w:tcPr>
          <w:p w14:paraId="3A4A23A0"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3.4</w:t>
            </w:r>
          </w:p>
        </w:tc>
        <w:tc>
          <w:tcPr>
            <w:tcW w:w="3068" w:type="dxa"/>
            <w:hideMark/>
          </w:tcPr>
          <w:p w14:paraId="494596F4" w14:textId="77777777" w:rsidR="00096644" w:rsidRPr="00A03DC3" w:rsidRDefault="00096644" w:rsidP="005B16B5">
            <w:pPr>
              <w:spacing w:before="0"/>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sidRPr="00A03DC3">
              <w:rPr>
                <w:rFonts w:eastAsia="Times New Roman" w:cs="Calibri"/>
                <w:color w:val="000000"/>
                <w:szCs w:val="18"/>
                <w:lang w:eastAsia="fr-FR"/>
              </w:rPr>
              <w:t>Activité 3.4 :Elaborer et mettre en œuvre un plan de gestion des connaissances et savoir</w:t>
            </w:r>
          </w:p>
        </w:tc>
        <w:tc>
          <w:tcPr>
            <w:tcW w:w="627" w:type="dxa"/>
            <w:shd w:val="clear" w:color="auto" w:fill="FF0000"/>
            <w:hideMark/>
          </w:tcPr>
          <w:p w14:paraId="0DBCE2B7"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22523251"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779" w:type="dxa"/>
            <w:shd w:val="clear" w:color="auto" w:fill="92D050"/>
          </w:tcPr>
          <w:p w14:paraId="46610ADE"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8" w:type="dxa"/>
            <w:shd w:val="clear" w:color="auto" w:fill="92D050"/>
          </w:tcPr>
          <w:p w14:paraId="13EABE6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2F96D0B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623" w:type="dxa"/>
            <w:shd w:val="clear" w:color="auto" w:fill="92D050"/>
          </w:tcPr>
          <w:p w14:paraId="47D16314"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p>
        </w:tc>
        <w:tc>
          <w:tcPr>
            <w:tcW w:w="2335" w:type="dxa"/>
          </w:tcPr>
          <w:p w14:paraId="46D2E05D"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01 plan de gestion des connaissances et savoir est disponible </w:t>
            </w:r>
          </w:p>
        </w:tc>
        <w:tc>
          <w:tcPr>
            <w:tcW w:w="2025" w:type="dxa"/>
          </w:tcPr>
          <w:p w14:paraId="22F6316B"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Les productions techniques et autres documents du projet sont gérer suivant les exigences d’un plan de gestion des connaissances et savoir</w:t>
            </w:r>
          </w:p>
        </w:tc>
        <w:tc>
          <w:tcPr>
            <w:tcW w:w="1551" w:type="dxa"/>
          </w:tcPr>
          <w:p w14:paraId="59D2A358" w14:textId="77777777" w:rsidR="00096644" w:rsidRPr="00A03DC3" w:rsidRDefault="00096644" w:rsidP="005B16B5">
            <w:pPr>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szCs w:val="18"/>
                <w:lang w:eastAsia="fr-FR"/>
              </w:rPr>
            </w:pPr>
            <w:r>
              <w:rPr>
                <w:rFonts w:eastAsia="Times New Roman" w:cs="Calibri"/>
                <w:color w:val="000000"/>
                <w:szCs w:val="18"/>
                <w:lang w:eastAsia="fr-FR"/>
              </w:rPr>
              <w:t xml:space="preserve">PNUD </w:t>
            </w:r>
          </w:p>
        </w:tc>
      </w:tr>
    </w:tbl>
    <w:p w14:paraId="2D276F94" w14:textId="77777777" w:rsidR="009822F6" w:rsidRPr="00E97FF0" w:rsidRDefault="009822F6" w:rsidP="00F379E3">
      <w:pPr>
        <w:spacing w:before="20" w:after="20" w:line="259" w:lineRule="auto"/>
        <w:rPr>
          <w:rFonts w:ascii="Avenir Next LT Pro" w:hAnsi="Avenir Next LT Pro"/>
          <w:sz w:val="18"/>
          <w:szCs w:val="18"/>
        </w:rPr>
      </w:pPr>
    </w:p>
    <w:sectPr w:rsidR="009822F6" w:rsidRPr="00E97FF0" w:rsidSect="003A51CF">
      <w:headerReference w:type="default" r:id="rId93"/>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D2F36" w14:textId="77777777" w:rsidR="009708CA" w:rsidRDefault="009708CA" w:rsidP="00C56AAA">
      <w:pPr>
        <w:spacing w:after="0"/>
      </w:pPr>
      <w:r>
        <w:separator/>
      </w:r>
    </w:p>
  </w:endnote>
  <w:endnote w:type="continuationSeparator" w:id="0">
    <w:p w14:paraId="1215293A" w14:textId="77777777" w:rsidR="009708CA" w:rsidRDefault="009708CA" w:rsidP="00C56AAA">
      <w:pPr>
        <w:spacing w:after="0"/>
      </w:pPr>
      <w:r>
        <w:continuationSeparator/>
      </w:r>
    </w:p>
  </w:endnote>
  <w:endnote w:type="continuationNotice" w:id="1">
    <w:p w14:paraId="08DAA370" w14:textId="77777777" w:rsidR="009708CA" w:rsidRDefault="009708C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venir">
    <w:altName w:val="Calibri"/>
    <w:charset w:val="4D"/>
    <w:family w:val="swiss"/>
    <w:pitch w:val="variable"/>
    <w:sig w:usb0="800000AF" w:usb1="5000204A" w:usb2="00000000" w:usb3="00000000" w:csb0="0000009B" w:csb1="00000000"/>
  </w:font>
  <w:font w:name="Arial Nova Cond">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080147"/>
      <w:docPartObj>
        <w:docPartGallery w:val="Page Numbers (Bottom of Page)"/>
        <w:docPartUnique/>
      </w:docPartObj>
    </w:sdtPr>
    <w:sdtEndPr>
      <w:rPr>
        <w:rFonts w:ascii="Avenir Next LT Pro" w:hAnsi="Avenir Next LT Pro"/>
        <w:noProof/>
      </w:rPr>
    </w:sdtEndPr>
    <w:sdtContent>
      <w:p w14:paraId="730C4117" w14:textId="77777777" w:rsidR="00D248B2" w:rsidRPr="00F14236" w:rsidRDefault="00D248B2">
        <w:pPr>
          <w:pStyle w:val="Pieddepage"/>
          <w:jc w:val="right"/>
          <w:rPr>
            <w:rFonts w:ascii="Avenir Next LT Pro" w:hAnsi="Avenir Next LT Pro"/>
          </w:rPr>
        </w:pPr>
        <w:r w:rsidRPr="00F14236">
          <w:rPr>
            <w:rFonts w:ascii="Avenir Next LT Pro" w:hAnsi="Avenir Next LT Pro"/>
          </w:rPr>
          <w:fldChar w:fldCharType="begin"/>
        </w:r>
        <w:r w:rsidRPr="00F14236">
          <w:rPr>
            <w:rFonts w:ascii="Avenir Next LT Pro" w:hAnsi="Avenir Next LT Pro"/>
          </w:rPr>
          <w:instrText xml:space="preserve"> PAGE   \* MERGEFORMAT </w:instrText>
        </w:r>
        <w:r w:rsidRPr="00F14236">
          <w:rPr>
            <w:rFonts w:ascii="Avenir Next LT Pro" w:hAnsi="Avenir Next LT Pro"/>
          </w:rPr>
          <w:fldChar w:fldCharType="separate"/>
        </w:r>
        <w:r w:rsidRPr="00F14236">
          <w:rPr>
            <w:rFonts w:ascii="Avenir Next LT Pro" w:hAnsi="Avenir Next LT Pro"/>
            <w:noProof/>
          </w:rPr>
          <w:t>2</w:t>
        </w:r>
        <w:r w:rsidRPr="00F14236">
          <w:rPr>
            <w:rFonts w:ascii="Avenir Next LT Pro" w:hAnsi="Avenir Next LT Pro"/>
            <w:noProof/>
          </w:rPr>
          <w:fldChar w:fldCharType="end"/>
        </w:r>
      </w:p>
    </w:sdtContent>
  </w:sdt>
  <w:p w14:paraId="3829FE7A" w14:textId="77777777" w:rsidR="00D248B2" w:rsidRDefault="00D248B2" w:rsidP="00F14236">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4976259"/>
      <w:docPartObj>
        <w:docPartGallery w:val="Page Numbers (Bottom of Page)"/>
        <w:docPartUnique/>
      </w:docPartObj>
    </w:sdtPr>
    <w:sdtEndPr>
      <w:rPr>
        <w:rFonts w:ascii="Avenir Next LT Pro" w:hAnsi="Avenir Next LT Pro"/>
        <w:noProof/>
      </w:rPr>
    </w:sdtEndPr>
    <w:sdtContent>
      <w:p w14:paraId="369476A2" w14:textId="2F603B10" w:rsidR="00F14236" w:rsidRPr="00593723" w:rsidRDefault="00F14236" w:rsidP="00593723">
        <w:pPr>
          <w:pStyle w:val="Pieddepage"/>
          <w:jc w:val="right"/>
          <w:rPr>
            <w:rFonts w:ascii="Avenir Next LT Pro" w:hAnsi="Avenir Next LT Pro"/>
          </w:rPr>
        </w:pPr>
        <w:r w:rsidRPr="00F14236">
          <w:rPr>
            <w:rFonts w:ascii="Avenir Next LT Pro" w:hAnsi="Avenir Next LT Pro"/>
          </w:rPr>
          <w:fldChar w:fldCharType="begin"/>
        </w:r>
        <w:r w:rsidRPr="00F14236">
          <w:rPr>
            <w:rFonts w:ascii="Avenir Next LT Pro" w:hAnsi="Avenir Next LT Pro"/>
          </w:rPr>
          <w:instrText xml:space="preserve"> PAGE   \* MERGEFORMAT </w:instrText>
        </w:r>
        <w:r w:rsidRPr="00F14236">
          <w:rPr>
            <w:rFonts w:ascii="Avenir Next LT Pro" w:hAnsi="Avenir Next LT Pro"/>
          </w:rPr>
          <w:fldChar w:fldCharType="separate"/>
        </w:r>
        <w:r w:rsidRPr="00F14236">
          <w:rPr>
            <w:rFonts w:ascii="Avenir Next LT Pro" w:hAnsi="Avenir Next LT Pro"/>
            <w:noProof/>
          </w:rPr>
          <w:t>2</w:t>
        </w:r>
        <w:r w:rsidRPr="00F14236">
          <w:rPr>
            <w:rFonts w:ascii="Avenir Next LT Pro" w:hAnsi="Avenir Next LT Pro"/>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B8246" w14:textId="77777777" w:rsidR="009708CA" w:rsidRDefault="009708CA" w:rsidP="00C56AAA">
      <w:pPr>
        <w:spacing w:after="0"/>
      </w:pPr>
      <w:r>
        <w:separator/>
      </w:r>
    </w:p>
  </w:footnote>
  <w:footnote w:type="continuationSeparator" w:id="0">
    <w:p w14:paraId="4C5E8F46" w14:textId="77777777" w:rsidR="009708CA" w:rsidRDefault="009708CA" w:rsidP="00C56AAA">
      <w:pPr>
        <w:spacing w:after="0"/>
      </w:pPr>
      <w:r>
        <w:continuationSeparator/>
      </w:r>
    </w:p>
  </w:footnote>
  <w:footnote w:type="continuationNotice" w:id="1">
    <w:p w14:paraId="5E19A416" w14:textId="77777777" w:rsidR="009708CA" w:rsidRDefault="009708CA">
      <w:pPr>
        <w:spacing w:after="0"/>
      </w:pPr>
    </w:p>
  </w:footnote>
  <w:footnote w:id="2">
    <w:p w14:paraId="06BBDEA8" w14:textId="33BE93BE" w:rsidR="00C56AAA" w:rsidRPr="00087403" w:rsidRDefault="00C56AAA" w:rsidP="00087403">
      <w:pPr>
        <w:pStyle w:val="Notedebasdepage"/>
        <w:jc w:val="both"/>
        <w:rPr>
          <w:rFonts w:ascii="Avenir Next LT Pro" w:hAnsi="Avenir Next LT Pro"/>
          <w:sz w:val="18"/>
          <w:szCs w:val="18"/>
          <w:lang w:val="fr-CA"/>
        </w:rPr>
      </w:pPr>
      <w:r w:rsidRPr="00087403">
        <w:rPr>
          <w:rStyle w:val="Appelnotedebasdep"/>
          <w:rFonts w:ascii="Avenir Next LT Pro" w:hAnsi="Avenir Next LT Pro"/>
          <w:sz w:val="18"/>
          <w:szCs w:val="18"/>
        </w:rPr>
        <w:footnoteRef/>
      </w:r>
      <w:r w:rsidRPr="00087403">
        <w:rPr>
          <w:rFonts w:ascii="Avenir Next LT Pro" w:hAnsi="Avenir Next LT Pro"/>
          <w:sz w:val="18"/>
          <w:szCs w:val="18"/>
        </w:rPr>
        <w:t xml:space="preserve"> </w:t>
      </w:r>
      <w:r w:rsidR="00C64AD4" w:rsidRPr="00087403">
        <w:rPr>
          <w:rFonts w:ascii="Avenir Next LT Pro" w:hAnsi="Avenir Next LT Pro"/>
          <w:sz w:val="18"/>
          <w:szCs w:val="18"/>
        </w:rPr>
        <w:t xml:space="preserve">Dates indicatives : </w:t>
      </w:r>
      <w:r w:rsidRPr="00087403">
        <w:rPr>
          <w:rFonts w:ascii="Avenir Next LT Pro" w:hAnsi="Avenir Next LT Pro"/>
          <w:sz w:val="18"/>
          <w:szCs w:val="18"/>
        </w:rPr>
        <w:t xml:space="preserve">La date de commencement officielle de tout </w:t>
      </w:r>
      <w:r w:rsidR="006B51CD" w:rsidRPr="00087403">
        <w:rPr>
          <w:rFonts w:ascii="Avenir Next LT Pro" w:hAnsi="Avenir Next LT Pro"/>
          <w:sz w:val="18"/>
          <w:szCs w:val="18"/>
        </w:rPr>
        <w:t>projet</w:t>
      </w:r>
      <w:r w:rsidRPr="00087403">
        <w:rPr>
          <w:rFonts w:ascii="Avenir Next LT Pro" w:hAnsi="Avenir Next LT Pro"/>
          <w:sz w:val="18"/>
          <w:szCs w:val="18"/>
        </w:rPr>
        <w:t xml:space="preserve"> </w:t>
      </w:r>
      <w:r w:rsidR="00992609" w:rsidRPr="00087403">
        <w:rPr>
          <w:rFonts w:ascii="Avenir Next LT Pro" w:hAnsi="Avenir Next LT Pro"/>
          <w:sz w:val="18"/>
          <w:szCs w:val="18"/>
        </w:rPr>
        <w:t>financé par CAFI</w:t>
      </w:r>
      <w:r w:rsidRPr="00087403">
        <w:rPr>
          <w:rFonts w:ascii="Avenir Next LT Pro" w:hAnsi="Avenir Next LT Pro"/>
          <w:sz w:val="18"/>
          <w:szCs w:val="18"/>
        </w:rPr>
        <w:t xml:space="preserve"> </w:t>
      </w:r>
      <w:r w:rsidR="00992609" w:rsidRPr="00087403">
        <w:rPr>
          <w:rFonts w:ascii="Avenir Next LT Pro" w:hAnsi="Avenir Next LT Pro"/>
          <w:sz w:val="18"/>
          <w:szCs w:val="18"/>
        </w:rPr>
        <w:t>correspond à</w:t>
      </w:r>
      <w:r w:rsidR="00F4506A" w:rsidRPr="00087403">
        <w:rPr>
          <w:rFonts w:ascii="Avenir Next LT Pro" w:hAnsi="Avenir Next LT Pro"/>
          <w:sz w:val="18"/>
          <w:szCs w:val="18"/>
        </w:rPr>
        <w:t xml:space="preserve"> la date</w:t>
      </w:r>
      <w:r w:rsidR="00F17125" w:rsidRPr="00087403">
        <w:rPr>
          <w:rFonts w:ascii="Avenir Next LT Pro" w:hAnsi="Avenir Next LT Pro"/>
          <w:sz w:val="18"/>
          <w:szCs w:val="18"/>
        </w:rPr>
        <w:t xml:space="preserve"> </w:t>
      </w:r>
      <w:r w:rsidR="002E601F" w:rsidRPr="00087403">
        <w:rPr>
          <w:rFonts w:ascii="Avenir Next LT Pro" w:hAnsi="Avenir Next LT Pro"/>
          <w:sz w:val="18"/>
          <w:szCs w:val="18"/>
        </w:rPr>
        <w:t xml:space="preserve">de </w:t>
      </w:r>
      <w:r w:rsidRPr="00087403">
        <w:rPr>
          <w:rFonts w:ascii="Avenir Next LT Pro" w:hAnsi="Avenir Next LT Pro"/>
          <w:sz w:val="18"/>
          <w:szCs w:val="18"/>
        </w:rPr>
        <w:t>transfert de fonds par le Bureau MPTF.</w:t>
      </w:r>
    </w:p>
  </w:footnote>
  <w:footnote w:id="3">
    <w:p w14:paraId="33AF7B75" w14:textId="593B876A" w:rsidR="00387A7C" w:rsidRPr="00087403" w:rsidRDefault="00387A7C" w:rsidP="00087403">
      <w:pPr>
        <w:pStyle w:val="Notedebasdepage"/>
        <w:jc w:val="both"/>
        <w:rPr>
          <w:color w:val="3E762A" w:themeColor="accent1" w:themeShade="BF"/>
          <w:sz w:val="18"/>
          <w:szCs w:val="18"/>
        </w:rPr>
      </w:pPr>
      <w:r w:rsidRPr="00087403">
        <w:rPr>
          <w:rStyle w:val="Appelnotedebasdep"/>
          <w:color w:val="3E762A" w:themeColor="accent1" w:themeShade="BF"/>
          <w:sz w:val="18"/>
          <w:szCs w:val="18"/>
        </w:rPr>
        <w:footnoteRef/>
      </w:r>
      <w:r w:rsidRPr="00087403">
        <w:rPr>
          <w:color w:val="3E762A" w:themeColor="accent1" w:themeShade="BF"/>
          <w:sz w:val="18"/>
          <w:szCs w:val="18"/>
        </w:rPr>
        <w:t xml:space="preserve"> Les instructions relatives aux affectations du budget par effet CAFI sont données dans le f</w:t>
      </w:r>
      <w:r w:rsidR="00F90064" w:rsidRPr="00087403">
        <w:rPr>
          <w:color w:val="3E762A" w:themeColor="accent1" w:themeShade="BF"/>
          <w:sz w:val="18"/>
          <w:szCs w:val="18"/>
        </w:rPr>
        <w:t xml:space="preserve">ormat du budget des projets CAFI. </w:t>
      </w:r>
      <w:r w:rsidR="00F90064" w:rsidRPr="00087403">
        <w:rPr>
          <w:rFonts w:ascii="Avenir Next LT Pro" w:hAnsi="Avenir Next LT Pro"/>
          <w:color w:val="3E762A" w:themeColor="accent1" w:themeShade="BF"/>
          <w:sz w:val="18"/>
          <w:szCs w:val="18"/>
        </w:rPr>
        <w:t>Dans le cas de projets cofinancés, la ventilation doit être réalisées également pour le budget CAFI seul.</w:t>
      </w:r>
    </w:p>
  </w:footnote>
  <w:footnote w:id="4">
    <w:p w14:paraId="7B660D6D" w14:textId="77777777" w:rsidR="00F73C5E" w:rsidRPr="00EA0151" w:rsidRDefault="00F73C5E" w:rsidP="00F73C5E">
      <w:pPr>
        <w:pStyle w:val="Notedebasdepage"/>
        <w:rPr>
          <w:sz w:val="18"/>
          <w:szCs w:val="18"/>
        </w:rPr>
      </w:pPr>
      <w:r>
        <w:rPr>
          <w:rStyle w:val="Appelnotedebasdep"/>
        </w:rPr>
        <w:footnoteRef/>
      </w:r>
      <w:r>
        <w:t xml:space="preserve"> </w:t>
      </w:r>
      <w:r w:rsidRPr="00EA0151">
        <w:rPr>
          <w:sz w:val="18"/>
          <w:szCs w:val="18"/>
        </w:rPr>
        <w:t>MEDD</w:t>
      </w:r>
      <w:r>
        <w:rPr>
          <w:sz w:val="18"/>
          <w:szCs w:val="18"/>
        </w:rPr>
        <w:t> ;</w:t>
      </w:r>
      <w:r w:rsidRPr="00EA0151">
        <w:rPr>
          <w:sz w:val="18"/>
          <w:szCs w:val="18"/>
        </w:rPr>
        <w:t xml:space="preserve"> Contribution Déterminée au niveau National, 2021</w:t>
      </w:r>
    </w:p>
  </w:footnote>
  <w:footnote w:id="5">
    <w:p w14:paraId="332B603C" w14:textId="77777777" w:rsidR="00F470D1" w:rsidRPr="00740AE2" w:rsidRDefault="00F470D1" w:rsidP="00F470D1">
      <w:pPr>
        <w:pStyle w:val="Notedebasdepage"/>
        <w:rPr>
          <w:rFonts w:asciiTheme="majorBidi" w:hAnsiTheme="majorBidi" w:cstheme="majorBidi"/>
        </w:rPr>
      </w:pPr>
      <w:r w:rsidRPr="00740AE2">
        <w:rPr>
          <w:rStyle w:val="Appelnotedebasdep"/>
          <w:rFonts w:asciiTheme="majorBidi" w:hAnsiTheme="majorBidi" w:cstheme="majorBidi"/>
        </w:rPr>
        <w:footnoteRef/>
      </w:r>
      <w:r w:rsidRPr="00740AE2">
        <w:rPr>
          <w:rFonts w:asciiTheme="majorBidi" w:hAnsiTheme="majorBidi" w:cstheme="majorBidi"/>
        </w:rPr>
        <w:t xml:space="preserve"> </w:t>
      </w:r>
      <w:hyperlink r:id="rId1" w:history="1">
        <w:r w:rsidRPr="00740AE2">
          <w:rPr>
            <w:rStyle w:val="Lienhypertexte"/>
            <w:rFonts w:asciiTheme="majorBidi" w:hAnsiTheme="majorBidi" w:cstheme="majorBidi"/>
          </w:rPr>
          <w:t>https://s3.amazonaws.com/CCBA/Projects/Isangi_REDD%2B_Project/Jadora+Isangi+REDD%2B+Project+PDD+Summary+-+french+(2).pdf</w:t>
        </w:r>
      </w:hyperlink>
      <w:r w:rsidRPr="00740AE2">
        <w:rPr>
          <w:rFonts w:asciiTheme="majorBidi" w:hAnsiTheme="majorBidi" w:cstheme="majorBidi"/>
        </w:rPr>
        <w:t xml:space="preserve"> </w:t>
      </w:r>
    </w:p>
  </w:footnote>
  <w:footnote w:id="6">
    <w:p w14:paraId="2217B936" w14:textId="77777777" w:rsidR="00F470D1" w:rsidRPr="00740AE2" w:rsidRDefault="00F470D1" w:rsidP="00F470D1">
      <w:pPr>
        <w:pStyle w:val="Notedebasdepage"/>
        <w:rPr>
          <w:rFonts w:asciiTheme="majorBidi" w:hAnsiTheme="majorBidi" w:cstheme="majorBidi"/>
        </w:rPr>
      </w:pPr>
      <w:r w:rsidRPr="00740AE2">
        <w:rPr>
          <w:rStyle w:val="Appelnotedebasdep"/>
          <w:rFonts w:asciiTheme="majorBidi" w:hAnsiTheme="majorBidi" w:cstheme="majorBidi"/>
        </w:rPr>
        <w:footnoteRef/>
      </w:r>
      <w:r w:rsidRPr="00740AE2">
        <w:rPr>
          <w:rFonts w:asciiTheme="majorBidi" w:hAnsiTheme="majorBidi" w:cstheme="majorBidi"/>
        </w:rPr>
        <w:t xml:space="preserve"> </w:t>
      </w:r>
      <w:hyperlink r:id="rId2" w:history="1">
        <w:r w:rsidRPr="00740AE2">
          <w:rPr>
            <w:rStyle w:val="Lienhypertexte"/>
            <w:rFonts w:asciiTheme="majorBidi" w:hAnsiTheme="majorBidi" w:cstheme="majorBidi"/>
          </w:rPr>
          <w:t>https://www.lemonde.fr/afrique/article/2022/11/10/cop27-en-rdc-la-foret-son-carbone-et-ses-aventuriers_6149286_3212.html</w:t>
        </w:r>
      </w:hyperlink>
      <w:r w:rsidRPr="00740AE2">
        <w:rPr>
          <w:rFonts w:asciiTheme="majorBidi" w:hAnsiTheme="majorBidi" w:cstheme="majorBidi"/>
        </w:rPr>
        <w:t xml:space="preserve"> </w:t>
      </w:r>
    </w:p>
  </w:footnote>
  <w:footnote w:id="7">
    <w:p w14:paraId="0329172D" w14:textId="77777777" w:rsidR="00F470D1" w:rsidRPr="00740AE2" w:rsidRDefault="00F470D1" w:rsidP="00F470D1">
      <w:pPr>
        <w:pStyle w:val="Notedebasdepage"/>
        <w:rPr>
          <w:rFonts w:asciiTheme="majorBidi" w:hAnsiTheme="majorBidi" w:cstheme="majorBidi"/>
        </w:rPr>
      </w:pPr>
      <w:r w:rsidRPr="00740AE2">
        <w:rPr>
          <w:rStyle w:val="Appelnotedebasdep"/>
          <w:rFonts w:asciiTheme="majorBidi" w:hAnsiTheme="majorBidi" w:cstheme="majorBidi"/>
        </w:rPr>
        <w:footnoteRef/>
      </w:r>
      <w:r w:rsidRPr="00740AE2">
        <w:rPr>
          <w:rFonts w:asciiTheme="majorBidi" w:hAnsiTheme="majorBidi" w:cstheme="majorBidi"/>
        </w:rPr>
        <w:t xml:space="preserve"> </w:t>
      </w:r>
      <w:hyperlink r:id="rId3" w:history="1">
        <w:r w:rsidRPr="00740AE2">
          <w:rPr>
            <w:rStyle w:val="Lienhypertexte"/>
            <w:rFonts w:asciiTheme="majorBidi" w:hAnsiTheme="majorBidi" w:cstheme="majorBidi"/>
          </w:rPr>
          <w:t>https://actualite.cd/2021/12/12/redd-mai-ndombe-le-projet-era-congo-vendu-125-millions-de-tonnes-de-credit-carbone-entre</w:t>
        </w:r>
      </w:hyperlink>
      <w:r w:rsidRPr="00740AE2">
        <w:rPr>
          <w:rFonts w:asciiTheme="majorBidi" w:hAnsiTheme="majorBidi" w:cstheme="majorBidi"/>
        </w:rPr>
        <w:t xml:space="preserve"> </w:t>
      </w:r>
    </w:p>
  </w:footnote>
  <w:footnote w:id="8">
    <w:p w14:paraId="5A6AC28F" w14:textId="77777777" w:rsidR="00F470D1" w:rsidRPr="00740AE2" w:rsidRDefault="00F470D1" w:rsidP="00F470D1">
      <w:pPr>
        <w:pStyle w:val="Notedebasdepage"/>
        <w:rPr>
          <w:rFonts w:asciiTheme="majorBidi" w:hAnsiTheme="majorBidi" w:cstheme="majorBidi"/>
        </w:rPr>
      </w:pPr>
      <w:r w:rsidRPr="00740AE2">
        <w:rPr>
          <w:rStyle w:val="Appelnotedebasdep"/>
          <w:rFonts w:asciiTheme="majorBidi" w:hAnsiTheme="majorBidi" w:cstheme="majorBidi"/>
        </w:rPr>
        <w:footnoteRef/>
      </w:r>
      <w:r w:rsidRPr="00740AE2">
        <w:rPr>
          <w:rFonts w:asciiTheme="majorBidi" w:hAnsiTheme="majorBidi" w:cstheme="majorBidi"/>
        </w:rPr>
        <w:t xml:space="preserve"> </w:t>
      </w:r>
      <w:hyperlink r:id="rId4" w:history="1">
        <w:r w:rsidRPr="00740AE2">
          <w:rPr>
            <w:rStyle w:val="Lienhypertexte"/>
            <w:rFonts w:asciiTheme="majorBidi" w:hAnsiTheme="majorBidi" w:cstheme="majorBidi"/>
          </w:rPr>
          <w:t>https://medd.gouv.cd/rdc-vente-carbone-experience-de-era-congo/</w:t>
        </w:r>
      </w:hyperlink>
      <w:r w:rsidRPr="00740AE2">
        <w:rPr>
          <w:rFonts w:asciiTheme="majorBidi" w:hAnsiTheme="majorBidi" w:cstheme="majorBidi"/>
        </w:rPr>
        <w:t xml:space="preserve"> </w:t>
      </w:r>
    </w:p>
  </w:footnote>
  <w:footnote w:id="9">
    <w:p w14:paraId="4CB6BE0B" w14:textId="77777777" w:rsidR="00F470D1" w:rsidRPr="00740AE2" w:rsidRDefault="00F470D1" w:rsidP="00F470D1">
      <w:pPr>
        <w:pStyle w:val="Notedebasdepage"/>
        <w:rPr>
          <w:rFonts w:asciiTheme="majorBidi" w:hAnsiTheme="majorBidi" w:cstheme="majorBidi"/>
        </w:rPr>
      </w:pPr>
      <w:r w:rsidRPr="00740AE2">
        <w:rPr>
          <w:rStyle w:val="Appelnotedebasdep"/>
          <w:rFonts w:asciiTheme="majorBidi" w:hAnsiTheme="majorBidi" w:cstheme="majorBidi"/>
        </w:rPr>
        <w:footnoteRef/>
      </w:r>
      <w:r w:rsidRPr="00740AE2">
        <w:rPr>
          <w:rFonts w:asciiTheme="majorBidi" w:hAnsiTheme="majorBidi" w:cstheme="majorBidi"/>
        </w:rPr>
        <w:t xml:space="preserve"> </w:t>
      </w:r>
      <w:hyperlink r:id="rId5" w:history="1">
        <w:r w:rsidRPr="00740AE2">
          <w:rPr>
            <w:rStyle w:val="Lienhypertexte"/>
            <w:rFonts w:asciiTheme="majorBidi" w:hAnsiTheme="majorBidi" w:cstheme="majorBidi"/>
          </w:rPr>
          <w:t>https://environews-rdc.net/2022/11/11/cop27-era-congo-va-se-deployer-dans-quelques-autres-provinces-forestieres-de-la-rdc/</w:t>
        </w:r>
      </w:hyperlink>
      <w:r w:rsidRPr="00740AE2">
        <w:rPr>
          <w:rFonts w:asciiTheme="majorBidi" w:hAnsiTheme="majorBidi" w:cstheme="majorBidi"/>
        </w:rPr>
        <w:t xml:space="preserve"> </w:t>
      </w:r>
    </w:p>
  </w:footnote>
  <w:footnote w:id="10">
    <w:p w14:paraId="19A59187" w14:textId="77777777" w:rsidR="00F470D1" w:rsidRPr="00740AE2" w:rsidRDefault="00F470D1" w:rsidP="00F470D1">
      <w:pPr>
        <w:pStyle w:val="Notedebasdepage"/>
        <w:rPr>
          <w:rFonts w:asciiTheme="majorBidi" w:hAnsiTheme="majorBidi" w:cstheme="majorBidi"/>
        </w:rPr>
      </w:pPr>
      <w:r w:rsidRPr="00740AE2">
        <w:rPr>
          <w:rStyle w:val="Appelnotedebasdep"/>
          <w:rFonts w:asciiTheme="majorBidi" w:hAnsiTheme="majorBidi" w:cstheme="majorBidi"/>
        </w:rPr>
        <w:footnoteRef/>
      </w:r>
      <w:r w:rsidRPr="00740AE2">
        <w:rPr>
          <w:rFonts w:asciiTheme="majorBidi" w:hAnsiTheme="majorBidi" w:cstheme="majorBidi"/>
        </w:rPr>
        <w:t xml:space="preserve"> </w:t>
      </w:r>
      <w:hyperlink r:id="rId6" w:history="1">
        <w:r w:rsidRPr="00740AE2">
          <w:rPr>
            <w:rStyle w:val="Lienhypertexte"/>
            <w:rFonts w:asciiTheme="majorBidi" w:hAnsiTheme="majorBidi" w:cstheme="majorBidi"/>
          </w:rPr>
          <w:t>https://www.wwfdrc.org/?38684/Grace-au-WWF-la-province-du-Nord-Kivu-beneficie-de-la-vente-des-credits-carbone</w:t>
        </w:r>
      </w:hyperlink>
      <w:r w:rsidRPr="00740AE2">
        <w:rPr>
          <w:rFonts w:asciiTheme="majorBidi" w:hAnsiTheme="majorBidi" w:cstheme="majorBidi"/>
        </w:rPr>
        <w:t xml:space="preserve"> </w:t>
      </w:r>
    </w:p>
  </w:footnote>
  <w:footnote w:id="11">
    <w:p w14:paraId="7FCCA03C" w14:textId="77777777" w:rsidR="00F470D1" w:rsidRPr="006312A8" w:rsidRDefault="00F470D1" w:rsidP="00F470D1">
      <w:pPr>
        <w:spacing w:after="0"/>
        <w:rPr>
          <w:rFonts w:asciiTheme="minorHAnsi" w:hAnsiTheme="minorHAnsi" w:cstheme="minorHAnsi"/>
          <w:sz w:val="20"/>
          <w:szCs w:val="20"/>
          <w:lang w:val="fr-CD"/>
        </w:rPr>
      </w:pPr>
      <w:r w:rsidRPr="006312A8">
        <w:rPr>
          <w:rStyle w:val="Appelnotedebasdep"/>
          <w:sz w:val="20"/>
          <w:szCs w:val="20"/>
        </w:rPr>
        <w:footnoteRef/>
      </w:r>
      <w:r w:rsidRPr="006312A8">
        <w:rPr>
          <w:sz w:val="20"/>
          <w:szCs w:val="20"/>
        </w:rPr>
        <w:t xml:space="preserve"> </w:t>
      </w:r>
      <w:hyperlink r:id="rId7" w:history="1">
        <w:r w:rsidRPr="006312A8">
          <w:rPr>
            <w:rStyle w:val="Lienhypertexte"/>
            <w:rFonts w:cstheme="minorHAnsi"/>
            <w:sz w:val="20"/>
            <w:szCs w:val="20"/>
            <w:lang w:val="fr-CD"/>
          </w:rPr>
          <w:t>https://www.wrm.org.uy/fr/articles-du-bulletin/le-projet-de-plantation-darbres-dibi-bateke-en-rdc-ou-est-le-succes-tant-vante</w:t>
        </w:r>
      </w:hyperlink>
      <w:r w:rsidRPr="006312A8">
        <w:rPr>
          <w:rFonts w:cstheme="minorHAnsi"/>
          <w:sz w:val="20"/>
          <w:szCs w:val="20"/>
          <w:lang w:val="fr-CD"/>
        </w:rPr>
        <w:t>, consulté</w:t>
      </w:r>
      <w:r w:rsidRPr="006312A8">
        <w:rPr>
          <w:rFonts w:cstheme="minorHAnsi"/>
          <w:sz w:val="20"/>
          <w:szCs w:val="20"/>
        </w:rPr>
        <w:t xml:space="preserve"> le 06 juin 2023</w:t>
      </w:r>
    </w:p>
    <w:p w14:paraId="682C26D7" w14:textId="77777777" w:rsidR="00F470D1" w:rsidRPr="006312A8" w:rsidRDefault="00F470D1" w:rsidP="00F470D1">
      <w:pPr>
        <w:pStyle w:val="Notedebasdepage"/>
        <w:rPr>
          <w:lang w:val="fr-CD"/>
        </w:rPr>
      </w:pPr>
    </w:p>
  </w:footnote>
  <w:footnote w:id="12">
    <w:p w14:paraId="733B08C0" w14:textId="116DF071" w:rsidR="5DD9259D" w:rsidRPr="00593723" w:rsidRDefault="5DD9259D" w:rsidP="00593723">
      <w:pPr>
        <w:spacing w:after="160" w:line="259" w:lineRule="auto"/>
        <w:jc w:val="both"/>
        <w:rPr>
          <w:sz w:val="18"/>
          <w:szCs w:val="18"/>
        </w:rPr>
      </w:pPr>
      <w:r w:rsidRPr="00F74B1B">
        <w:rPr>
          <w:sz w:val="18"/>
          <w:szCs w:val="18"/>
        </w:rPr>
        <w:footnoteRef/>
      </w:r>
      <w:r w:rsidRPr="00F74B1B">
        <w:rPr>
          <w:sz w:val="18"/>
          <w:szCs w:val="18"/>
        </w:rPr>
        <w:t xml:space="preserve"> Des exemples pour les projets avec composante PSE et projets dits territoriaux sont disponibles dans les Lignes directrices de suivi </w:t>
      </w:r>
      <w:r w:rsidR="00693925" w:rsidRPr="00F74B1B">
        <w:rPr>
          <w:sz w:val="18"/>
          <w:szCs w:val="18"/>
        </w:rPr>
        <w:t>évaluation</w:t>
      </w:r>
      <w:r w:rsidRPr="00F74B1B">
        <w:rPr>
          <w:sz w:val="18"/>
          <w:szCs w:val="18"/>
        </w:rPr>
        <w:t xml:space="preserve"> de CAFI </w:t>
      </w:r>
      <w:r w:rsidR="00241438" w:rsidRPr="00F74B1B">
        <w:rPr>
          <w:sz w:val="18"/>
          <w:szCs w:val="18"/>
        </w:rPr>
        <w:t>(</w:t>
      </w:r>
      <w:hyperlink r:id="rId8" w:history="1">
        <w:r w:rsidR="00E8614B" w:rsidRPr="00F74B1B">
          <w:rPr>
            <w:rStyle w:val="Lienhypertexte"/>
            <w:sz w:val="18"/>
            <w:szCs w:val="18"/>
          </w:rPr>
          <w:t>Lignes directrices de Suivi Evaluation de CAFI</w:t>
        </w:r>
      </w:hyperlink>
      <w:r w:rsidR="00241438" w:rsidRPr="00F74B1B">
        <w:rPr>
          <w:sz w:val="18"/>
          <w:szCs w:val="18"/>
        </w:rPr>
        <w:t>)</w:t>
      </w:r>
    </w:p>
  </w:footnote>
  <w:footnote w:id="13">
    <w:p w14:paraId="03771AD5" w14:textId="76688F2D" w:rsidR="00453C3F" w:rsidRPr="00453C3F" w:rsidRDefault="00453C3F">
      <w:pPr>
        <w:pStyle w:val="Notedebasdepage"/>
      </w:pPr>
      <w:r>
        <w:rPr>
          <w:rStyle w:val="Appelnotedebasdep"/>
        </w:rPr>
        <w:footnoteRef/>
      </w:r>
      <w:r>
        <w:t xml:space="preserve"> </w:t>
      </w:r>
      <w:r w:rsidR="007168D1" w:rsidRPr="007168D1">
        <w:t>Le RIFFEAC est un groupe de vingt-trois institutions de formation de la sous-région d'Afrique centrale, qui vise à développer les compétences et les structures nécessaires à la gestion conjointe et durable des ressources environnementales et forestières.</w:t>
      </w:r>
    </w:p>
  </w:footnote>
  <w:footnote w:id="14">
    <w:p w14:paraId="1F94037E" w14:textId="0522BB45" w:rsidR="00F944DE" w:rsidRPr="00087403" w:rsidRDefault="00F944DE" w:rsidP="00087403">
      <w:pPr>
        <w:pStyle w:val="Notedebasdepage"/>
        <w:jc w:val="both"/>
        <w:rPr>
          <w:sz w:val="18"/>
          <w:szCs w:val="18"/>
          <w:lang w:val="fr-CA"/>
        </w:rPr>
      </w:pPr>
      <w:r w:rsidRPr="00087403">
        <w:rPr>
          <w:rStyle w:val="Appelnotedebasdep"/>
          <w:sz w:val="18"/>
          <w:szCs w:val="18"/>
        </w:rPr>
        <w:footnoteRef/>
      </w:r>
      <w:r w:rsidRPr="00087403">
        <w:rPr>
          <w:sz w:val="18"/>
          <w:szCs w:val="18"/>
        </w:rPr>
        <w:t xml:space="preserve"> </w:t>
      </w:r>
      <w:r w:rsidR="00E03DB3" w:rsidRPr="00087403">
        <w:rPr>
          <w:sz w:val="18"/>
          <w:szCs w:val="18"/>
          <w:lang w:val="fr-CA"/>
        </w:rPr>
        <w:t>Quan</w:t>
      </w:r>
      <w:r w:rsidR="00FF7E85" w:rsidRPr="00087403">
        <w:rPr>
          <w:sz w:val="18"/>
          <w:szCs w:val="18"/>
          <w:lang w:val="fr-CA"/>
        </w:rPr>
        <w:t>d</w:t>
      </w:r>
      <w:r w:rsidR="00E03DB3" w:rsidRPr="00087403">
        <w:rPr>
          <w:sz w:val="18"/>
          <w:szCs w:val="18"/>
          <w:lang w:val="fr-CA"/>
        </w:rPr>
        <w:t xml:space="preserve"> pertinent, les indicateurs doivent être désagrégés </w:t>
      </w:r>
      <w:r w:rsidR="006E37B8" w:rsidRPr="00087403">
        <w:rPr>
          <w:sz w:val="18"/>
          <w:szCs w:val="18"/>
          <w:lang w:val="fr-CA"/>
        </w:rPr>
        <w:t>par genre et pour le</w:t>
      </w:r>
      <w:r w:rsidR="00E756CD" w:rsidRPr="00087403">
        <w:rPr>
          <w:sz w:val="18"/>
          <w:szCs w:val="18"/>
          <w:lang w:val="fr-CA"/>
        </w:rPr>
        <w:t>s peuples autochtones</w:t>
      </w:r>
      <w:r w:rsidR="003D5A51" w:rsidRPr="00087403">
        <w:rPr>
          <w:sz w:val="18"/>
          <w:szCs w:val="18"/>
          <w:lang w:val="fr-CA"/>
        </w:rPr>
        <w:t>.</w:t>
      </w:r>
      <w:r w:rsidR="00E756CD" w:rsidRPr="00087403">
        <w:rPr>
          <w:sz w:val="18"/>
          <w:szCs w:val="18"/>
          <w:lang w:val="fr-CA"/>
        </w:rPr>
        <w:t xml:space="preserve"> </w:t>
      </w:r>
    </w:p>
  </w:footnote>
  <w:footnote w:id="15">
    <w:p w14:paraId="627E5201" w14:textId="3CA1FF98" w:rsidR="00CC362F" w:rsidRPr="00087403" w:rsidRDefault="00CC362F" w:rsidP="00087403">
      <w:pPr>
        <w:pStyle w:val="Notedebasdepage"/>
        <w:jc w:val="both"/>
        <w:rPr>
          <w:sz w:val="18"/>
          <w:szCs w:val="18"/>
        </w:rPr>
      </w:pPr>
      <w:r w:rsidRPr="00087403">
        <w:rPr>
          <w:rStyle w:val="Appelnotedebasdep"/>
          <w:sz w:val="18"/>
          <w:szCs w:val="18"/>
        </w:rPr>
        <w:footnoteRef/>
      </w:r>
      <w:r w:rsidRPr="00087403">
        <w:rPr>
          <w:sz w:val="18"/>
          <w:szCs w:val="18"/>
        </w:rPr>
        <w:t xml:space="preserve"> P</w:t>
      </w:r>
      <w:r w:rsidR="002D7A24" w:rsidRPr="00087403">
        <w:rPr>
          <w:sz w:val="18"/>
          <w:szCs w:val="18"/>
        </w:rPr>
        <w:t xml:space="preserve">ar exemple : </w:t>
      </w:r>
      <w:r w:rsidRPr="00087403">
        <w:rPr>
          <w:sz w:val="18"/>
          <w:szCs w:val="18"/>
          <w:lang w:val="fr-CH"/>
        </w:rPr>
        <w:t>enquêtes/questionnaire</w:t>
      </w:r>
      <w:r w:rsidR="001E2D84" w:rsidRPr="00087403">
        <w:rPr>
          <w:sz w:val="18"/>
          <w:szCs w:val="18"/>
          <w:lang w:val="fr-CH"/>
        </w:rPr>
        <w:t>s</w:t>
      </w:r>
      <w:r w:rsidRPr="00087403">
        <w:rPr>
          <w:sz w:val="18"/>
          <w:szCs w:val="18"/>
          <w:lang w:val="fr-CH"/>
        </w:rPr>
        <w:t>, donné</w:t>
      </w:r>
      <w:r w:rsidR="00457CEC">
        <w:rPr>
          <w:sz w:val="18"/>
          <w:szCs w:val="18"/>
          <w:lang w:val="fr-CH"/>
        </w:rPr>
        <w:t>e</w:t>
      </w:r>
      <w:r w:rsidRPr="00087403">
        <w:rPr>
          <w:sz w:val="18"/>
          <w:szCs w:val="18"/>
          <w:lang w:val="fr-CH"/>
        </w:rPr>
        <w:t>s et archives gouvernementales, groupes de réflexion, observations de terrain, rapports d’activités des opérateurs, revue documentaire, donné</w:t>
      </w:r>
      <w:r w:rsidR="001E2D84" w:rsidRPr="00087403">
        <w:rPr>
          <w:sz w:val="18"/>
          <w:szCs w:val="18"/>
          <w:lang w:val="fr-CH"/>
        </w:rPr>
        <w:t>e</w:t>
      </w:r>
      <w:r w:rsidRPr="00087403">
        <w:rPr>
          <w:sz w:val="18"/>
          <w:szCs w:val="18"/>
          <w:lang w:val="fr-CH"/>
        </w:rPr>
        <w:t>s SIG, entretiens, autre</w:t>
      </w:r>
      <w:r w:rsidR="002D7A24" w:rsidRPr="00087403">
        <w:rPr>
          <w:sz w:val="18"/>
          <w:szCs w:val="18"/>
          <w:lang w:val="fr-CH"/>
        </w:rPr>
        <w:t xml:space="preserve">. </w:t>
      </w:r>
    </w:p>
  </w:footnote>
  <w:footnote w:id="16">
    <w:p w14:paraId="65A86D9F" w14:textId="41039870" w:rsidR="001B7B39" w:rsidRPr="00087403" w:rsidRDefault="001B7B39" w:rsidP="00087403">
      <w:pPr>
        <w:pStyle w:val="Notedebasdepage"/>
        <w:jc w:val="both"/>
        <w:rPr>
          <w:sz w:val="18"/>
          <w:szCs w:val="18"/>
        </w:rPr>
      </w:pPr>
      <w:r w:rsidRPr="00087403">
        <w:rPr>
          <w:rStyle w:val="Appelnotedebasdep"/>
          <w:sz w:val="18"/>
          <w:szCs w:val="18"/>
        </w:rPr>
        <w:footnoteRef/>
      </w:r>
      <w:r w:rsidRPr="00087403">
        <w:rPr>
          <w:sz w:val="18"/>
          <w:szCs w:val="18"/>
        </w:rPr>
        <w:t xml:space="preserve"> Cadre National d’Investissement REDD+ (ou Plan National d’Investissement</w:t>
      </w:r>
      <w:r w:rsidR="001E1D05" w:rsidRPr="00087403">
        <w:rPr>
          <w:sz w:val="18"/>
          <w:szCs w:val="18"/>
        </w:rPr>
        <w:t xml:space="preserve"> REDD+</w:t>
      </w:r>
      <w:r w:rsidRPr="00087403">
        <w:rPr>
          <w:sz w:val="18"/>
          <w:szCs w:val="18"/>
        </w:rPr>
        <w:t>)</w:t>
      </w:r>
    </w:p>
  </w:footnote>
  <w:footnote w:id="17">
    <w:p w14:paraId="43B489E6" w14:textId="5959BB72" w:rsidR="0077003B" w:rsidRPr="005146E9" w:rsidRDefault="0077003B">
      <w:pPr>
        <w:pStyle w:val="Notedebasdepage"/>
        <w:rPr>
          <w:lang w:val="fr-CH"/>
        </w:rPr>
      </w:pPr>
      <w:r>
        <w:rPr>
          <w:rStyle w:val="Appelnotedebasdep"/>
        </w:rPr>
        <w:footnoteRef/>
      </w:r>
      <w:r>
        <w:t xml:space="preserve"> </w:t>
      </w:r>
      <w:hyperlink r:id="rId9" w:history="1">
        <w:r w:rsidR="005146E9" w:rsidRPr="001A7A04">
          <w:rPr>
            <w:rStyle w:val="Lienhypertexte"/>
          </w:rPr>
          <w:t>Lignes directrices sur les comités de pilotage</w:t>
        </w:r>
      </w:hyperlink>
    </w:p>
  </w:footnote>
  <w:footnote w:id="18">
    <w:p w14:paraId="5A6E4B04" w14:textId="77777777" w:rsidR="008353CC" w:rsidRPr="00EC1E8B" w:rsidRDefault="008353CC" w:rsidP="008353CC">
      <w:pPr>
        <w:pStyle w:val="Default"/>
        <w:rPr>
          <w:sz w:val="18"/>
          <w:szCs w:val="18"/>
        </w:rPr>
      </w:pPr>
      <w:r w:rsidRPr="00EC1E8B">
        <w:rPr>
          <w:rStyle w:val="Appelnotedebasdep"/>
          <w:sz w:val="18"/>
          <w:szCs w:val="18"/>
        </w:rPr>
        <w:footnoteRef/>
      </w:r>
      <w:r w:rsidRPr="00EC1E8B">
        <w:rPr>
          <w:sz w:val="18"/>
          <w:szCs w:val="18"/>
        </w:rPr>
        <w:t xml:space="preserve"> Voir le canevas de rapport des projets financés par FONAREDD et CAFI :</w:t>
      </w:r>
      <w:hyperlink r:id="rId10" w:history="1">
        <w:r w:rsidRPr="00EC1E8B">
          <w:rPr>
            <w:rStyle w:val="Lienhypertexte"/>
            <w:sz w:val="18"/>
            <w:szCs w:val="18"/>
          </w:rPr>
          <w:t xml:space="preserve"> </w:t>
        </w:r>
        <w:proofErr w:type="spellStart"/>
        <w:r w:rsidRPr="00EC1E8B">
          <w:rPr>
            <w:rStyle w:val="Lienhypertexte"/>
            <w:sz w:val="18"/>
            <w:szCs w:val="18"/>
          </w:rPr>
          <w:t>Templates</w:t>
        </w:r>
        <w:proofErr w:type="spellEnd"/>
        <w:r w:rsidRPr="00EC1E8B">
          <w:rPr>
            <w:rStyle w:val="Lienhypertexte"/>
            <w:sz w:val="18"/>
            <w:szCs w:val="18"/>
          </w:rPr>
          <w:t xml:space="preserve"> M&amp;E - Google Drive</w:t>
        </w:r>
      </w:hyperlink>
      <w:r w:rsidRPr="00EC1E8B">
        <w:rPr>
          <w:color w:val="467885"/>
          <w:sz w:val="18"/>
          <w:szCs w:val="18"/>
        </w:rPr>
        <w:t xml:space="preserve"> </w:t>
      </w:r>
      <w:r w:rsidRPr="00EC1E8B">
        <w:rPr>
          <w:sz w:val="18"/>
          <w:szCs w:val="18"/>
        </w:rPr>
        <w:t xml:space="preserve"> </w:t>
      </w:r>
    </w:p>
  </w:footnote>
  <w:footnote w:id="19">
    <w:p w14:paraId="65597E1D" w14:textId="50EFB5D8" w:rsidR="00096644" w:rsidRPr="00805FFF" w:rsidRDefault="00096644">
      <w:pPr>
        <w:pStyle w:val="Notedebasdepage"/>
      </w:pPr>
      <w:r>
        <w:rPr>
          <w:rStyle w:val="Appelnotedebasdep"/>
        </w:rPr>
        <w:footnoteRef/>
      </w:r>
      <w:r>
        <w:t xml:space="preserve"> </w:t>
      </w:r>
      <w:r w:rsidRPr="00FB7BE6">
        <w:t xml:space="preserve">Les cases colorées en rouge représentent les jalons pour l’atteinte des indicateurs clés. Les cases en vert représentent  la continuité de l’activité concernée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BA85" w14:textId="77777777" w:rsidR="00D248B2" w:rsidRDefault="00D248B2" w:rsidP="00F14236">
    <w:pPr>
      <w:pStyle w:val="En-tte"/>
    </w:pPr>
    <w:r>
      <w:rPr>
        <w:noProof/>
        <w:bdr w:val="none" w:sz="0" w:space="0" w:color="auto" w:frame="1"/>
      </w:rPr>
      <w:drawing>
        <wp:anchor distT="0" distB="0" distL="114300" distR="114300" simplePos="0" relativeHeight="251666944" behindDoc="1" locked="0" layoutInCell="1" allowOverlap="1" wp14:anchorId="245A0B85" wp14:editId="2D78A118">
          <wp:simplePos x="0" y="0"/>
          <wp:positionH relativeFrom="column">
            <wp:posOffset>4738370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1558345750" name="Image 1558345750"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65920" behindDoc="1" locked="0" layoutInCell="1" allowOverlap="1" wp14:anchorId="07C8DCE8" wp14:editId="3FCF52D3">
          <wp:simplePos x="0" y="0"/>
          <wp:positionH relativeFrom="column">
            <wp:posOffset>5557520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2009640927" name="Image 2009640927"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C477C1" w14:textId="77777777" w:rsidR="00D248B2" w:rsidRDefault="00D248B2">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61824" behindDoc="0" locked="0" layoutInCell="1" allowOverlap="1" wp14:anchorId="0FA93861" wp14:editId="69E49EE7">
          <wp:simplePos x="0" y="0"/>
          <wp:positionH relativeFrom="column">
            <wp:posOffset>5132070</wp:posOffset>
          </wp:positionH>
          <wp:positionV relativeFrom="paragraph">
            <wp:posOffset>52070</wp:posOffset>
          </wp:positionV>
          <wp:extent cx="328295" cy="216525"/>
          <wp:effectExtent l="0" t="0" r="0" b="0"/>
          <wp:wrapNone/>
          <wp:docPr id="1602537232" name="Image 1602537232"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E7F4" w14:textId="77777777" w:rsidR="00D248B2" w:rsidRDefault="00D248B2">
    <w:pPr>
      <w:pStyle w:val="En-tte"/>
    </w:pPr>
    <w:r>
      <w:rPr>
        <w:noProof/>
        <w:bdr w:val="none" w:sz="0" w:space="0" w:color="auto" w:frame="1"/>
      </w:rPr>
      <w:drawing>
        <wp:anchor distT="0" distB="0" distL="114300" distR="114300" simplePos="0" relativeHeight="251659776" behindDoc="1" locked="0" layoutInCell="1" allowOverlap="1" wp14:anchorId="02B0F091" wp14:editId="5909ACB0">
          <wp:simplePos x="0" y="0"/>
          <wp:positionH relativeFrom="column">
            <wp:posOffset>4992370</wp:posOffset>
          </wp:positionH>
          <wp:positionV relativeFrom="paragraph">
            <wp:posOffset>-234315</wp:posOffset>
          </wp:positionV>
          <wp:extent cx="851535" cy="406400"/>
          <wp:effectExtent l="0" t="0" r="5715" b="0"/>
          <wp:wrapTight wrapText="bothSides">
            <wp:wrapPolygon edited="0">
              <wp:start x="0" y="0"/>
              <wp:lineTo x="0" y="20250"/>
              <wp:lineTo x="21262" y="20250"/>
              <wp:lineTo x="21262" y="0"/>
              <wp:lineTo x="0" y="0"/>
            </wp:wrapPolygon>
          </wp:wrapTight>
          <wp:docPr id="609277134" name="Image 60927713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40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58752" behindDoc="0" locked="0" layoutInCell="1" allowOverlap="1" wp14:anchorId="6332B6C0" wp14:editId="2B99DA4A">
          <wp:simplePos x="0" y="0"/>
          <wp:positionH relativeFrom="column">
            <wp:posOffset>2230120</wp:posOffset>
          </wp:positionH>
          <wp:positionV relativeFrom="paragraph">
            <wp:posOffset>-215265</wp:posOffset>
          </wp:positionV>
          <wp:extent cx="1231900" cy="457200"/>
          <wp:effectExtent l="0" t="0" r="6350" b="0"/>
          <wp:wrapNone/>
          <wp:docPr id="48124778" name="Image 48124778"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1900" cy="457200"/>
                  </a:xfrm>
                  <a:prstGeom prst="rect">
                    <a:avLst/>
                  </a:prstGeom>
                  <a:noFill/>
                </pic:spPr>
              </pic:pic>
            </a:graphicData>
          </a:graphic>
          <wp14:sizeRelH relativeFrom="page">
            <wp14:pctWidth>0</wp14:pctWidth>
          </wp14:sizeRelH>
          <wp14:sizeRelV relativeFrom="page">
            <wp14:pctHeight>0</wp14:pctHeight>
          </wp14:sizeRelV>
        </wp:anchor>
      </w:drawing>
    </w:r>
    <w:r>
      <w:rPr>
        <w:noProof/>
        <w:bdr w:val="none" w:sz="0" w:space="0" w:color="auto" w:frame="1"/>
      </w:rPr>
      <w:drawing>
        <wp:anchor distT="0" distB="0" distL="114300" distR="114300" simplePos="0" relativeHeight="251660800" behindDoc="1" locked="0" layoutInCell="1" allowOverlap="1" wp14:anchorId="485809FF" wp14:editId="74844F8E">
          <wp:simplePos x="0" y="0"/>
          <wp:positionH relativeFrom="margin">
            <wp:align>left</wp:align>
          </wp:positionH>
          <wp:positionV relativeFrom="paragraph">
            <wp:posOffset>-183515</wp:posOffset>
          </wp:positionV>
          <wp:extent cx="584200" cy="628650"/>
          <wp:effectExtent l="0" t="0" r="6350" b="0"/>
          <wp:wrapTight wrapText="bothSides">
            <wp:wrapPolygon edited="0">
              <wp:start x="0" y="0"/>
              <wp:lineTo x="0" y="20945"/>
              <wp:lineTo x="21130" y="20945"/>
              <wp:lineTo x="21130" y="0"/>
              <wp:lineTo x="0" y="0"/>
            </wp:wrapPolygon>
          </wp:wrapTight>
          <wp:docPr id="1741054448" name="Image 1741054448"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3">
                    <a:extLst>
                      <a:ext uri="{28A0092B-C50C-407E-A947-70E740481C1C}">
                        <a14:useLocalDpi xmlns:a14="http://schemas.microsoft.com/office/drawing/2010/main" val="0"/>
                      </a:ext>
                    </a:extLst>
                  </a:blip>
                  <a:stretch>
                    <a:fillRect/>
                  </a:stretch>
                </pic:blipFill>
                <pic:spPr>
                  <a:xfrm>
                    <a:off x="0" y="0"/>
                    <a:ext cx="584200" cy="62865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11C81" w14:textId="414B1FDD" w:rsidR="00F14236" w:rsidRDefault="00F14236" w:rsidP="00F14236">
    <w:pPr>
      <w:pStyle w:val="En-tte"/>
    </w:pPr>
    <w:r>
      <w:rPr>
        <w:noProof/>
        <w:bdr w:val="none" w:sz="0" w:space="0" w:color="auto" w:frame="1"/>
      </w:rPr>
      <w:drawing>
        <wp:anchor distT="0" distB="0" distL="114300" distR="114300" simplePos="0" relativeHeight="251654656" behindDoc="1" locked="0" layoutInCell="1" allowOverlap="1" wp14:anchorId="652CB889" wp14:editId="653AC6CC">
          <wp:simplePos x="0" y="0"/>
          <wp:positionH relativeFrom="column">
            <wp:posOffset>4738370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540099851" name="Picture 357956938"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53632" behindDoc="1" locked="0" layoutInCell="1" allowOverlap="1" wp14:anchorId="2BAF4D05" wp14:editId="3B366DBE">
          <wp:simplePos x="0" y="0"/>
          <wp:positionH relativeFrom="column">
            <wp:posOffset>5557520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1209290086" name="Picture 357956939"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3736EA2" w14:textId="240DD94A" w:rsidR="00F14236" w:rsidRDefault="00F14236">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52608" behindDoc="0" locked="0" layoutInCell="1" allowOverlap="1" wp14:anchorId="12BF4CC5" wp14:editId="2B64B2EA">
          <wp:simplePos x="0" y="0"/>
          <wp:positionH relativeFrom="column">
            <wp:posOffset>5132070</wp:posOffset>
          </wp:positionH>
          <wp:positionV relativeFrom="paragraph">
            <wp:posOffset>52070</wp:posOffset>
          </wp:positionV>
          <wp:extent cx="328295" cy="216525"/>
          <wp:effectExtent l="0" t="0" r="0" b="0"/>
          <wp:wrapNone/>
          <wp:docPr id="1038612737" name="Picture 357956940"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12798" w14:textId="2692FC4F" w:rsidR="00C345C4" w:rsidRDefault="00A74D5D">
    <w:pPr>
      <w:pStyle w:val="En-tte"/>
    </w:pPr>
    <w:r>
      <w:rPr>
        <w:noProof/>
        <w:bdr w:val="none" w:sz="0" w:space="0" w:color="auto" w:frame="1"/>
      </w:rPr>
      <w:drawing>
        <wp:anchor distT="0" distB="0" distL="114300" distR="114300" simplePos="0" relativeHeight="251651584" behindDoc="1" locked="0" layoutInCell="1" allowOverlap="1" wp14:anchorId="22C75813" wp14:editId="74FB5AD2">
          <wp:simplePos x="0" y="0"/>
          <wp:positionH relativeFrom="column">
            <wp:posOffset>1270</wp:posOffset>
          </wp:positionH>
          <wp:positionV relativeFrom="paragraph">
            <wp:posOffset>-183515</wp:posOffset>
          </wp:positionV>
          <wp:extent cx="584200" cy="1186180"/>
          <wp:effectExtent l="0" t="0" r="6350" b="0"/>
          <wp:wrapTight wrapText="bothSides">
            <wp:wrapPolygon edited="0">
              <wp:start x="0" y="0"/>
              <wp:lineTo x="0" y="21161"/>
              <wp:lineTo x="21130" y="21161"/>
              <wp:lineTo x="21130" y="0"/>
              <wp:lineTo x="0" y="0"/>
            </wp:wrapPolygon>
          </wp:wrapTight>
          <wp:docPr id="1020822085" name="Picture 357956941"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584200" cy="1186180"/>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49536" behindDoc="0" locked="0" layoutInCell="1" allowOverlap="1" wp14:anchorId="2E80E6D0" wp14:editId="52BA2ACA">
          <wp:simplePos x="0" y="0"/>
          <wp:positionH relativeFrom="column">
            <wp:posOffset>2236470</wp:posOffset>
          </wp:positionH>
          <wp:positionV relativeFrom="paragraph">
            <wp:posOffset>70485</wp:posOffset>
          </wp:positionV>
          <wp:extent cx="1231900" cy="812165"/>
          <wp:effectExtent l="0" t="0" r="6350" b="6985"/>
          <wp:wrapNone/>
          <wp:docPr id="850584467" name="Picture 357956942"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1900" cy="812165"/>
                  </a:xfrm>
                  <a:prstGeom prst="rect">
                    <a:avLst/>
                  </a:prstGeom>
                  <a:noFill/>
                </pic:spPr>
              </pic:pic>
            </a:graphicData>
          </a:graphic>
          <wp14:sizeRelH relativeFrom="page">
            <wp14:pctWidth>0</wp14:pctWidth>
          </wp14:sizeRelH>
          <wp14:sizeRelV relativeFrom="page">
            <wp14:pctHeight>0</wp14:pctHeight>
          </wp14:sizeRelV>
        </wp:anchor>
      </w:drawing>
    </w:r>
    <w:r>
      <w:rPr>
        <w:noProof/>
        <w:bdr w:val="none" w:sz="0" w:space="0" w:color="auto" w:frame="1"/>
      </w:rPr>
      <w:drawing>
        <wp:anchor distT="0" distB="0" distL="114300" distR="114300" simplePos="0" relativeHeight="251650560" behindDoc="1" locked="0" layoutInCell="1" allowOverlap="1" wp14:anchorId="3B18B61B" wp14:editId="6FE6241C">
          <wp:simplePos x="0" y="0"/>
          <wp:positionH relativeFrom="column">
            <wp:posOffset>5087620</wp:posOffset>
          </wp:positionH>
          <wp:positionV relativeFrom="paragraph">
            <wp:posOffset>38735</wp:posOffset>
          </wp:positionV>
          <wp:extent cx="851535" cy="1028700"/>
          <wp:effectExtent l="0" t="0" r="5715" b="0"/>
          <wp:wrapTight wrapText="bothSides">
            <wp:wrapPolygon edited="0">
              <wp:start x="0" y="0"/>
              <wp:lineTo x="0" y="21200"/>
              <wp:lineTo x="21262" y="21200"/>
              <wp:lineTo x="21262" y="0"/>
              <wp:lineTo x="0" y="0"/>
            </wp:wrapPolygon>
          </wp:wrapTight>
          <wp:docPr id="8522822" name="Picture 35795694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153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87D69" w14:textId="2EE1BD8C" w:rsidR="009A5EFC" w:rsidRDefault="009A5EFC" w:rsidP="009A5EFC">
    <w:pPr>
      <w:pStyle w:val="En-tte"/>
      <w:tabs>
        <w:tab w:val="clear" w:pos="4536"/>
        <w:tab w:val="clear" w:pos="9072"/>
        <w:tab w:val="left" w:pos="5210"/>
      </w:tabs>
    </w:pPr>
    <w:r>
      <w:rPr>
        <w:noProof/>
        <w:bdr w:val="none" w:sz="0" w:space="0" w:color="auto" w:frame="1"/>
      </w:rPr>
      <w:drawing>
        <wp:anchor distT="0" distB="0" distL="114300" distR="114300" simplePos="0" relativeHeight="251648512" behindDoc="1" locked="0" layoutInCell="1" allowOverlap="1" wp14:anchorId="52E45BAE" wp14:editId="5AE8C531">
          <wp:simplePos x="0" y="0"/>
          <wp:positionH relativeFrom="column">
            <wp:posOffset>7602220</wp:posOffset>
          </wp:positionH>
          <wp:positionV relativeFrom="paragraph">
            <wp:posOffset>-134620</wp:posOffset>
          </wp:positionV>
          <wp:extent cx="266700" cy="541655"/>
          <wp:effectExtent l="0" t="0" r="0" b="0"/>
          <wp:wrapTight wrapText="bothSides">
            <wp:wrapPolygon edited="0">
              <wp:start x="0" y="0"/>
              <wp:lineTo x="0" y="20511"/>
              <wp:lineTo x="20057" y="20511"/>
              <wp:lineTo x="20057" y="0"/>
              <wp:lineTo x="0" y="0"/>
            </wp:wrapPolygon>
          </wp:wrapTight>
          <wp:docPr id="1046583279" name="Picture 23"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45440" behindDoc="1" locked="0" layoutInCell="1" allowOverlap="1" wp14:anchorId="509373A1" wp14:editId="389C46FE">
          <wp:simplePos x="0" y="0"/>
          <wp:positionH relativeFrom="column">
            <wp:posOffset>8516620</wp:posOffset>
          </wp:positionH>
          <wp:positionV relativeFrom="paragraph">
            <wp:posOffset>-24130</wp:posOffset>
          </wp:positionV>
          <wp:extent cx="381635" cy="461010"/>
          <wp:effectExtent l="0" t="0" r="0" b="0"/>
          <wp:wrapTight wrapText="bothSides">
            <wp:wrapPolygon edited="0">
              <wp:start x="0" y="0"/>
              <wp:lineTo x="0" y="20529"/>
              <wp:lineTo x="20486" y="20529"/>
              <wp:lineTo x="20486" y="0"/>
              <wp:lineTo x="0" y="0"/>
            </wp:wrapPolygon>
          </wp:wrapTight>
          <wp:docPr id="1990497728" name="Picture 2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590FEC2D" w14:textId="716F01A2" w:rsidR="009A5EFC" w:rsidRDefault="009A5EFC" w:rsidP="009A5EFC">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42368" behindDoc="1" locked="0" layoutInCell="1" allowOverlap="1" wp14:anchorId="5F707AC9" wp14:editId="32217BB8">
          <wp:simplePos x="0" y="0"/>
          <wp:positionH relativeFrom="column">
            <wp:posOffset>8034020</wp:posOffset>
          </wp:positionH>
          <wp:positionV relativeFrom="paragraph">
            <wp:posOffset>7620</wp:posOffset>
          </wp:positionV>
          <wp:extent cx="328295" cy="216525"/>
          <wp:effectExtent l="0" t="0" r="0" b="0"/>
          <wp:wrapTight wrapText="bothSides">
            <wp:wrapPolygon edited="0">
              <wp:start x="0" y="0"/>
              <wp:lineTo x="0" y="19059"/>
              <wp:lineTo x="20054" y="19059"/>
              <wp:lineTo x="20054" y="0"/>
              <wp:lineTo x="0" y="0"/>
            </wp:wrapPolygon>
          </wp:wrapTight>
          <wp:docPr id="1328770679" name="Picture 25"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1A213EFD" w14:textId="77777777" w:rsidR="00F81FEB" w:rsidRDefault="00F81FE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E491" w14:textId="74C9F6C7" w:rsidR="00CA5A2D" w:rsidRDefault="00CA5A2D" w:rsidP="00CA5A2D">
    <w:pPr>
      <w:pStyle w:val="En-tte"/>
    </w:pPr>
  </w:p>
  <w:p w14:paraId="0CB379C9" w14:textId="75ED1E3F" w:rsidR="00C76803" w:rsidRDefault="00C76803" w:rsidP="000D0A18">
    <w:pPr>
      <w:pStyle w:val="En-tte"/>
      <w:tabs>
        <w:tab w:val="clear" w:pos="4536"/>
        <w:tab w:val="clear" w:pos="9072"/>
        <w:tab w:val="right" w:pos="7282"/>
      </w:tabs>
    </w:pPr>
    <w:r>
      <w:rPr>
        <w:noProof/>
        <w:bdr w:val="none" w:sz="0" w:space="0" w:color="auto" w:frame="1"/>
      </w:rPr>
      <w:drawing>
        <wp:anchor distT="0" distB="0" distL="114300" distR="114300" simplePos="0" relativeHeight="251696640" behindDoc="1" locked="0" layoutInCell="1" allowOverlap="1" wp14:anchorId="1578008B" wp14:editId="37B998FB">
          <wp:simplePos x="0" y="0"/>
          <wp:positionH relativeFrom="column">
            <wp:posOffset>4738370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880256586" name="Picture 365181580"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92544" behindDoc="1" locked="0" layoutInCell="1" allowOverlap="1" wp14:anchorId="662EAFC5" wp14:editId="281A098F">
          <wp:simplePos x="0" y="0"/>
          <wp:positionH relativeFrom="column">
            <wp:posOffset>5557520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1253392769" name="Picture 1840673165"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0A18">
      <w:tab/>
    </w:r>
  </w:p>
  <w:p w14:paraId="442A9C83" w14:textId="633D5874" w:rsidR="009C6DB1" w:rsidRDefault="00C76803" w:rsidP="009C6DB1">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88448" behindDoc="0" locked="0" layoutInCell="1" allowOverlap="1" wp14:anchorId="09ED897F" wp14:editId="78C078BE">
          <wp:simplePos x="0" y="0"/>
          <wp:positionH relativeFrom="column">
            <wp:posOffset>5132070</wp:posOffset>
          </wp:positionH>
          <wp:positionV relativeFrom="paragraph">
            <wp:posOffset>52070</wp:posOffset>
          </wp:positionV>
          <wp:extent cx="328295" cy="216525"/>
          <wp:effectExtent l="0" t="0" r="0" b="0"/>
          <wp:wrapNone/>
          <wp:docPr id="2014234037" name="Picture 645129203"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0170C7B0" w14:textId="1866D251" w:rsidR="009C6DB1" w:rsidRDefault="009C6DB1" w:rsidP="009C6DB1">
    <w:pPr>
      <w:pStyle w:val="En-tte"/>
    </w:pPr>
    <w:r>
      <w:rPr>
        <w:noProof/>
        <w:bdr w:val="none" w:sz="0" w:space="0" w:color="auto" w:frame="1"/>
      </w:rPr>
      <w:drawing>
        <wp:anchor distT="0" distB="0" distL="114300" distR="114300" simplePos="0" relativeHeight="251618816" behindDoc="1" locked="0" layoutInCell="1" allowOverlap="1" wp14:anchorId="0BAA5C33" wp14:editId="030D17B3">
          <wp:simplePos x="0" y="0"/>
          <wp:positionH relativeFrom="column">
            <wp:posOffset>8453120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161175031" name="Picture 924739830"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22912" behindDoc="1" locked="0" layoutInCell="1" allowOverlap="1" wp14:anchorId="5EA94EE7" wp14:editId="2852D49E">
          <wp:simplePos x="0" y="0"/>
          <wp:positionH relativeFrom="column">
            <wp:posOffset>7633970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1461143543" name="Picture 1233178041"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14720" behindDoc="0" locked="0" layoutInCell="1" allowOverlap="1" wp14:anchorId="0BDE2D21" wp14:editId="06872EF9">
          <wp:simplePos x="0" y="0"/>
          <wp:positionH relativeFrom="column">
            <wp:posOffset>8027670</wp:posOffset>
          </wp:positionH>
          <wp:positionV relativeFrom="paragraph">
            <wp:posOffset>140335</wp:posOffset>
          </wp:positionV>
          <wp:extent cx="328295" cy="216525"/>
          <wp:effectExtent l="0" t="0" r="0" b="0"/>
          <wp:wrapNone/>
          <wp:docPr id="1543868247" name="Picture 2093281261"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3E2E26D2" w14:textId="77777777" w:rsidR="00684E5E" w:rsidRDefault="00684E5E">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BDB7F" w14:textId="77777777" w:rsidR="00FB7BE6" w:rsidRDefault="00FB7BE6" w:rsidP="00E008C3">
    <w:pPr>
      <w:pStyle w:val="En-tte"/>
    </w:pPr>
  </w:p>
  <w:p w14:paraId="66906031" w14:textId="77777777" w:rsidR="00FB7BE6" w:rsidRDefault="00FB7BE6" w:rsidP="009C6DB1">
    <w:pPr>
      <w:pStyle w:val="En-tte"/>
    </w:pPr>
    <w:r>
      <w:rPr>
        <w:noProof/>
        <w:bdr w:val="none" w:sz="0" w:space="0" w:color="auto" w:frame="1"/>
      </w:rPr>
      <w:drawing>
        <wp:anchor distT="0" distB="0" distL="114300" distR="114300" simplePos="0" relativeHeight="251698688" behindDoc="1" locked="0" layoutInCell="1" allowOverlap="1" wp14:anchorId="228A9311" wp14:editId="3938AE25">
          <wp:simplePos x="0" y="0"/>
          <wp:positionH relativeFrom="column">
            <wp:posOffset>8453120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1317462714" name="Picture 192"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703808" behindDoc="1" locked="0" layoutInCell="1" allowOverlap="1" wp14:anchorId="4E7D9968" wp14:editId="43730E10">
          <wp:simplePos x="0" y="0"/>
          <wp:positionH relativeFrom="column">
            <wp:posOffset>7633970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730467829" name="Picture 193"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2">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97664" behindDoc="0" locked="0" layoutInCell="1" allowOverlap="1" wp14:anchorId="2FEF4924" wp14:editId="09D5AEF1">
          <wp:simplePos x="0" y="0"/>
          <wp:positionH relativeFrom="column">
            <wp:posOffset>8027670</wp:posOffset>
          </wp:positionH>
          <wp:positionV relativeFrom="paragraph">
            <wp:posOffset>140335</wp:posOffset>
          </wp:positionV>
          <wp:extent cx="328295" cy="216525"/>
          <wp:effectExtent l="0" t="0" r="0" b="0"/>
          <wp:wrapNone/>
          <wp:docPr id="1528103161" name="Picture 194"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4BC71576" w14:textId="77777777" w:rsidR="00FB7BE6" w:rsidRDefault="00FB7BE6">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DEBBA" w14:textId="77777777" w:rsidR="00E008C3" w:rsidRDefault="00E008C3" w:rsidP="00E008C3">
    <w:pPr>
      <w:pStyle w:val="En-tte"/>
    </w:pPr>
    <w:r>
      <w:rPr>
        <w:noProof/>
        <w:bdr w:val="none" w:sz="0" w:space="0" w:color="auto" w:frame="1"/>
      </w:rPr>
      <w:drawing>
        <wp:anchor distT="0" distB="0" distL="114300" distR="114300" simplePos="0" relativeHeight="251664896" behindDoc="1" locked="0" layoutInCell="1" allowOverlap="1" wp14:anchorId="757939F9" wp14:editId="46B1E969">
          <wp:simplePos x="0" y="0"/>
          <wp:positionH relativeFrom="column">
            <wp:posOffset>4738370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535324368" name="Picture 195"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57728" behindDoc="1" locked="0" layoutInCell="1" allowOverlap="1" wp14:anchorId="325446F9" wp14:editId="66339286">
          <wp:simplePos x="0" y="0"/>
          <wp:positionH relativeFrom="column">
            <wp:posOffset>5557520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1692593819" name="Picture 196"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B91CC1" w14:textId="77777777" w:rsidR="00E008C3" w:rsidRDefault="00E008C3" w:rsidP="009C6DB1">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39296" behindDoc="0" locked="0" layoutInCell="1" allowOverlap="1" wp14:anchorId="6389173D" wp14:editId="1D4D62F8">
          <wp:simplePos x="0" y="0"/>
          <wp:positionH relativeFrom="column">
            <wp:posOffset>5132070</wp:posOffset>
          </wp:positionH>
          <wp:positionV relativeFrom="paragraph">
            <wp:posOffset>52070</wp:posOffset>
          </wp:positionV>
          <wp:extent cx="328295" cy="216525"/>
          <wp:effectExtent l="0" t="0" r="0" b="0"/>
          <wp:wrapNone/>
          <wp:docPr id="389403850" name="Picture 197"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r>
      <w:rPr>
        <w:noProof/>
        <w:bdr w:val="none" w:sz="0" w:space="0" w:color="auto" w:frame="1"/>
      </w:rPr>
      <w:drawing>
        <wp:anchor distT="0" distB="0" distL="114300" distR="114300" simplePos="0" relativeHeight="251633152" behindDoc="1" locked="0" layoutInCell="1" allowOverlap="1" wp14:anchorId="3CDA7579" wp14:editId="23D97156">
          <wp:simplePos x="0" y="0"/>
          <wp:positionH relativeFrom="column">
            <wp:posOffset>8453120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881631034" name="Picture 198"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36224" behindDoc="1" locked="0" layoutInCell="1" allowOverlap="1" wp14:anchorId="67DDA391" wp14:editId="3CD8DBC6">
          <wp:simplePos x="0" y="0"/>
          <wp:positionH relativeFrom="column">
            <wp:posOffset>7633970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1400063083" name="Picture 199"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1">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30080" behindDoc="0" locked="0" layoutInCell="1" allowOverlap="1" wp14:anchorId="66741C8F" wp14:editId="0F788DCB">
          <wp:simplePos x="0" y="0"/>
          <wp:positionH relativeFrom="column">
            <wp:posOffset>8027670</wp:posOffset>
          </wp:positionH>
          <wp:positionV relativeFrom="paragraph">
            <wp:posOffset>140335</wp:posOffset>
          </wp:positionV>
          <wp:extent cx="328295" cy="216525"/>
          <wp:effectExtent l="0" t="0" r="0" b="0"/>
          <wp:wrapNone/>
          <wp:docPr id="819001292" name="Picture 200"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2090FE51" w14:textId="77777777" w:rsidR="00E008C3" w:rsidRDefault="00E008C3">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B668B" w14:textId="2DE9DF78" w:rsidR="009C6DB1" w:rsidRDefault="009C6DB1" w:rsidP="009C6DB1">
    <w:pPr>
      <w:pStyle w:val="En-tte"/>
    </w:pPr>
    <w:r>
      <w:rPr>
        <w:noProof/>
        <w:bdr w:val="none" w:sz="0" w:space="0" w:color="auto" w:frame="1"/>
      </w:rPr>
      <w:drawing>
        <wp:anchor distT="0" distB="0" distL="114300" distR="114300" simplePos="0" relativeHeight="251671040" behindDoc="1" locked="0" layoutInCell="1" allowOverlap="1" wp14:anchorId="220F5AD9" wp14:editId="04B0BDF9">
          <wp:simplePos x="0" y="0"/>
          <wp:positionH relativeFrom="column">
            <wp:posOffset>8503920</wp:posOffset>
          </wp:positionH>
          <wp:positionV relativeFrom="paragraph">
            <wp:posOffset>-81915</wp:posOffset>
          </wp:positionV>
          <wp:extent cx="381635" cy="461010"/>
          <wp:effectExtent l="0" t="0" r="0" b="0"/>
          <wp:wrapTight wrapText="bothSides">
            <wp:wrapPolygon edited="0">
              <wp:start x="0" y="0"/>
              <wp:lineTo x="0" y="20529"/>
              <wp:lineTo x="20486" y="20529"/>
              <wp:lineTo x="20486" y="0"/>
              <wp:lineTo x="0" y="0"/>
            </wp:wrapPolygon>
          </wp:wrapTight>
          <wp:docPr id="503146304" name="Picture 201"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75136" behindDoc="1" locked="0" layoutInCell="1" allowOverlap="1" wp14:anchorId="1F68BE88" wp14:editId="1E502BE5">
          <wp:simplePos x="0" y="0"/>
          <wp:positionH relativeFrom="column">
            <wp:posOffset>7684770</wp:posOffset>
          </wp:positionH>
          <wp:positionV relativeFrom="paragraph">
            <wp:posOffset>-164465</wp:posOffset>
          </wp:positionV>
          <wp:extent cx="266700" cy="541655"/>
          <wp:effectExtent l="0" t="0" r="0" b="0"/>
          <wp:wrapTight wrapText="bothSides">
            <wp:wrapPolygon edited="0">
              <wp:start x="0" y="0"/>
              <wp:lineTo x="0" y="20511"/>
              <wp:lineTo x="20057" y="20511"/>
              <wp:lineTo x="20057" y="0"/>
              <wp:lineTo x="0" y="0"/>
            </wp:wrapPolygon>
          </wp:wrapTight>
          <wp:docPr id="1231173915" name="Picture 202"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2">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r w:rsidRPr="00C345C4">
      <w:rPr>
        <w:rFonts w:ascii="Avenir Next LT Pro" w:eastAsiaTheme="minorHAnsi" w:hAnsi="Avenir Next LT Pro"/>
        <w:b/>
        <w:noProof/>
        <w:color w:val="0070C0"/>
        <w:sz w:val="32"/>
        <w:szCs w:val="32"/>
      </w:rPr>
      <w:drawing>
        <wp:anchor distT="0" distB="0" distL="114300" distR="114300" simplePos="0" relativeHeight="251627008" behindDoc="0" locked="0" layoutInCell="1" allowOverlap="1" wp14:anchorId="6E189F0B" wp14:editId="30337498">
          <wp:simplePos x="0" y="0"/>
          <wp:positionH relativeFrom="column">
            <wp:posOffset>8078470</wp:posOffset>
          </wp:positionH>
          <wp:positionV relativeFrom="paragraph">
            <wp:posOffset>140335</wp:posOffset>
          </wp:positionV>
          <wp:extent cx="328295" cy="216525"/>
          <wp:effectExtent l="0" t="0" r="0" b="0"/>
          <wp:wrapNone/>
          <wp:docPr id="1445441420" name="Picture 203"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6039AB2D" w14:textId="0B340B4E" w:rsidR="009C6DB1" w:rsidRDefault="009C6DB1" w:rsidP="009C6DB1">
    <w:pPr>
      <w:pStyle w:val="En-tte"/>
    </w:pPr>
  </w:p>
  <w:p w14:paraId="4DE3552D" w14:textId="77777777" w:rsidR="00684E5E" w:rsidRPr="009C6DB1" w:rsidRDefault="00684E5E" w:rsidP="009C6DB1">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43CA9" w14:textId="77777777" w:rsidR="00707B0E" w:rsidRDefault="00707B0E" w:rsidP="009C6DB1">
    <w:pPr>
      <w:pStyle w:val="En-tte"/>
    </w:pPr>
    <w:r>
      <w:rPr>
        <w:noProof/>
        <w:bdr w:val="none" w:sz="0" w:space="0" w:color="auto" w:frame="1"/>
      </w:rPr>
      <w:drawing>
        <wp:anchor distT="0" distB="0" distL="114300" distR="114300" simplePos="0" relativeHeight="251681280" behindDoc="1" locked="0" layoutInCell="1" allowOverlap="1" wp14:anchorId="107E5BC9" wp14:editId="5A93E038">
          <wp:simplePos x="0" y="0"/>
          <wp:positionH relativeFrom="column">
            <wp:posOffset>5379720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27415931" name="Picture 58298548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84352" behindDoc="1" locked="0" layoutInCell="1" allowOverlap="1" wp14:anchorId="760DB901" wp14:editId="077F5474">
          <wp:simplePos x="0" y="0"/>
          <wp:positionH relativeFrom="column">
            <wp:posOffset>4560570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803408754" name="Picture 1451120431"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2">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p>
  <w:p w14:paraId="2157F411" w14:textId="77777777" w:rsidR="00707B0E" w:rsidRDefault="00707B0E" w:rsidP="009C6DB1">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78208" behindDoc="0" locked="0" layoutInCell="1" allowOverlap="1" wp14:anchorId="3AD787A2" wp14:editId="797B331B">
          <wp:simplePos x="0" y="0"/>
          <wp:positionH relativeFrom="column">
            <wp:posOffset>4954270</wp:posOffset>
          </wp:positionH>
          <wp:positionV relativeFrom="paragraph">
            <wp:posOffset>52070</wp:posOffset>
          </wp:positionV>
          <wp:extent cx="328295" cy="216525"/>
          <wp:effectExtent l="0" t="0" r="0" b="0"/>
          <wp:wrapNone/>
          <wp:docPr id="1830766113" name="Picture 2086358141"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463AED64" w14:textId="77777777" w:rsidR="00707B0E" w:rsidRDefault="00707B0E">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9B67" w14:textId="10E528E3" w:rsidR="009C6DB1" w:rsidRDefault="00E008C3" w:rsidP="009C6DB1">
    <w:pPr>
      <w:pStyle w:val="En-tte"/>
    </w:pPr>
    <w:r>
      <w:rPr>
        <w:noProof/>
        <w:bdr w:val="none" w:sz="0" w:space="0" w:color="auto" w:frame="1"/>
      </w:rPr>
      <w:drawing>
        <wp:anchor distT="0" distB="0" distL="114300" distR="114300" simplePos="0" relativeHeight="251658265" behindDoc="1" locked="0" layoutInCell="1" allowOverlap="1" wp14:anchorId="5A84CA79" wp14:editId="46BB0E50">
          <wp:simplePos x="0" y="0"/>
          <wp:positionH relativeFrom="column">
            <wp:posOffset>5379720</wp:posOffset>
          </wp:positionH>
          <wp:positionV relativeFrom="paragraph">
            <wp:posOffset>635</wp:posOffset>
          </wp:positionV>
          <wp:extent cx="381635" cy="461010"/>
          <wp:effectExtent l="0" t="0" r="0" b="0"/>
          <wp:wrapTight wrapText="bothSides">
            <wp:wrapPolygon edited="0">
              <wp:start x="0" y="0"/>
              <wp:lineTo x="0" y="20529"/>
              <wp:lineTo x="20486" y="20529"/>
              <wp:lineTo x="20486" y="0"/>
              <wp:lineTo x="0" y="0"/>
            </wp:wrapPolygon>
          </wp:wrapTight>
          <wp:docPr id="204" name="Picture 204" descr="Logo FONAR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FONARE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635" cy="4610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bdr w:val="none" w:sz="0" w:space="0" w:color="auto" w:frame="1"/>
      </w:rPr>
      <w:drawing>
        <wp:anchor distT="0" distB="0" distL="114300" distR="114300" simplePos="0" relativeHeight="251658266" behindDoc="1" locked="0" layoutInCell="1" allowOverlap="1" wp14:anchorId="5D10FD1C" wp14:editId="56715CC9">
          <wp:simplePos x="0" y="0"/>
          <wp:positionH relativeFrom="column">
            <wp:posOffset>4560570</wp:posOffset>
          </wp:positionH>
          <wp:positionV relativeFrom="paragraph">
            <wp:posOffset>-81915</wp:posOffset>
          </wp:positionV>
          <wp:extent cx="266700" cy="541655"/>
          <wp:effectExtent l="0" t="0" r="0" b="0"/>
          <wp:wrapTight wrapText="bothSides">
            <wp:wrapPolygon edited="0">
              <wp:start x="0" y="0"/>
              <wp:lineTo x="0" y="20511"/>
              <wp:lineTo x="20057" y="20511"/>
              <wp:lineTo x="20057" y="0"/>
              <wp:lineTo x="0" y="0"/>
            </wp:wrapPolygon>
          </wp:wrapTight>
          <wp:docPr id="205" name="Picture 205" descr="CAF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AFI Logo"/>
                  <pic:cNvPicPr/>
                </pic:nvPicPr>
                <pic:blipFill>
                  <a:blip r:embed="rId2">
                    <a:extLst>
                      <a:ext uri="{28A0092B-C50C-407E-A947-70E740481C1C}">
                        <a14:useLocalDpi xmlns:a14="http://schemas.microsoft.com/office/drawing/2010/main" val="0"/>
                      </a:ext>
                    </a:extLst>
                  </a:blip>
                  <a:stretch>
                    <a:fillRect/>
                  </a:stretch>
                </pic:blipFill>
                <pic:spPr>
                  <a:xfrm>
                    <a:off x="0" y="0"/>
                    <a:ext cx="266700" cy="541655"/>
                  </a:xfrm>
                  <a:prstGeom prst="rect">
                    <a:avLst/>
                  </a:prstGeom>
                </pic:spPr>
              </pic:pic>
            </a:graphicData>
          </a:graphic>
          <wp14:sizeRelH relativeFrom="margin">
            <wp14:pctWidth>0</wp14:pctWidth>
          </wp14:sizeRelH>
          <wp14:sizeRelV relativeFrom="margin">
            <wp14:pctHeight>0</wp14:pctHeight>
          </wp14:sizeRelV>
        </wp:anchor>
      </w:drawing>
    </w:r>
  </w:p>
  <w:p w14:paraId="137A7CC3" w14:textId="77777777" w:rsidR="009C6DB1" w:rsidRDefault="009C6DB1" w:rsidP="009C6DB1">
    <w:pPr>
      <w:pStyle w:val="En-tte"/>
    </w:pPr>
    <w:r w:rsidRPr="00C345C4">
      <w:rPr>
        <w:rFonts w:ascii="Avenir Next LT Pro" w:eastAsiaTheme="minorHAnsi" w:hAnsi="Avenir Next LT Pro"/>
        <w:b/>
        <w:noProof/>
        <w:color w:val="0070C0"/>
        <w:sz w:val="32"/>
        <w:szCs w:val="32"/>
      </w:rPr>
      <w:drawing>
        <wp:anchor distT="0" distB="0" distL="114300" distR="114300" simplePos="0" relativeHeight="251658264" behindDoc="0" locked="0" layoutInCell="1" allowOverlap="1" wp14:anchorId="61F05750" wp14:editId="12A60E22">
          <wp:simplePos x="0" y="0"/>
          <wp:positionH relativeFrom="column">
            <wp:posOffset>4954270</wp:posOffset>
          </wp:positionH>
          <wp:positionV relativeFrom="paragraph">
            <wp:posOffset>52070</wp:posOffset>
          </wp:positionV>
          <wp:extent cx="328295" cy="216525"/>
          <wp:effectExtent l="0" t="0" r="0" b="0"/>
          <wp:wrapNone/>
          <wp:docPr id="206" name="Picture 206" descr="R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RDC.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28295" cy="216525"/>
                  </a:xfrm>
                  <a:prstGeom prst="rect">
                    <a:avLst/>
                  </a:prstGeom>
                  <a:noFill/>
                </pic:spPr>
              </pic:pic>
            </a:graphicData>
          </a:graphic>
          <wp14:sizeRelH relativeFrom="page">
            <wp14:pctWidth>0</wp14:pctWidth>
          </wp14:sizeRelH>
          <wp14:sizeRelV relativeFrom="page">
            <wp14:pctHeight>0</wp14:pctHeight>
          </wp14:sizeRelV>
        </wp:anchor>
      </w:drawing>
    </w:r>
  </w:p>
  <w:p w14:paraId="7803D83B" w14:textId="77777777" w:rsidR="00EE47E3" w:rsidRDefault="00EE47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4"/>
    <w:lvl w:ilvl="0">
      <w:start w:val="1"/>
      <w:numFmt w:val="bullet"/>
      <w:lvlText w:val="-"/>
      <w:lvlJc w:val="left"/>
      <w:pPr>
        <w:ind w:left="0" w:firstLine="0"/>
      </w:pPr>
      <w:rPr>
        <w:rFonts w:ascii="Times New Roman" w:hAnsi="Times New Roman"/>
        <w:b w:val="0"/>
        <w:i/>
        <w:smallCaps w:val="0"/>
        <w:strike w:val="0"/>
        <w:dstrike w:val="0"/>
        <w:color w:val="000000"/>
        <w:spacing w:val="0"/>
        <w:w w:val="100"/>
        <w:position w:val="0"/>
        <w:sz w:val="23"/>
        <w:u w:val="none"/>
        <w:effect w:val="none"/>
      </w:rPr>
    </w:lvl>
    <w:lvl w:ilvl="1">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2">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3">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4">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5">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6">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7">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8">
      <w:start w:val="8"/>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abstractNum>
  <w:abstractNum w:abstractNumId="1"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143578"/>
    <w:multiLevelType w:val="hybridMultilevel"/>
    <w:tmpl w:val="E75C534C"/>
    <w:lvl w:ilvl="0" w:tplc="DDF8FCA8">
      <w:numFmt w:val="bullet"/>
      <w:lvlText w:val="-"/>
      <w:lvlJc w:val="left"/>
      <w:pPr>
        <w:ind w:left="36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0148F7"/>
    <w:multiLevelType w:val="hybridMultilevel"/>
    <w:tmpl w:val="A61E57A8"/>
    <w:lvl w:ilvl="0" w:tplc="240C0001">
      <w:start w:val="1"/>
      <w:numFmt w:val="bullet"/>
      <w:lvlText w:val=""/>
      <w:lvlJc w:val="left"/>
      <w:pPr>
        <w:ind w:left="720" w:hanging="360"/>
      </w:pPr>
      <w:rPr>
        <w:rFonts w:ascii="Symbol" w:hAnsi="Symbol" w:hint="default"/>
      </w:rPr>
    </w:lvl>
    <w:lvl w:ilvl="1" w:tplc="240C0003">
      <w:start w:val="1"/>
      <w:numFmt w:val="bullet"/>
      <w:lvlText w:val="o"/>
      <w:lvlJc w:val="left"/>
      <w:pPr>
        <w:ind w:left="1440" w:hanging="360"/>
      </w:pPr>
      <w:rPr>
        <w:rFonts w:ascii="Courier New" w:hAnsi="Courier New" w:cs="Courier New" w:hint="default"/>
      </w:rPr>
    </w:lvl>
    <w:lvl w:ilvl="2" w:tplc="240C0005">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4" w15:restartNumberingAfterBreak="0">
    <w:nsid w:val="067F63EC"/>
    <w:multiLevelType w:val="multilevel"/>
    <w:tmpl w:val="46906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50599E"/>
    <w:multiLevelType w:val="hybridMultilevel"/>
    <w:tmpl w:val="A8962B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F62509E"/>
    <w:multiLevelType w:val="hybridMultilevel"/>
    <w:tmpl w:val="9EB03C10"/>
    <w:lvl w:ilvl="0" w:tplc="040C0001">
      <w:start w:val="1"/>
      <w:numFmt w:val="bullet"/>
      <w:lvlText w:val=""/>
      <w:lvlJc w:val="left"/>
      <w:pPr>
        <w:ind w:left="775" w:hanging="360"/>
      </w:pPr>
      <w:rPr>
        <w:rFonts w:ascii="Symbol" w:hAnsi="Symbol" w:hint="default"/>
      </w:rPr>
    </w:lvl>
    <w:lvl w:ilvl="1" w:tplc="040C0003" w:tentative="1">
      <w:start w:val="1"/>
      <w:numFmt w:val="bullet"/>
      <w:lvlText w:val="o"/>
      <w:lvlJc w:val="left"/>
      <w:pPr>
        <w:ind w:left="1495" w:hanging="360"/>
      </w:pPr>
      <w:rPr>
        <w:rFonts w:ascii="Courier New" w:hAnsi="Courier New" w:cs="Courier New" w:hint="default"/>
      </w:rPr>
    </w:lvl>
    <w:lvl w:ilvl="2" w:tplc="040C0005" w:tentative="1">
      <w:start w:val="1"/>
      <w:numFmt w:val="bullet"/>
      <w:lvlText w:val=""/>
      <w:lvlJc w:val="left"/>
      <w:pPr>
        <w:ind w:left="2215" w:hanging="360"/>
      </w:pPr>
      <w:rPr>
        <w:rFonts w:ascii="Wingdings" w:hAnsi="Wingdings" w:hint="default"/>
      </w:rPr>
    </w:lvl>
    <w:lvl w:ilvl="3" w:tplc="040C0001" w:tentative="1">
      <w:start w:val="1"/>
      <w:numFmt w:val="bullet"/>
      <w:lvlText w:val=""/>
      <w:lvlJc w:val="left"/>
      <w:pPr>
        <w:ind w:left="2935" w:hanging="360"/>
      </w:pPr>
      <w:rPr>
        <w:rFonts w:ascii="Symbol" w:hAnsi="Symbol" w:hint="default"/>
      </w:rPr>
    </w:lvl>
    <w:lvl w:ilvl="4" w:tplc="040C0003" w:tentative="1">
      <w:start w:val="1"/>
      <w:numFmt w:val="bullet"/>
      <w:lvlText w:val="o"/>
      <w:lvlJc w:val="left"/>
      <w:pPr>
        <w:ind w:left="3655" w:hanging="360"/>
      </w:pPr>
      <w:rPr>
        <w:rFonts w:ascii="Courier New" w:hAnsi="Courier New" w:cs="Courier New" w:hint="default"/>
      </w:rPr>
    </w:lvl>
    <w:lvl w:ilvl="5" w:tplc="040C0005" w:tentative="1">
      <w:start w:val="1"/>
      <w:numFmt w:val="bullet"/>
      <w:lvlText w:val=""/>
      <w:lvlJc w:val="left"/>
      <w:pPr>
        <w:ind w:left="4375" w:hanging="360"/>
      </w:pPr>
      <w:rPr>
        <w:rFonts w:ascii="Wingdings" w:hAnsi="Wingdings" w:hint="default"/>
      </w:rPr>
    </w:lvl>
    <w:lvl w:ilvl="6" w:tplc="040C0001" w:tentative="1">
      <w:start w:val="1"/>
      <w:numFmt w:val="bullet"/>
      <w:lvlText w:val=""/>
      <w:lvlJc w:val="left"/>
      <w:pPr>
        <w:ind w:left="5095" w:hanging="360"/>
      </w:pPr>
      <w:rPr>
        <w:rFonts w:ascii="Symbol" w:hAnsi="Symbol" w:hint="default"/>
      </w:rPr>
    </w:lvl>
    <w:lvl w:ilvl="7" w:tplc="040C0003" w:tentative="1">
      <w:start w:val="1"/>
      <w:numFmt w:val="bullet"/>
      <w:lvlText w:val="o"/>
      <w:lvlJc w:val="left"/>
      <w:pPr>
        <w:ind w:left="5815" w:hanging="360"/>
      </w:pPr>
      <w:rPr>
        <w:rFonts w:ascii="Courier New" w:hAnsi="Courier New" w:cs="Courier New" w:hint="default"/>
      </w:rPr>
    </w:lvl>
    <w:lvl w:ilvl="8" w:tplc="040C0005" w:tentative="1">
      <w:start w:val="1"/>
      <w:numFmt w:val="bullet"/>
      <w:lvlText w:val=""/>
      <w:lvlJc w:val="left"/>
      <w:pPr>
        <w:ind w:left="6535" w:hanging="360"/>
      </w:pPr>
      <w:rPr>
        <w:rFonts w:ascii="Wingdings" w:hAnsi="Wingdings" w:hint="default"/>
      </w:rPr>
    </w:lvl>
  </w:abstractNum>
  <w:abstractNum w:abstractNumId="8" w15:restartNumberingAfterBreak="0">
    <w:nsid w:val="0FBC5039"/>
    <w:multiLevelType w:val="hybridMultilevel"/>
    <w:tmpl w:val="DE6EE4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19E1A44"/>
    <w:multiLevelType w:val="hybridMultilevel"/>
    <w:tmpl w:val="D092290E"/>
    <w:lvl w:ilvl="0" w:tplc="240C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7D0AC2"/>
    <w:multiLevelType w:val="multilevel"/>
    <w:tmpl w:val="DA7A1F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143611B6"/>
    <w:multiLevelType w:val="hybridMultilevel"/>
    <w:tmpl w:val="D74E6B9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87C0F2C"/>
    <w:multiLevelType w:val="hybridMultilevel"/>
    <w:tmpl w:val="799E0528"/>
    <w:lvl w:ilvl="0" w:tplc="240C0001">
      <w:start w:val="1"/>
      <w:numFmt w:val="bullet"/>
      <w:lvlText w:val=""/>
      <w:lvlJc w:val="left"/>
      <w:pPr>
        <w:ind w:left="1068" w:hanging="360"/>
      </w:pPr>
      <w:rPr>
        <w:rFonts w:ascii="Symbol" w:hAnsi="Symbol" w:hint="default"/>
      </w:rPr>
    </w:lvl>
    <w:lvl w:ilvl="1" w:tplc="240C0003">
      <w:start w:val="1"/>
      <w:numFmt w:val="bullet"/>
      <w:lvlText w:val="o"/>
      <w:lvlJc w:val="left"/>
      <w:pPr>
        <w:ind w:left="1788" w:hanging="360"/>
      </w:pPr>
      <w:rPr>
        <w:rFonts w:ascii="Courier New" w:hAnsi="Courier New" w:cs="Courier New" w:hint="default"/>
      </w:rPr>
    </w:lvl>
    <w:lvl w:ilvl="2" w:tplc="240C0005">
      <w:start w:val="1"/>
      <w:numFmt w:val="bullet"/>
      <w:lvlText w:val=""/>
      <w:lvlJc w:val="left"/>
      <w:pPr>
        <w:ind w:left="2508" w:hanging="360"/>
      </w:pPr>
      <w:rPr>
        <w:rFonts w:ascii="Wingdings" w:hAnsi="Wingdings" w:hint="default"/>
      </w:rPr>
    </w:lvl>
    <w:lvl w:ilvl="3" w:tplc="240C0001">
      <w:start w:val="1"/>
      <w:numFmt w:val="bullet"/>
      <w:lvlText w:val=""/>
      <w:lvlJc w:val="left"/>
      <w:pPr>
        <w:ind w:left="3228" w:hanging="360"/>
      </w:pPr>
      <w:rPr>
        <w:rFonts w:ascii="Symbol" w:hAnsi="Symbol" w:hint="default"/>
      </w:rPr>
    </w:lvl>
    <w:lvl w:ilvl="4" w:tplc="240C0003">
      <w:start w:val="1"/>
      <w:numFmt w:val="bullet"/>
      <w:lvlText w:val="o"/>
      <w:lvlJc w:val="left"/>
      <w:pPr>
        <w:ind w:left="3948" w:hanging="360"/>
      </w:pPr>
      <w:rPr>
        <w:rFonts w:ascii="Courier New" w:hAnsi="Courier New" w:cs="Courier New" w:hint="default"/>
      </w:rPr>
    </w:lvl>
    <w:lvl w:ilvl="5" w:tplc="240C0005">
      <w:start w:val="1"/>
      <w:numFmt w:val="bullet"/>
      <w:lvlText w:val=""/>
      <w:lvlJc w:val="left"/>
      <w:pPr>
        <w:ind w:left="4668" w:hanging="360"/>
      </w:pPr>
      <w:rPr>
        <w:rFonts w:ascii="Wingdings" w:hAnsi="Wingdings" w:hint="default"/>
      </w:rPr>
    </w:lvl>
    <w:lvl w:ilvl="6" w:tplc="240C0001">
      <w:start w:val="1"/>
      <w:numFmt w:val="bullet"/>
      <w:lvlText w:val=""/>
      <w:lvlJc w:val="left"/>
      <w:pPr>
        <w:ind w:left="5388" w:hanging="360"/>
      </w:pPr>
      <w:rPr>
        <w:rFonts w:ascii="Symbol" w:hAnsi="Symbol" w:hint="default"/>
      </w:rPr>
    </w:lvl>
    <w:lvl w:ilvl="7" w:tplc="240C0003">
      <w:start w:val="1"/>
      <w:numFmt w:val="bullet"/>
      <w:lvlText w:val="o"/>
      <w:lvlJc w:val="left"/>
      <w:pPr>
        <w:ind w:left="6108" w:hanging="360"/>
      </w:pPr>
      <w:rPr>
        <w:rFonts w:ascii="Courier New" w:hAnsi="Courier New" w:cs="Courier New" w:hint="default"/>
      </w:rPr>
    </w:lvl>
    <w:lvl w:ilvl="8" w:tplc="240C0005">
      <w:start w:val="1"/>
      <w:numFmt w:val="bullet"/>
      <w:lvlText w:val=""/>
      <w:lvlJc w:val="left"/>
      <w:pPr>
        <w:ind w:left="6828" w:hanging="360"/>
      </w:pPr>
      <w:rPr>
        <w:rFonts w:ascii="Wingdings" w:hAnsi="Wingdings" w:hint="default"/>
      </w:rPr>
    </w:lvl>
  </w:abstractNum>
  <w:abstractNum w:abstractNumId="14" w15:restartNumberingAfterBreak="0">
    <w:nsid w:val="19837EB1"/>
    <w:multiLevelType w:val="hybridMultilevel"/>
    <w:tmpl w:val="49049DFE"/>
    <w:lvl w:ilvl="0" w:tplc="08090019">
      <w:start w:val="1"/>
      <w:numFmt w:val="lowerLetter"/>
      <w:lvlText w:val="%1."/>
      <w:lvlJc w:val="left"/>
      <w:pPr>
        <w:ind w:left="1156" w:hanging="360"/>
      </w:pPr>
      <w:rPr>
        <w:rFonts w:hint="default"/>
      </w:rPr>
    </w:lvl>
    <w:lvl w:ilvl="1" w:tplc="100C0019" w:tentative="1">
      <w:start w:val="1"/>
      <w:numFmt w:val="lowerLetter"/>
      <w:lvlText w:val="%2."/>
      <w:lvlJc w:val="left"/>
      <w:pPr>
        <w:ind w:left="1876" w:hanging="360"/>
      </w:pPr>
    </w:lvl>
    <w:lvl w:ilvl="2" w:tplc="100C001B" w:tentative="1">
      <w:start w:val="1"/>
      <w:numFmt w:val="lowerRoman"/>
      <w:lvlText w:val="%3."/>
      <w:lvlJc w:val="right"/>
      <w:pPr>
        <w:ind w:left="2596" w:hanging="180"/>
      </w:pPr>
    </w:lvl>
    <w:lvl w:ilvl="3" w:tplc="100C000F" w:tentative="1">
      <w:start w:val="1"/>
      <w:numFmt w:val="decimal"/>
      <w:lvlText w:val="%4."/>
      <w:lvlJc w:val="left"/>
      <w:pPr>
        <w:ind w:left="3316" w:hanging="360"/>
      </w:pPr>
    </w:lvl>
    <w:lvl w:ilvl="4" w:tplc="100C0019" w:tentative="1">
      <w:start w:val="1"/>
      <w:numFmt w:val="lowerLetter"/>
      <w:lvlText w:val="%5."/>
      <w:lvlJc w:val="left"/>
      <w:pPr>
        <w:ind w:left="4036" w:hanging="360"/>
      </w:pPr>
    </w:lvl>
    <w:lvl w:ilvl="5" w:tplc="100C001B" w:tentative="1">
      <w:start w:val="1"/>
      <w:numFmt w:val="lowerRoman"/>
      <w:lvlText w:val="%6."/>
      <w:lvlJc w:val="right"/>
      <w:pPr>
        <w:ind w:left="4756" w:hanging="180"/>
      </w:pPr>
    </w:lvl>
    <w:lvl w:ilvl="6" w:tplc="100C000F" w:tentative="1">
      <w:start w:val="1"/>
      <w:numFmt w:val="decimal"/>
      <w:lvlText w:val="%7."/>
      <w:lvlJc w:val="left"/>
      <w:pPr>
        <w:ind w:left="5476" w:hanging="360"/>
      </w:pPr>
    </w:lvl>
    <w:lvl w:ilvl="7" w:tplc="100C0019" w:tentative="1">
      <w:start w:val="1"/>
      <w:numFmt w:val="lowerLetter"/>
      <w:lvlText w:val="%8."/>
      <w:lvlJc w:val="left"/>
      <w:pPr>
        <w:ind w:left="6196" w:hanging="360"/>
      </w:pPr>
    </w:lvl>
    <w:lvl w:ilvl="8" w:tplc="100C001B" w:tentative="1">
      <w:start w:val="1"/>
      <w:numFmt w:val="lowerRoman"/>
      <w:lvlText w:val="%9."/>
      <w:lvlJc w:val="right"/>
      <w:pPr>
        <w:ind w:left="6916" w:hanging="180"/>
      </w:pPr>
    </w:lvl>
  </w:abstractNum>
  <w:abstractNum w:abstractNumId="15" w15:restartNumberingAfterBreak="0">
    <w:nsid w:val="1BF00F77"/>
    <w:multiLevelType w:val="multilevel"/>
    <w:tmpl w:val="FE34B4E4"/>
    <w:lvl w:ilvl="0">
      <w:start w:val="2"/>
      <w:numFmt w:val="decimal"/>
      <w:lvlText w:val="%1."/>
      <w:lvlJc w:val="left"/>
      <w:pPr>
        <w:ind w:left="360" w:hanging="360"/>
      </w:pPr>
      <w:rPr>
        <w:rFonts w:asciiTheme="minorHAnsi" w:eastAsia="Times New Roman" w:hAnsiTheme="minorHAnsi" w:cstheme="minorHAnsi" w:hint="default"/>
      </w:rPr>
    </w:lvl>
    <w:lvl w:ilvl="1">
      <w:start w:val="1"/>
      <w:numFmt w:val="decimal"/>
      <w:lvlText w:val="%1.%2."/>
      <w:lvlJc w:val="left"/>
      <w:pPr>
        <w:ind w:left="360" w:hanging="360"/>
      </w:pPr>
      <w:rPr>
        <w:rFonts w:asciiTheme="minorHAnsi" w:eastAsia="Times New Roman" w:hAnsiTheme="minorHAnsi" w:cstheme="minorHAnsi" w:hint="default"/>
      </w:rPr>
    </w:lvl>
    <w:lvl w:ilvl="2">
      <w:start w:val="1"/>
      <w:numFmt w:val="decimal"/>
      <w:lvlText w:val="%1.%2.%3."/>
      <w:lvlJc w:val="left"/>
      <w:pPr>
        <w:ind w:left="720" w:hanging="720"/>
      </w:pPr>
      <w:rPr>
        <w:rFonts w:asciiTheme="minorHAnsi" w:eastAsia="Times New Roman" w:hAnsiTheme="minorHAnsi" w:cstheme="minorHAnsi" w:hint="default"/>
      </w:rPr>
    </w:lvl>
    <w:lvl w:ilvl="3">
      <w:start w:val="1"/>
      <w:numFmt w:val="decimal"/>
      <w:lvlText w:val="%1.%2.%3.%4."/>
      <w:lvlJc w:val="left"/>
      <w:pPr>
        <w:ind w:left="720" w:hanging="720"/>
      </w:pPr>
      <w:rPr>
        <w:rFonts w:asciiTheme="minorHAnsi" w:eastAsia="Times New Roman" w:hAnsiTheme="minorHAnsi" w:cstheme="minorHAnsi" w:hint="default"/>
      </w:rPr>
    </w:lvl>
    <w:lvl w:ilvl="4">
      <w:start w:val="1"/>
      <w:numFmt w:val="decimal"/>
      <w:lvlText w:val="%1.%2.%3.%4.%5."/>
      <w:lvlJc w:val="left"/>
      <w:pPr>
        <w:ind w:left="720" w:hanging="720"/>
      </w:pPr>
      <w:rPr>
        <w:rFonts w:asciiTheme="minorHAnsi" w:eastAsia="Times New Roman" w:hAnsiTheme="minorHAnsi" w:cstheme="minorHAnsi" w:hint="default"/>
      </w:rPr>
    </w:lvl>
    <w:lvl w:ilvl="5">
      <w:start w:val="1"/>
      <w:numFmt w:val="decimal"/>
      <w:lvlText w:val="%1.%2.%3.%4.%5.%6."/>
      <w:lvlJc w:val="left"/>
      <w:pPr>
        <w:ind w:left="1080" w:hanging="1080"/>
      </w:pPr>
      <w:rPr>
        <w:rFonts w:asciiTheme="minorHAnsi" w:eastAsia="Times New Roman" w:hAnsiTheme="minorHAnsi" w:cstheme="minorHAnsi" w:hint="default"/>
      </w:rPr>
    </w:lvl>
    <w:lvl w:ilvl="6">
      <w:start w:val="1"/>
      <w:numFmt w:val="decimal"/>
      <w:lvlText w:val="%1.%2.%3.%4.%5.%6.%7."/>
      <w:lvlJc w:val="left"/>
      <w:pPr>
        <w:ind w:left="1080" w:hanging="1080"/>
      </w:pPr>
      <w:rPr>
        <w:rFonts w:asciiTheme="minorHAnsi" w:eastAsia="Times New Roman" w:hAnsiTheme="minorHAnsi" w:cstheme="minorHAnsi" w:hint="default"/>
      </w:rPr>
    </w:lvl>
    <w:lvl w:ilvl="7">
      <w:start w:val="1"/>
      <w:numFmt w:val="decimal"/>
      <w:lvlText w:val="%1.%2.%3.%4.%5.%6.%7.%8."/>
      <w:lvlJc w:val="left"/>
      <w:pPr>
        <w:ind w:left="1080" w:hanging="1080"/>
      </w:pPr>
      <w:rPr>
        <w:rFonts w:asciiTheme="minorHAnsi" w:eastAsia="Times New Roman" w:hAnsiTheme="minorHAnsi" w:cstheme="minorHAnsi" w:hint="default"/>
      </w:rPr>
    </w:lvl>
    <w:lvl w:ilvl="8">
      <w:start w:val="1"/>
      <w:numFmt w:val="decimal"/>
      <w:lvlText w:val="%1.%2.%3.%4.%5.%6.%7.%8.%9."/>
      <w:lvlJc w:val="left"/>
      <w:pPr>
        <w:ind w:left="1440" w:hanging="1440"/>
      </w:pPr>
      <w:rPr>
        <w:rFonts w:asciiTheme="minorHAnsi" w:eastAsia="Times New Roman" w:hAnsiTheme="minorHAnsi" w:cstheme="minorHAnsi" w:hint="default"/>
      </w:rPr>
    </w:lvl>
  </w:abstractNum>
  <w:abstractNum w:abstractNumId="16" w15:restartNumberingAfterBreak="0">
    <w:nsid w:val="1E8B0266"/>
    <w:multiLevelType w:val="multilevel"/>
    <w:tmpl w:val="41A02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72C9D"/>
    <w:multiLevelType w:val="hybridMultilevel"/>
    <w:tmpl w:val="5E52E8A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8" w15:restartNumberingAfterBreak="0">
    <w:nsid w:val="209A792F"/>
    <w:multiLevelType w:val="hybridMultilevel"/>
    <w:tmpl w:val="9F842A30"/>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222D5172"/>
    <w:multiLevelType w:val="hybridMultilevel"/>
    <w:tmpl w:val="971A51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2B359D8"/>
    <w:multiLevelType w:val="multilevel"/>
    <w:tmpl w:val="E35E4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92495C"/>
    <w:multiLevelType w:val="multilevel"/>
    <w:tmpl w:val="3496B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967881"/>
    <w:multiLevelType w:val="hybridMultilevel"/>
    <w:tmpl w:val="6AC8E7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4823964"/>
    <w:multiLevelType w:val="hybridMultilevel"/>
    <w:tmpl w:val="DB9451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86329E3"/>
    <w:multiLevelType w:val="hybridMultilevel"/>
    <w:tmpl w:val="5BE2756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28795761"/>
    <w:multiLevelType w:val="hybridMultilevel"/>
    <w:tmpl w:val="B8EA97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9E275ED"/>
    <w:multiLevelType w:val="hybridMultilevel"/>
    <w:tmpl w:val="510E12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A263789"/>
    <w:multiLevelType w:val="hybridMultilevel"/>
    <w:tmpl w:val="9BF2FD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CEC263E"/>
    <w:multiLevelType w:val="multilevel"/>
    <w:tmpl w:val="9EA0DC46"/>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720" w:hanging="72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080" w:hanging="1080"/>
      </w:pPr>
      <w:rPr>
        <w:rFonts w:eastAsia="Calibri" w:hint="default"/>
      </w:rPr>
    </w:lvl>
    <w:lvl w:ilvl="7">
      <w:start w:val="1"/>
      <w:numFmt w:val="decimal"/>
      <w:lvlText w:val="%1.%2.%3.%4.%5.%6.%7.%8."/>
      <w:lvlJc w:val="left"/>
      <w:pPr>
        <w:ind w:left="1080" w:hanging="1080"/>
      </w:pPr>
      <w:rPr>
        <w:rFonts w:eastAsia="Calibri" w:hint="default"/>
      </w:rPr>
    </w:lvl>
    <w:lvl w:ilvl="8">
      <w:start w:val="1"/>
      <w:numFmt w:val="decimal"/>
      <w:lvlText w:val="%1.%2.%3.%4.%5.%6.%7.%8.%9."/>
      <w:lvlJc w:val="left"/>
      <w:pPr>
        <w:ind w:left="1440" w:hanging="1440"/>
      </w:pPr>
      <w:rPr>
        <w:rFonts w:eastAsia="Calibri" w:hint="default"/>
      </w:rPr>
    </w:lvl>
  </w:abstractNum>
  <w:abstractNum w:abstractNumId="29" w15:restartNumberingAfterBreak="0">
    <w:nsid w:val="306E3801"/>
    <w:multiLevelType w:val="hybridMultilevel"/>
    <w:tmpl w:val="80A26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2A40183"/>
    <w:multiLevelType w:val="hybridMultilevel"/>
    <w:tmpl w:val="D652B862"/>
    <w:lvl w:ilvl="0" w:tplc="A2FAF51C">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3B853BF"/>
    <w:multiLevelType w:val="multilevel"/>
    <w:tmpl w:val="133A1696"/>
    <w:lvl w:ilvl="0">
      <w:start w:val="1"/>
      <w:numFmt w:val="decimal"/>
      <w:pStyle w:val="Titre1"/>
      <w:lvlText w:val="%1)"/>
      <w:lvlJc w:val="left"/>
      <w:pPr>
        <w:ind w:left="360" w:hanging="360"/>
      </w:pPr>
    </w:lvl>
    <w:lvl w:ilvl="1">
      <w:start w:val="1"/>
      <w:numFmt w:val="lowerLetter"/>
      <w:pStyle w:val="Titre2"/>
      <w:lvlText w:val="%2)"/>
      <w:lvlJc w:val="left"/>
      <w:pPr>
        <w:ind w:left="644"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42A6EF2"/>
    <w:multiLevelType w:val="hybridMultilevel"/>
    <w:tmpl w:val="D4160C3A"/>
    <w:lvl w:ilvl="0" w:tplc="891454A2">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A6162F1"/>
    <w:multiLevelType w:val="hybridMultilevel"/>
    <w:tmpl w:val="25A21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BDA6406"/>
    <w:multiLevelType w:val="hybridMultilevel"/>
    <w:tmpl w:val="2936868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5" w15:restartNumberingAfterBreak="0">
    <w:nsid w:val="3FC52CEB"/>
    <w:multiLevelType w:val="hybridMultilevel"/>
    <w:tmpl w:val="4086C82A"/>
    <w:lvl w:ilvl="0" w:tplc="04090001">
      <w:start w:val="1"/>
      <w:numFmt w:val="bullet"/>
      <w:lvlText w:val=""/>
      <w:lvlJc w:val="left"/>
      <w:pPr>
        <w:ind w:left="360" w:hanging="360"/>
      </w:pPr>
      <w:rPr>
        <w:rFonts w:ascii="Symbol" w:hAnsi="Symbol" w:hint="default"/>
      </w:rPr>
    </w:lvl>
    <w:lvl w:ilvl="1" w:tplc="A3B03D7C">
      <w:start w:val="1"/>
      <w:numFmt w:val="bullet"/>
      <w:lvlText w:val="•"/>
      <w:lvlJc w:val="left"/>
      <w:pPr>
        <w:ind w:left="1425" w:hanging="705"/>
      </w:pPr>
      <w:rPr>
        <w:rFonts w:ascii="Calibri" w:eastAsia="Calibri"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0A2557F"/>
    <w:multiLevelType w:val="hybridMultilevel"/>
    <w:tmpl w:val="994A31E6"/>
    <w:lvl w:ilvl="0" w:tplc="7884D49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40E26AB4"/>
    <w:multiLevelType w:val="hybridMultilevel"/>
    <w:tmpl w:val="AB623F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A4B62E9"/>
    <w:multiLevelType w:val="hybridMultilevel"/>
    <w:tmpl w:val="A70ABF50"/>
    <w:lvl w:ilvl="0" w:tplc="240C0001">
      <w:start w:val="1"/>
      <w:numFmt w:val="bullet"/>
      <w:lvlText w:val=""/>
      <w:lvlJc w:val="left"/>
      <w:pPr>
        <w:ind w:left="862" w:hanging="360"/>
      </w:pPr>
      <w:rPr>
        <w:rFonts w:ascii="Symbol" w:hAnsi="Symbol" w:hint="default"/>
      </w:rPr>
    </w:lvl>
    <w:lvl w:ilvl="1" w:tplc="240C0003" w:tentative="1">
      <w:start w:val="1"/>
      <w:numFmt w:val="bullet"/>
      <w:lvlText w:val="o"/>
      <w:lvlJc w:val="left"/>
      <w:pPr>
        <w:ind w:left="1582" w:hanging="360"/>
      </w:pPr>
      <w:rPr>
        <w:rFonts w:ascii="Courier New" w:hAnsi="Courier New" w:cs="Courier New" w:hint="default"/>
      </w:rPr>
    </w:lvl>
    <w:lvl w:ilvl="2" w:tplc="240C0005" w:tentative="1">
      <w:start w:val="1"/>
      <w:numFmt w:val="bullet"/>
      <w:lvlText w:val=""/>
      <w:lvlJc w:val="left"/>
      <w:pPr>
        <w:ind w:left="2302" w:hanging="360"/>
      </w:pPr>
      <w:rPr>
        <w:rFonts w:ascii="Wingdings" w:hAnsi="Wingdings" w:hint="default"/>
      </w:rPr>
    </w:lvl>
    <w:lvl w:ilvl="3" w:tplc="240C0001" w:tentative="1">
      <w:start w:val="1"/>
      <w:numFmt w:val="bullet"/>
      <w:lvlText w:val=""/>
      <w:lvlJc w:val="left"/>
      <w:pPr>
        <w:ind w:left="3022" w:hanging="360"/>
      </w:pPr>
      <w:rPr>
        <w:rFonts w:ascii="Symbol" w:hAnsi="Symbol" w:hint="default"/>
      </w:rPr>
    </w:lvl>
    <w:lvl w:ilvl="4" w:tplc="240C0003" w:tentative="1">
      <w:start w:val="1"/>
      <w:numFmt w:val="bullet"/>
      <w:lvlText w:val="o"/>
      <w:lvlJc w:val="left"/>
      <w:pPr>
        <w:ind w:left="3742" w:hanging="360"/>
      </w:pPr>
      <w:rPr>
        <w:rFonts w:ascii="Courier New" w:hAnsi="Courier New" w:cs="Courier New" w:hint="default"/>
      </w:rPr>
    </w:lvl>
    <w:lvl w:ilvl="5" w:tplc="240C0005" w:tentative="1">
      <w:start w:val="1"/>
      <w:numFmt w:val="bullet"/>
      <w:lvlText w:val=""/>
      <w:lvlJc w:val="left"/>
      <w:pPr>
        <w:ind w:left="4462" w:hanging="360"/>
      </w:pPr>
      <w:rPr>
        <w:rFonts w:ascii="Wingdings" w:hAnsi="Wingdings" w:hint="default"/>
      </w:rPr>
    </w:lvl>
    <w:lvl w:ilvl="6" w:tplc="240C0001" w:tentative="1">
      <w:start w:val="1"/>
      <w:numFmt w:val="bullet"/>
      <w:lvlText w:val=""/>
      <w:lvlJc w:val="left"/>
      <w:pPr>
        <w:ind w:left="5182" w:hanging="360"/>
      </w:pPr>
      <w:rPr>
        <w:rFonts w:ascii="Symbol" w:hAnsi="Symbol" w:hint="default"/>
      </w:rPr>
    </w:lvl>
    <w:lvl w:ilvl="7" w:tplc="240C0003" w:tentative="1">
      <w:start w:val="1"/>
      <w:numFmt w:val="bullet"/>
      <w:lvlText w:val="o"/>
      <w:lvlJc w:val="left"/>
      <w:pPr>
        <w:ind w:left="5902" w:hanging="360"/>
      </w:pPr>
      <w:rPr>
        <w:rFonts w:ascii="Courier New" w:hAnsi="Courier New" w:cs="Courier New" w:hint="default"/>
      </w:rPr>
    </w:lvl>
    <w:lvl w:ilvl="8" w:tplc="240C0005" w:tentative="1">
      <w:start w:val="1"/>
      <w:numFmt w:val="bullet"/>
      <w:lvlText w:val=""/>
      <w:lvlJc w:val="left"/>
      <w:pPr>
        <w:ind w:left="6622" w:hanging="360"/>
      </w:pPr>
      <w:rPr>
        <w:rFonts w:ascii="Wingdings" w:hAnsi="Wingdings" w:hint="default"/>
      </w:rPr>
    </w:lvl>
  </w:abstractNum>
  <w:abstractNum w:abstractNumId="40"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DD3626C"/>
    <w:multiLevelType w:val="hybridMultilevel"/>
    <w:tmpl w:val="45E4C8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16D0FBD"/>
    <w:multiLevelType w:val="multilevel"/>
    <w:tmpl w:val="1450B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3496224"/>
    <w:multiLevelType w:val="hybridMultilevel"/>
    <w:tmpl w:val="7EDE84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1497F5D"/>
    <w:multiLevelType w:val="hybridMultilevel"/>
    <w:tmpl w:val="C13A5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1D871A0"/>
    <w:multiLevelType w:val="hybridMultilevel"/>
    <w:tmpl w:val="2B4C7E46"/>
    <w:lvl w:ilvl="0" w:tplc="69624AAC">
      <w:start w:val="1"/>
      <w:numFmt w:val="upperRoman"/>
      <w:lvlText w:val="%1."/>
      <w:lvlJc w:val="left"/>
      <w:pPr>
        <w:tabs>
          <w:tab w:val="num" w:pos="720"/>
        </w:tabs>
        <w:ind w:left="720" w:hanging="360"/>
      </w:pPr>
      <w:rPr>
        <w:rFonts w:ascii="Times New Roman" w:eastAsia="Times New Roman" w:hAnsi="Times New Roman" w:cs="Times New Roman"/>
        <w:b/>
        <w:i w:val="0"/>
      </w:rPr>
    </w:lvl>
    <w:lvl w:ilvl="1" w:tplc="0809001B">
      <w:start w:val="1"/>
      <w:numFmt w:val="lowerRoman"/>
      <w:lvlText w:val="%2."/>
      <w:lvlJc w:val="right"/>
      <w:pPr>
        <w:tabs>
          <w:tab w:val="num" w:pos="1440"/>
        </w:tabs>
        <w:ind w:left="1440" w:hanging="360"/>
      </w:pPr>
    </w:lvl>
    <w:lvl w:ilvl="2" w:tplc="B84AA688">
      <w:start w:val="1"/>
      <w:numFmt w:val="upp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6652280B"/>
    <w:multiLevelType w:val="hybridMultilevel"/>
    <w:tmpl w:val="55B0D18C"/>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48" w15:restartNumberingAfterBreak="0">
    <w:nsid w:val="67A62968"/>
    <w:multiLevelType w:val="hybridMultilevel"/>
    <w:tmpl w:val="5FC45FCA"/>
    <w:lvl w:ilvl="0" w:tplc="29DAF9C0">
      <w:start w:val="1"/>
      <w:numFmt w:val="bullet"/>
      <w:lvlText w:val=""/>
      <w:lvlJc w:val="left"/>
      <w:pPr>
        <w:ind w:left="720" w:hanging="360"/>
      </w:pPr>
      <w:rPr>
        <w:rFonts w:ascii="Wingdings" w:hAnsi="Wingdings" w:hint="default"/>
        <w:color w:val="3E762A"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B446B36"/>
    <w:multiLevelType w:val="hybridMultilevel"/>
    <w:tmpl w:val="07CA0B0E"/>
    <w:lvl w:ilvl="0" w:tplc="7FBCB93E">
      <w:start w:val="1"/>
      <w:numFmt w:val="decimal"/>
      <w:lvlText w:val="%1."/>
      <w:lvlJc w:val="left"/>
      <w:pPr>
        <w:ind w:left="1074" w:hanging="360"/>
      </w:pPr>
      <w:rPr>
        <w:rFonts w:hint="default"/>
        <w:b w:val="0"/>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50" w15:restartNumberingAfterBreak="0">
    <w:nsid w:val="6F8C1A4D"/>
    <w:multiLevelType w:val="hybridMultilevel"/>
    <w:tmpl w:val="5900B7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71290E6A"/>
    <w:multiLevelType w:val="multilevel"/>
    <w:tmpl w:val="F0184BE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71B03AED"/>
    <w:multiLevelType w:val="hybridMultilevel"/>
    <w:tmpl w:val="A2E6EB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2EB035B"/>
    <w:multiLevelType w:val="hybridMultilevel"/>
    <w:tmpl w:val="CF16F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8897913"/>
    <w:multiLevelType w:val="hybridMultilevel"/>
    <w:tmpl w:val="7D64037E"/>
    <w:lvl w:ilvl="0" w:tplc="EFE4A43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978360D"/>
    <w:multiLevelType w:val="hybridMultilevel"/>
    <w:tmpl w:val="B03457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7D296AE2"/>
    <w:multiLevelType w:val="hybridMultilevel"/>
    <w:tmpl w:val="47C4B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4588129">
    <w:abstractNumId w:val="31"/>
  </w:num>
  <w:num w:numId="2" w16cid:durableId="1984657660">
    <w:abstractNumId w:val="46"/>
  </w:num>
  <w:num w:numId="3" w16cid:durableId="1743141474">
    <w:abstractNumId w:val="52"/>
  </w:num>
  <w:num w:numId="4" w16cid:durableId="997538419">
    <w:abstractNumId w:val="30"/>
  </w:num>
  <w:num w:numId="5" w16cid:durableId="264534464">
    <w:abstractNumId w:val="0"/>
    <w:lvlOverride w:ilvl="0"/>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6" w16cid:durableId="1762683772">
    <w:abstractNumId w:val="32"/>
  </w:num>
  <w:num w:numId="7" w16cid:durableId="1569534378">
    <w:abstractNumId w:val="9"/>
  </w:num>
  <w:num w:numId="8" w16cid:durableId="729114753">
    <w:abstractNumId w:val="26"/>
  </w:num>
  <w:num w:numId="9" w16cid:durableId="560793167">
    <w:abstractNumId w:val="33"/>
  </w:num>
  <w:num w:numId="10" w16cid:durableId="1499468297">
    <w:abstractNumId w:val="48"/>
  </w:num>
  <w:num w:numId="11" w16cid:durableId="1060859941">
    <w:abstractNumId w:val="2"/>
  </w:num>
  <w:num w:numId="12" w16cid:durableId="923998266">
    <w:abstractNumId w:val="49"/>
  </w:num>
  <w:num w:numId="13" w16cid:durableId="579481239">
    <w:abstractNumId w:val="14"/>
  </w:num>
  <w:num w:numId="14" w16cid:durableId="607273581">
    <w:abstractNumId w:val="43"/>
    <w:lvlOverride w:ilvl="0">
      <w:lvl w:ilvl="0">
        <w:numFmt w:val="lowerLetter"/>
        <w:lvlText w:val="%1."/>
        <w:lvlJc w:val="left"/>
      </w:lvl>
    </w:lvlOverride>
  </w:num>
  <w:num w:numId="15" w16cid:durableId="607273581">
    <w:abstractNumId w:val="43"/>
    <w:lvlOverride w:ilvl="0">
      <w:lvl w:ilvl="0">
        <w:numFmt w:val="lowerLetter"/>
        <w:lvlText w:val="%1."/>
        <w:lvlJc w:val="left"/>
      </w:lvl>
    </w:lvlOverride>
  </w:num>
  <w:num w:numId="16" w16cid:durableId="607273581">
    <w:abstractNumId w:val="43"/>
    <w:lvlOverride w:ilvl="0">
      <w:lvl w:ilvl="0">
        <w:numFmt w:val="lowerLetter"/>
        <w:lvlText w:val="%1."/>
        <w:lvlJc w:val="left"/>
      </w:lvl>
    </w:lvlOverride>
  </w:num>
  <w:num w:numId="17" w16cid:durableId="607273581">
    <w:abstractNumId w:val="43"/>
    <w:lvlOverride w:ilvl="0">
      <w:lvl w:ilvl="0">
        <w:numFmt w:val="lowerLetter"/>
        <w:lvlText w:val="%1."/>
        <w:lvlJc w:val="left"/>
      </w:lvl>
    </w:lvlOverride>
  </w:num>
  <w:num w:numId="18" w16cid:durableId="607273581">
    <w:abstractNumId w:val="43"/>
    <w:lvlOverride w:ilvl="0">
      <w:lvl w:ilvl="0">
        <w:numFmt w:val="lowerLetter"/>
        <w:lvlText w:val="%1."/>
        <w:lvlJc w:val="left"/>
      </w:lvl>
    </w:lvlOverride>
  </w:num>
  <w:num w:numId="19" w16cid:durableId="607273581">
    <w:abstractNumId w:val="43"/>
    <w:lvlOverride w:ilvl="0">
      <w:lvl w:ilvl="0">
        <w:numFmt w:val="lowerLetter"/>
        <w:lvlText w:val="%1."/>
        <w:lvlJc w:val="left"/>
      </w:lvl>
    </w:lvlOverride>
  </w:num>
  <w:num w:numId="20" w16cid:durableId="1184706140">
    <w:abstractNumId w:val="16"/>
    <w:lvlOverride w:ilvl="0">
      <w:lvl w:ilvl="0">
        <w:numFmt w:val="lowerLetter"/>
        <w:lvlText w:val="%1."/>
        <w:lvlJc w:val="left"/>
      </w:lvl>
    </w:lvlOverride>
  </w:num>
  <w:num w:numId="21" w16cid:durableId="1407220239">
    <w:abstractNumId w:val="21"/>
    <w:lvlOverride w:ilvl="0">
      <w:lvl w:ilvl="0">
        <w:numFmt w:val="lowerLetter"/>
        <w:lvlText w:val="%1."/>
        <w:lvlJc w:val="left"/>
      </w:lvl>
    </w:lvlOverride>
  </w:num>
  <w:num w:numId="22" w16cid:durableId="1407220239">
    <w:abstractNumId w:val="21"/>
    <w:lvlOverride w:ilvl="0">
      <w:lvl w:ilvl="0">
        <w:numFmt w:val="lowerLetter"/>
        <w:lvlText w:val="%1."/>
        <w:lvlJc w:val="left"/>
      </w:lvl>
    </w:lvlOverride>
  </w:num>
  <w:num w:numId="23" w16cid:durableId="1576626023">
    <w:abstractNumId w:val="4"/>
    <w:lvlOverride w:ilvl="0">
      <w:lvl w:ilvl="0">
        <w:numFmt w:val="lowerLetter"/>
        <w:lvlText w:val="%1."/>
        <w:lvlJc w:val="left"/>
      </w:lvl>
    </w:lvlOverride>
  </w:num>
  <w:num w:numId="24" w16cid:durableId="1576626023">
    <w:abstractNumId w:val="4"/>
    <w:lvlOverride w:ilvl="0">
      <w:lvl w:ilvl="0">
        <w:numFmt w:val="lowerLetter"/>
        <w:lvlText w:val="%1."/>
        <w:lvlJc w:val="left"/>
      </w:lvl>
    </w:lvlOverride>
  </w:num>
  <w:num w:numId="25" w16cid:durableId="1576626023">
    <w:abstractNumId w:val="4"/>
    <w:lvlOverride w:ilvl="0">
      <w:lvl w:ilvl="0">
        <w:numFmt w:val="lowerLetter"/>
        <w:lvlText w:val="%1."/>
        <w:lvlJc w:val="left"/>
      </w:lvl>
    </w:lvlOverride>
  </w:num>
  <w:num w:numId="26" w16cid:durableId="1576626023">
    <w:abstractNumId w:val="4"/>
    <w:lvlOverride w:ilvl="0">
      <w:lvl w:ilvl="0">
        <w:numFmt w:val="lowerLetter"/>
        <w:lvlText w:val="%1."/>
        <w:lvlJc w:val="left"/>
      </w:lvl>
    </w:lvlOverride>
  </w:num>
  <w:num w:numId="27" w16cid:durableId="903948434">
    <w:abstractNumId w:val="53"/>
  </w:num>
  <w:num w:numId="28" w16cid:durableId="1010108600">
    <w:abstractNumId w:val="38"/>
  </w:num>
  <w:num w:numId="29" w16cid:durableId="993485515">
    <w:abstractNumId w:val="22"/>
  </w:num>
  <w:num w:numId="30" w16cid:durableId="1595630589">
    <w:abstractNumId w:val="10"/>
  </w:num>
  <w:num w:numId="31" w16cid:durableId="714935834">
    <w:abstractNumId w:val="6"/>
  </w:num>
  <w:num w:numId="32" w16cid:durableId="146018405">
    <w:abstractNumId w:val="1"/>
  </w:num>
  <w:num w:numId="33" w16cid:durableId="1795782717">
    <w:abstractNumId w:val="29"/>
  </w:num>
  <w:num w:numId="34" w16cid:durableId="230166109">
    <w:abstractNumId w:val="20"/>
  </w:num>
  <w:num w:numId="35" w16cid:durableId="1225792700">
    <w:abstractNumId w:val="41"/>
  </w:num>
  <w:num w:numId="36" w16cid:durableId="881673350">
    <w:abstractNumId w:val="40"/>
  </w:num>
  <w:num w:numId="37" w16cid:durableId="525676827">
    <w:abstractNumId w:val="24"/>
  </w:num>
  <w:num w:numId="38" w16cid:durableId="493570079">
    <w:abstractNumId w:val="18"/>
  </w:num>
  <w:num w:numId="39" w16cid:durableId="573395319">
    <w:abstractNumId w:val="3"/>
  </w:num>
  <w:num w:numId="40" w16cid:durableId="1126507234">
    <w:abstractNumId w:val="47"/>
  </w:num>
  <w:num w:numId="41" w16cid:durableId="1706248038">
    <w:abstractNumId w:val="34"/>
  </w:num>
  <w:num w:numId="42" w16cid:durableId="1368145890">
    <w:abstractNumId w:val="39"/>
  </w:num>
  <w:num w:numId="43" w16cid:durableId="1960409894">
    <w:abstractNumId w:val="17"/>
  </w:num>
  <w:num w:numId="44" w16cid:durableId="451292456">
    <w:abstractNumId w:val="11"/>
  </w:num>
  <w:num w:numId="45" w16cid:durableId="25523474">
    <w:abstractNumId w:val="28"/>
  </w:num>
  <w:num w:numId="46" w16cid:durableId="52851033">
    <w:abstractNumId w:val="15"/>
  </w:num>
  <w:num w:numId="47" w16cid:durableId="828793107">
    <w:abstractNumId w:val="35"/>
  </w:num>
  <w:num w:numId="48" w16cid:durableId="1362129360">
    <w:abstractNumId w:val="12"/>
  </w:num>
  <w:num w:numId="49" w16cid:durableId="248003320">
    <w:abstractNumId w:val="54"/>
  </w:num>
  <w:num w:numId="50" w16cid:durableId="260112448">
    <w:abstractNumId w:val="36"/>
  </w:num>
  <w:num w:numId="51" w16cid:durableId="2143037626">
    <w:abstractNumId w:val="7"/>
  </w:num>
  <w:num w:numId="52" w16cid:durableId="1285310802">
    <w:abstractNumId w:val="8"/>
  </w:num>
  <w:num w:numId="53" w16cid:durableId="404693472">
    <w:abstractNumId w:val="51"/>
  </w:num>
  <w:num w:numId="54" w16cid:durableId="161748019">
    <w:abstractNumId w:val="25"/>
  </w:num>
  <w:num w:numId="55" w16cid:durableId="385102078">
    <w:abstractNumId w:val="27"/>
  </w:num>
  <w:num w:numId="56" w16cid:durableId="208886463">
    <w:abstractNumId w:val="23"/>
  </w:num>
  <w:num w:numId="57" w16cid:durableId="851380009">
    <w:abstractNumId w:val="44"/>
  </w:num>
  <w:num w:numId="58" w16cid:durableId="1245145256">
    <w:abstractNumId w:val="37"/>
  </w:num>
  <w:num w:numId="59" w16cid:durableId="1415709367">
    <w:abstractNumId w:val="42"/>
  </w:num>
  <w:num w:numId="60" w16cid:durableId="1201668368">
    <w:abstractNumId w:val="50"/>
  </w:num>
  <w:num w:numId="61" w16cid:durableId="1066151547">
    <w:abstractNumId w:val="45"/>
  </w:num>
  <w:num w:numId="62" w16cid:durableId="225726342">
    <w:abstractNumId w:val="56"/>
  </w:num>
  <w:num w:numId="63" w16cid:durableId="1700930976">
    <w:abstractNumId w:val="19"/>
  </w:num>
  <w:num w:numId="64" w16cid:durableId="2001612145">
    <w:abstractNumId w:val="55"/>
  </w:num>
  <w:num w:numId="65" w16cid:durableId="1263076575">
    <w:abstractNumId w:val="5"/>
  </w:num>
  <w:num w:numId="66" w16cid:durableId="412824559">
    <w:abstractNumId w:val="13"/>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055"/>
    <w:rsid w:val="0000021D"/>
    <w:rsid w:val="000005C2"/>
    <w:rsid w:val="00000899"/>
    <w:rsid w:val="00000AF7"/>
    <w:rsid w:val="00000B03"/>
    <w:rsid w:val="00001AA5"/>
    <w:rsid w:val="00001C25"/>
    <w:rsid w:val="00001CBD"/>
    <w:rsid w:val="00002973"/>
    <w:rsid w:val="00002DFC"/>
    <w:rsid w:val="00004AFB"/>
    <w:rsid w:val="00004B01"/>
    <w:rsid w:val="0000550D"/>
    <w:rsid w:val="000055BF"/>
    <w:rsid w:val="0000581A"/>
    <w:rsid w:val="00005DD0"/>
    <w:rsid w:val="00005F2F"/>
    <w:rsid w:val="000067AA"/>
    <w:rsid w:val="00006A0B"/>
    <w:rsid w:val="00006B4F"/>
    <w:rsid w:val="00006C40"/>
    <w:rsid w:val="00007059"/>
    <w:rsid w:val="00007DD6"/>
    <w:rsid w:val="00007F26"/>
    <w:rsid w:val="0000ED36"/>
    <w:rsid w:val="00011494"/>
    <w:rsid w:val="00011773"/>
    <w:rsid w:val="00011DF8"/>
    <w:rsid w:val="0001255E"/>
    <w:rsid w:val="00012A4B"/>
    <w:rsid w:val="00012BDC"/>
    <w:rsid w:val="00013242"/>
    <w:rsid w:val="000134AD"/>
    <w:rsid w:val="00017BD2"/>
    <w:rsid w:val="00020017"/>
    <w:rsid w:val="000203EB"/>
    <w:rsid w:val="0002064C"/>
    <w:rsid w:val="00020983"/>
    <w:rsid w:val="000215A6"/>
    <w:rsid w:val="000216A7"/>
    <w:rsid w:val="000224C4"/>
    <w:rsid w:val="000229AF"/>
    <w:rsid w:val="00022A1D"/>
    <w:rsid w:val="0002319D"/>
    <w:rsid w:val="000233CA"/>
    <w:rsid w:val="000234FF"/>
    <w:rsid w:val="00026721"/>
    <w:rsid w:val="00027C89"/>
    <w:rsid w:val="000302B8"/>
    <w:rsid w:val="00030955"/>
    <w:rsid w:val="00030E0B"/>
    <w:rsid w:val="000319EC"/>
    <w:rsid w:val="00031EC8"/>
    <w:rsid w:val="000321D9"/>
    <w:rsid w:val="000322A3"/>
    <w:rsid w:val="000322EE"/>
    <w:rsid w:val="00033071"/>
    <w:rsid w:val="00033214"/>
    <w:rsid w:val="00034AC2"/>
    <w:rsid w:val="000352B8"/>
    <w:rsid w:val="00037D29"/>
    <w:rsid w:val="0004003E"/>
    <w:rsid w:val="000402BD"/>
    <w:rsid w:val="00040B9F"/>
    <w:rsid w:val="00040E2F"/>
    <w:rsid w:val="000417AF"/>
    <w:rsid w:val="00042047"/>
    <w:rsid w:val="00042483"/>
    <w:rsid w:val="000425CF"/>
    <w:rsid w:val="000428E3"/>
    <w:rsid w:val="00043249"/>
    <w:rsid w:val="00043E96"/>
    <w:rsid w:val="0004411C"/>
    <w:rsid w:val="00044C1C"/>
    <w:rsid w:val="00044EC0"/>
    <w:rsid w:val="00046095"/>
    <w:rsid w:val="00046D0B"/>
    <w:rsid w:val="00050E5D"/>
    <w:rsid w:val="00050F05"/>
    <w:rsid w:val="0005248C"/>
    <w:rsid w:val="0005312B"/>
    <w:rsid w:val="000531B9"/>
    <w:rsid w:val="000535C8"/>
    <w:rsid w:val="00053A83"/>
    <w:rsid w:val="00053C5E"/>
    <w:rsid w:val="000543A5"/>
    <w:rsid w:val="0005464B"/>
    <w:rsid w:val="0005494A"/>
    <w:rsid w:val="000553B3"/>
    <w:rsid w:val="00056211"/>
    <w:rsid w:val="00057D29"/>
    <w:rsid w:val="00061A23"/>
    <w:rsid w:val="00061B4F"/>
    <w:rsid w:val="0006225B"/>
    <w:rsid w:val="00062348"/>
    <w:rsid w:val="000628A6"/>
    <w:rsid w:val="00063F54"/>
    <w:rsid w:val="00064078"/>
    <w:rsid w:val="00064245"/>
    <w:rsid w:val="000672F4"/>
    <w:rsid w:val="00067B85"/>
    <w:rsid w:val="00070F81"/>
    <w:rsid w:val="000710EE"/>
    <w:rsid w:val="00071283"/>
    <w:rsid w:val="0007139B"/>
    <w:rsid w:val="0007150B"/>
    <w:rsid w:val="00071723"/>
    <w:rsid w:val="000717AF"/>
    <w:rsid w:val="0007188D"/>
    <w:rsid w:val="000721B1"/>
    <w:rsid w:val="00072628"/>
    <w:rsid w:val="00072645"/>
    <w:rsid w:val="00072BB4"/>
    <w:rsid w:val="0007339C"/>
    <w:rsid w:val="000737E9"/>
    <w:rsid w:val="000755D7"/>
    <w:rsid w:val="00075C9E"/>
    <w:rsid w:val="00076651"/>
    <w:rsid w:val="00077425"/>
    <w:rsid w:val="00077D4E"/>
    <w:rsid w:val="00080289"/>
    <w:rsid w:val="0008035A"/>
    <w:rsid w:val="0008151C"/>
    <w:rsid w:val="00081F01"/>
    <w:rsid w:val="00081FA9"/>
    <w:rsid w:val="000829C6"/>
    <w:rsid w:val="00082E85"/>
    <w:rsid w:val="00084368"/>
    <w:rsid w:val="00084454"/>
    <w:rsid w:val="00084CBD"/>
    <w:rsid w:val="00086629"/>
    <w:rsid w:val="00086725"/>
    <w:rsid w:val="00086A8B"/>
    <w:rsid w:val="00086F84"/>
    <w:rsid w:val="00087403"/>
    <w:rsid w:val="0008767D"/>
    <w:rsid w:val="00087E70"/>
    <w:rsid w:val="00090499"/>
    <w:rsid w:val="00090752"/>
    <w:rsid w:val="00090B4E"/>
    <w:rsid w:val="00090F3C"/>
    <w:rsid w:val="0009297D"/>
    <w:rsid w:val="000933A9"/>
    <w:rsid w:val="00093C38"/>
    <w:rsid w:val="000945C4"/>
    <w:rsid w:val="000945FF"/>
    <w:rsid w:val="0009509B"/>
    <w:rsid w:val="000957C6"/>
    <w:rsid w:val="00096644"/>
    <w:rsid w:val="000966FB"/>
    <w:rsid w:val="000975F1"/>
    <w:rsid w:val="00097E87"/>
    <w:rsid w:val="000A134E"/>
    <w:rsid w:val="000A13CD"/>
    <w:rsid w:val="000A1852"/>
    <w:rsid w:val="000A2188"/>
    <w:rsid w:val="000A2661"/>
    <w:rsid w:val="000A33B5"/>
    <w:rsid w:val="000A3409"/>
    <w:rsid w:val="000A347F"/>
    <w:rsid w:val="000A3AE7"/>
    <w:rsid w:val="000A3B08"/>
    <w:rsid w:val="000A4F26"/>
    <w:rsid w:val="000A51D1"/>
    <w:rsid w:val="000A53CB"/>
    <w:rsid w:val="000A6024"/>
    <w:rsid w:val="000A6949"/>
    <w:rsid w:val="000A7131"/>
    <w:rsid w:val="000A7185"/>
    <w:rsid w:val="000A7E43"/>
    <w:rsid w:val="000B021D"/>
    <w:rsid w:val="000B0ABC"/>
    <w:rsid w:val="000B1B25"/>
    <w:rsid w:val="000B23B9"/>
    <w:rsid w:val="000B25E8"/>
    <w:rsid w:val="000B3A26"/>
    <w:rsid w:val="000B50C2"/>
    <w:rsid w:val="000B70C1"/>
    <w:rsid w:val="000C0298"/>
    <w:rsid w:val="000C0483"/>
    <w:rsid w:val="000C1931"/>
    <w:rsid w:val="000C1B50"/>
    <w:rsid w:val="000C362D"/>
    <w:rsid w:val="000C37A6"/>
    <w:rsid w:val="000C519D"/>
    <w:rsid w:val="000C573C"/>
    <w:rsid w:val="000C5B6C"/>
    <w:rsid w:val="000C68B0"/>
    <w:rsid w:val="000C71B4"/>
    <w:rsid w:val="000C7924"/>
    <w:rsid w:val="000D08CF"/>
    <w:rsid w:val="000D0A18"/>
    <w:rsid w:val="000D1D9E"/>
    <w:rsid w:val="000D4192"/>
    <w:rsid w:val="000D44AA"/>
    <w:rsid w:val="000D6507"/>
    <w:rsid w:val="000D68A4"/>
    <w:rsid w:val="000D6E53"/>
    <w:rsid w:val="000D6EFD"/>
    <w:rsid w:val="000D7CD7"/>
    <w:rsid w:val="000D7E34"/>
    <w:rsid w:val="000E0DE2"/>
    <w:rsid w:val="000E125B"/>
    <w:rsid w:val="000E179A"/>
    <w:rsid w:val="000E23AC"/>
    <w:rsid w:val="000E2678"/>
    <w:rsid w:val="000E3F01"/>
    <w:rsid w:val="000E4954"/>
    <w:rsid w:val="000E49F3"/>
    <w:rsid w:val="000E4C5D"/>
    <w:rsid w:val="000E4CA6"/>
    <w:rsid w:val="000E4D67"/>
    <w:rsid w:val="000E4F01"/>
    <w:rsid w:val="000E4FB5"/>
    <w:rsid w:val="000E62EF"/>
    <w:rsid w:val="000E79F9"/>
    <w:rsid w:val="000E7FF0"/>
    <w:rsid w:val="000F0184"/>
    <w:rsid w:val="000F1485"/>
    <w:rsid w:val="000F288B"/>
    <w:rsid w:val="000F2C58"/>
    <w:rsid w:val="000F2E0B"/>
    <w:rsid w:val="000F2EAE"/>
    <w:rsid w:val="000F314A"/>
    <w:rsid w:val="000F332A"/>
    <w:rsid w:val="000F342F"/>
    <w:rsid w:val="000F369F"/>
    <w:rsid w:val="000F3A89"/>
    <w:rsid w:val="000F4D1C"/>
    <w:rsid w:val="000F51B1"/>
    <w:rsid w:val="000F530E"/>
    <w:rsid w:val="000F554B"/>
    <w:rsid w:val="000F5DE8"/>
    <w:rsid w:val="000F67AB"/>
    <w:rsid w:val="000F77F0"/>
    <w:rsid w:val="0010163A"/>
    <w:rsid w:val="00101A7A"/>
    <w:rsid w:val="00101DD5"/>
    <w:rsid w:val="00101FB7"/>
    <w:rsid w:val="00102B7B"/>
    <w:rsid w:val="00102ED6"/>
    <w:rsid w:val="00103762"/>
    <w:rsid w:val="00103DB6"/>
    <w:rsid w:val="0010448B"/>
    <w:rsid w:val="00104F4A"/>
    <w:rsid w:val="00105487"/>
    <w:rsid w:val="00105A09"/>
    <w:rsid w:val="00105D11"/>
    <w:rsid w:val="00106284"/>
    <w:rsid w:val="00106AE6"/>
    <w:rsid w:val="0010737F"/>
    <w:rsid w:val="00107748"/>
    <w:rsid w:val="00107995"/>
    <w:rsid w:val="001113DF"/>
    <w:rsid w:val="001129B2"/>
    <w:rsid w:val="00112EB5"/>
    <w:rsid w:val="001130BD"/>
    <w:rsid w:val="001142A1"/>
    <w:rsid w:val="001154E5"/>
    <w:rsid w:val="001161E5"/>
    <w:rsid w:val="00116B10"/>
    <w:rsid w:val="001173EA"/>
    <w:rsid w:val="00117F78"/>
    <w:rsid w:val="001207DC"/>
    <w:rsid w:val="00120983"/>
    <w:rsid w:val="001209C2"/>
    <w:rsid w:val="0012130F"/>
    <w:rsid w:val="00121550"/>
    <w:rsid w:val="001218A0"/>
    <w:rsid w:val="00121C3F"/>
    <w:rsid w:val="00122003"/>
    <w:rsid w:val="0012230A"/>
    <w:rsid w:val="0012325F"/>
    <w:rsid w:val="0012389A"/>
    <w:rsid w:val="00123D17"/>
    <w:rsid w:val="0012430D"/>
    <w:rsid w:val="001243CC"/>
    <w:rsid w:val="001253FA"/>
    <w:rsid w:val="00125A45"/>
    <w:rsid w:val="00125B03"/>
    <w:rsid w:val="00125E05"/>
    <w:rsid w:val="001275B6"/>
    <w:rsid w:val="001277F2"/>
    <w:rsid w:val="00127F18"/>
    <w:rsid w:val="001307A3"/>
    <w:rsid w:val="001309A1"/>
    <w:rsid w:val="00130C4E"/>
    <w:rsid w:val="00133864"/>
    <w:rsid w:val="00133DC6"/>
    <w:rsid w:val="00134862"/>
    <w:rsid w:val="00134A13"/>
    <w:rsid w:val="00135B29"/>
    <w:rsid w:val="001365DB"/>
    <w:rsid w:val="001370DA"/>
    <w:rsid w:val="00137401"/>
    <w:rsid w:val="00137945"/>
    <w:rsid w:val="00137E4D"/>
    <w:rsid w:val="00140089"/>
    <w:rsid w:val="00140A9C"/>
    <w:rsid w:val="00140B94"/>
    <w:rsid w:val="001413B1"/>
    <w:rsid w:val="00141724"/>
    <w:rsid w:val="00142913"/>
    <w:rsid w:val="00142E2C"/>
    <w:rsid w:val="00143A6B"/>
    <w:rsid w:val="001440EA"/>
    <w:rsid w:val="0014550B"/>
    <w:rsid w:val="0014570C"/>
    <w:rsid w:val="00146402"/>
    <w:rsid w:val="00147B6E"/>
    <w:rsid w:val="00147D53"/>
    <w:rsid w:val="00147DBB"/>
    <w:rsid w:val="00151718"/>
    <w:rsid w:val="0015395F"/>
    <w:rsid w:val="00153B9E"/>
    <w:rsid w:val="00153F56"/>
    <w:rsid w:val="001542A5"/>
    <w:rsid w:val="001542DD"/>
    <w:rsid w:val="0015457C"/>
    <w:rsid w:val="00154702"/>
    <w:rsid w:val="00154B8F"/>
    <w:rsid w:val="00154C2B"/>
    <w:rsid w:val="001551AB"/>
    <w:rsid w:val="001555CC"/>
    <w:rsid w:val="001562CD"/>
    <w:rsid w:val="00160798"/>
    <w:rsid w:val="0016138A"/>
    <w:rsid w:val="00161BA2"/>
    <w:rsid w:val="00161D6D"/>
    <w:rsid w:val="00162D49"/>
    <w:rsid w:val="001638F3"/>
    <w:rsid w:val="00163B74"/>
    <w:rsid w:val="00163DD3"/>
    <w:rsid w:val="00164DFA"/>
    <w:rsid w:val="0016601A"/>
    <w:rsid w:val="001669B0"/>
    <w:rsid w:val="00166ECE"/>
    <w:rsid w:val="00167538"/>
    <w:rsid w:val="001677F8"/>
    <w:rsid w:val="0016783F"/>
    <w:rsid w:val="0016794E"/>
    <w:rsid w:val="00167996"/>
    <w:rsid w:val="00167E65"/>
    <w:rsid w:val="00170306"/>
    <w:rsid w:val="00170622"/>
    <w:rsid w:val="00172827"/>
    <w:rsid w:val="00173CB9"/>
    <w:rsid w:val="00173E87"/>
    <w:rsid w:val="001742E3"/>
    <w:rsid w:val="001748BC"/>
    <w:rsid w:val="00174C96"/>
    <w:rsid w:val="00175B1C"/>
    <w:rsid w:val="00175BEC"/>
    <w:rsid w:val="0017778E"/>
    <w:rsid w:val="00177F4A"/>
    <w:rsid w:val="001802F1"/>
    <w:rsid w:val="00180B71"/>
    <w:rsid w:val="00180C40"/>
    <w:rsid w:val="00180ED2"/>
    <w:rsid w:val="00181793"/>
    <w:rsid w:val="001821B1"/>
    <w:rsid w:val="001825A4"/>
    <w:rsid w:val="001829A4"/>
    <w:rsid w:val="00182B53"/>
    <w:rsid w:val="00182D6D"/>
    <w:rsid w:val="0018518C"/>
    <w:rsid w:val="00186D81"/>
    <w:rsid w:val="0018778E"/>
    <w:rsid w:val="00187ABD"/>
    <w:rsid w:val="001900B6"/>
    <w:rsid w:val="00190704"/>
    <w:rsid w:val="001908BE"/>
    <w:rsid w:val="0019099F"/>
    <w:rsid w:val="00190DEF"/>
    <w:rsid w:val="00191094"/>
    <w:rsid w:val="0019122A"/>
    <w:rsid w:val="00192290"/>
    <w:rsid w:val="00192D83"/>
    <w:rsid w:val="00192FC5"/>
    <w:rsid w:val="001937C7"/>
    <w:rsid w:val="00193E7D"/>
    <w:rsid w:val="00193F1A"/>
    <w:rsid w:val="0019406B"/>
    <w:rsid w:val="00194E89"/>
    <w:rsid w:val="001953D8"/>
    <w:rsid w:val="0019587F"/>
    <w:rsid w:val="001959C7"/>
    <w:rsid w:val="0019604A"/>
    <w:rsid w:val="0019721C"/>
    <w:rsid w:val="00197613"/>
    <w:rsid w:val="00197DC7"/>
    <w:rsid w:val="001A08BD"/>
    <w:rsid w:val="001A09F2"/>
    <w:rsid w:val="001A1AF4"/>
    <w:rsid w:val="001A2743"/>
    <w:rsid w:val="001A3B0F"/>
    <w:rsid w:val="001A3DD5"/>
    <w:rsid w:val="001A472F"/>
    <w:rsid w:val="001A56CD"/>
    <w:rsid w:val="001A6134"/>
    <w:rsid w:val="001A6A1F"/>
    <w:rsid w:val="001A7A04"/>
    <w:rsid w:val="001B0BF9"/>
    <w:rsid w:val="001B0C99"/>
    <w:rsid w:val="001B0F98"/>
    <w:rsid w:val="001B1119"/>
    <w:rsid w:val="001B1326"/>
    <w:rsid w:val="001B157B"/>
    <w:rsid w:val="001B1CD1"/>
    <w:rsid w:val="001B245D"/>
    <w:rsid w:val="001B2C86"/>
    <w:rsid w:val="001B31C5"/>
    <w:rsid w:val="001B376F"/>
    <w:rsid w:val="001B381D"/>
    <w:rsid w:val="001B3D94"/>
    <w:rsid w:val="001B3FF0"/>
    <w:rsid w:val="001B4288"/>
    <w:rsid w:val="001B48E2"/>
    <w:rsid w:val="001B5F59"/>
    <w:rsid w:val="001B6A07"/>
    <w:rsid w:val="001B7379"/>
    <w:rsid w:val="001B7B39"/>
    <w:rsid w:val="001C06BE"/>
    <w:rsid w:val="001C12D4"/>
    <w:rsid w:val="001C17D1"/>
    <w:rsid w:val="001C1FDB"/>
    <w:rsid w:val="001C308D"/>
    <w:rsid w:val="001C3356"/>
    <w:rsid w:val="001C3FDC"/>
    <w:rsid w:val="001C43F4"/>
    <w:rsid w:val="001C4BFD"/>
    <w:rsid w:val="001C565C"/>
    <w:rsid w:val="001C5748"/>
    <w:rsid w:val="001C5AC4"/>
    <w:rsid w:val="001C62C7"/>
    <w:rsid w:val="001C7B4C"/>
    <w:rsid w:val="001D009A"/>
    <w:rsid w:val="001D030A"/>
    <w:rsid w:val="001D1F66"/>
    <w:rsid w:val="001D25FD"/>
    <w:rsid w:val="001D2ECF"/>
    <w:rsid w:val="001D3054"/>
    <w:rsid w:val="001D3254"/>
    <w:rsid w:val="001D3959"/>
    <w:rsid w:val="001D3CA0"/>
    <w:rsid w:val="001D58C6"/>
    <w:rsid w:val="001D5C5E"/>
    <w:rsid w:val="001D61D3"/>
    <w:rsid w:val="001D6859"/>
    <w:rsid w:val="001D6DC3"/>
    <w:rsid w:val="001D7367"/>
    <w:rsid w:val="001E0775"/>
    <w:rsid w:val="001E07C7"/>
    <w:rsid w:val="001E0A24"/>
    <w:rsid w:val="001E1130"/>
    <w:rsid w:val="001E1D05"/>
    <w:rsid w:val="001E1FCC"/>
    <w:rsid w:val="001E24D2"/>
    <w:rsid w:val="001E29C4"/>
    <w:rsid w:val="001E2D84"/>
    <w:rsid w:val="001E3046"/>
    <w:rsid w:val="001E4029"/>
    <w:rsid w:val="001E4216"/>
    <w:rsid w:val="001E48F7"/>
    <w:rsid w:val="001E4B86"/>
    <w:rsid w:val="001E55F3"/>
    <w:rsid w:val="001E5DA5"/>
    <w:rsid w:val="001E5EFD"/>
    <w:rsid w:val="001E6F16"/>
    <w:rsid w:val="001E7609"/>
    <w:rsid w:val="001E7C7B"/>
    <w:rsid w:val="001F05CA"/>
    <w:rsid w:val="001F0F8D"/>
    <w:rsid w:val="001F297E"/>
    <w:rsid w:val="001F3AF8"/>
    <w:rsid w:val="001F4D45"/>
    <w:rsid w:val="001F4EA1"/>
    <w:rsid w:val="001F5867"/>
    <w:rsid w:val="001F5C69"/>
    <w:rsid w:val="001F5D24"/>
    <w:rsid w:val="001F627C"/>
    <w:rsid w:val="001F6E58"/>
    <w:rsid w:val="001F7206"/>
    <w:rsid w:val="001F7DF1"/>
    <w:rsid w:val="00200CDF"/>
    <w:rsid w:val="00201625"/>
    <w:rsid w:val="0020163F"/>
    <w:rsid w:val="00202AF5"/>
    <w:rsid w:val="0020312F"/>
    <w:rsid w:val="00203B83"/>
    <w:rsid w:val="0020424C"/>
    <w:rsid w:val="00204658"/>
    <w:rsid w:val="00204CA6"/>
    <w:rsid w:val="00204E45"/>
    <w:rsid w:val="00205996"/>
    <w:rsid w:val="002076D9"/>
    <w:rsid w:val="00207747"/>
    <w:rsid w:val="00210675"/>
    <w:rsid w:val="00210E1B"/>
    <w:rsid w:val="002127A9"/>
    <w:rsid w:val="00213126"/>
    <w:rsid w:val="00213B50"/>
    <w:rsid w:val="00214250"/>
    <w:rsid w:val="0021521A"/>
    <w:rsid w:val="0021567E"/>
    <w:rsid w:val="00215A6F"/>
    <w:rsid w:val="00216A23"/>
    <w:rsid w:val="00220B4A"/>
    <w:rsid w:val="00220C40"/>
    <w:rsid w:val="00221C19"/>
    <w:rsid w:val="002237AF"/>
    <w:rsid w:val="00224788"/>
    <w:rsid w:val="0022508B"/>
    <w:rsid w:val="0022583D"/>
    <w:rsid w:val="00225E95"/>
    <w:rsid w:val="002261DB"/>
    <w:rsid w:val="00226E41"/>
    <w:rsid w:val="00230C82"/>
    <w:rsid w:val="00231234"/>
    <w:rsid w:val="00231616"/>
    <w:rsid w:val="0023257C"/>
    <w:rsid w:val="0023259D"/>
    <w:rsid w:val="002336F9"/>
    <w:rsid w:val="00233AA2"/>
    <w:rsid w:val="00233B16"/>
    <w:rsid w:val="00233EF9"/>
    <w:rsid w:val="00234022"/>
    <w:rsid w:val="00234690"/>
    <w:rsid w:val="002346BA"/>
    <w:rsid w:val="00234F88"/>
    <w:rsid w:val="00235341"/>
    <w:rsid w:val="00235D03"/>
    <w:rsid w:val="002362B9"/>
    <w:rsid w:val="00236F5B"/>
    <w:rsid w:val="002377F4"/>
    <w:rsid w:val="00240463"/>
    <w:rsid w:val="00240476"/>
    <w:rsid w:val="002405F1"/>
    <w:rsid w:val="00240730"/>
    <w:rsid w:val="00240A5C"/>
    <w:rsid w:val="0024117D"/>
    <w:rsid w:val="002411F9"/>
    <w:rsid w:val="00241438"/>
    <w:rsid w:val="00241D37"/>
    <w:rsid w:val="00241DDD"/>
    <w:rsid w:val="00243203"/>
    <w:rsid w:val="00243F03"/>
    <w:rsid w:val="00244023"/>
    <w:rsid w:val="002450E0"/>
    <w:rsid w:val="00246C24"/>
    <w:rsid w:val="002472E8"/>
    <w:rsid w:val="002478C6"/>
    <w:rsid w:val="00247E74"/>
    <w:rsid w:val="00250444"/>
    <w:rsid w:val="00252216"/>
    <w:rsid w:val="0025249C"/>
    <w:rsid w:val="00252664"/>
    <w:rsid w:val="0025346E"/>
    <w:rsid w:val="00254AE9"/>
    <w:rsid w:val="00255405"/>
    <w:rsid w:val="00256D21"/>
    <w:rsid w:val="00257C70"/>
    <w:rsid w:val="00260CA7"/>
    <w:rsid w:val="00261795"/>
    <w:rsid w:val="00261970"/>
    <w:rsid w:val="0026315C"/>
    <w:rsid w:val="002639E3"/>
    <w:rsid w:val="00263B77"/>
    <w:rsid w:val="00264094"/>
    <w:rsid w:val="0026489A"/>
    <w:rsid w:val="00264FD3"/>
    <w:rsid w:val="00265529"/>
    <w:rsid w:val="00265A7F"/>
    <w:rsid w:val="002662D4"/>
    <w:rsid w:val="00266BEA"/>
    <w:rsid w:val="002671B5"/>
    <w:rsid w:val="00267967"/>
    <w:rsid w:val="00267C1A"/>
    <w:rsid w:val="00270B50"/>
    <w:rsid w:val="00271BB0"/>
    <w:rsid w:val="00271E6E"/>
    <w:rsid w:val="0027215A"/>
    <w:rsid w:val="00272C86"/>
    <w:rsid w:val="002732CB"/>
    <w:rsid w:val="002748FB"/>
    <w:rsid w:val="00275A72"/>
    <w:rsid w:val="00275A96"/>
    <w:rsid w:val="002765FB"/>
    <w:rsid w:val="0027700F"/>
    <w:rsid w:val="00277B3D"/>
    <w:rsid w:val="0028004A"/>
    <w:rsid w:val="00280221"/>
    <w:rsid w:val="0028098B"/>
    <w:rsid w:val="002819A5"/>
    <w:rsid w:val="00282A1F"/>
    <w:rsid w:val="00282E1B"/>
    <w:rsid w:val="00282FA5"/>
    <w:rsid w:val="002844A2"/>
    <w:rsid w:val="00284C65"/>
    <w:rsid w:val="00284D98"/>
    <w:rsid w:val="00285989"/>
    <w:rsid w:val="00285D55"/>
    <w:rsid w:val="002875C7"/>
    <w:rsid w:val="002879AE"/>
    <w:rsid w:val="002908C5"/>
    <w:rsid w:val="00291850"/>
    <w:rsid w:val="00291B60"/>
    <w:rsid w:val="00291CFB"/>
    <w:rsid w:val="002937FC"/>
    <w:rsid w:val="00293AF7"/>
    <w:rsid w:val="00293BB3"/>
    <w:rsid w:val="00293DA2"/>
    <w:rsid w:val="00293DD8"/>
    <w:rsid w:val="0029449A"/>
    <w:rsid w:val="00294A9C"/>
    <w:rsid w:val="00295CD2"/>
    <w:rsid w:val="00296529"/>
    <w:rsid w:val="00296F5A"/>
    <w:rsid w:val="00297ACB"/>
    <w:rsid w:val="002A035A"/>
    <w:rsid w:val="002A2728"/>
    <w:rsid w:val="002A2BFD"/>
    <w:rsid w:val="002A2D5E"/>
    <w:rsid w:val="002A3321"/>
    <w:rsid w:val="002A3ECD"/>
    <w:rsid w:val="002A3F2A"/>
    <w:rsid w:val="002A49F2"/>
    <w:rsid w:val="002A4B04"/>
    <w:rsid w:val="002A4E69"/>
    <w:rsid w:val="002A54F5"/>
    <w:rsid w:val="002B0558"/>
    <w:rsid w:val="002B1082"/>
    <w:rsid w:val="002B1854"/>
    <w:rsid w:val="002B197A"/>
    <w:rsid w:val="002B30B1"/>
    <w:rsid w:val="002B31A6"/>
    <w:rsid w:val="002B369B"/>
    <w:rsid w:val="002B4087"/>
    <w:rsid w:val="002B4477"/>
    <w:rsid w:val="002B461E"/>
    <w:rsid w:val="002B4632"/>
    <w:rsid w:val="002B496A"/>
    <w:rsid w:val="002B533E"/>
    <w:rsid w:val="002B54BD"/>
    <w:rsid w:val="002B5730"/>
    <w:rsid w:val="002B5EDC"/>
    <w:rsid w:val="002B5FD9"/>
    <w:rsid w:val="002B5FFA"/>
    <w:rsid w:val="002B6706"/>
    <w:rsid w:val="002B6EB1"/>
    <w:rsid w:val="002B6FE9"/>
    <w:rsid w:val="002B7637"/>
    <w:rsid w:val="002B7B3C"/>
    <w:rsid w:val="002C05E8"/>
    <w:rsid w:val="002C14EA"/>
    <w:rsid w:val="002C22CC"/>
    <w:rsid w:val="002C23D3"/>
    <w:rsid w:val="002C27A4"/>
    <w:rsid w:val="002C2FD6"/>
    <w:rsid w:val="002C377A"/>
    <w:rsid w:val="002C3A03"/>
    <w:rsid w:val="002C3D09"/>
    <w:rsid w:val="002C42DC"/>
    <w:rsid w:val="002C4D04"/>
    <w:rsid w:val="002C52CA"/>
    <w:rsid w:val="002C627F"/>
    <w:rsid w:val="002C6725"/>
    <w:rsid w:val="002C6ABD"/>
    <w:rsid w:val="002C77BE"/>
    <w:rsid w:val="002D0354"/>
    <w:rsid w:val="002D107C"/>
    <w:rsid w:val="002D1212"/>
    <w:rsid w:val="002D1641"/>
    <w:rsid w:val="002D16B4"/>
    <w:rsid w:val="002D1C74"/>
    <w:rsid w:val="002D2248"/>
    <w:rsid w:val="002D3192"/>
    <w:rsid w:val="002D3473"/>
    <w:rsid w:val="002D56A8"/>
    <w:rsid w:val="002D5CF0"/>
    <w:rsid w:val="002D6A69"/>
    <w:rsid w:val="002D6AAD"/>
    <w:rsid w:val="002D7587"/>
    <w:rsid w:val="002D7A24"/>
    <w:rsid w:val="002D7A72"/>
    <w:rsid w:val="002D7C61"/>
    <w:rsid w:val="002E07BD"/>
    <w:rsid w:val="002E0B6E"/>
    <w:rsid w:val="002E15A6"/>
    <w:rsid w:val="002E16E4"/>
    <w:rsid w:val="002E2CF5"/>
    <w:rsid w:val="002E35A8"/>
    <w:rsid w:val="002E41BF"/>
    <w:rsid w:val="002E601F"/>
    <w:rsid w:val="002E6140"/>
    <w:rsid w:val="002E6F46"/>
    <w:rsid w:val="002E7283"/>
    <w:rsid w:val="002E748E"/>
    <w:rsid w:val="002E77D0"/>
    <w:rsid w:val="002E7925"/>
    <w:rsid w:val="002E7937"/>
    <w:rsid w:val="002E79F9"/>
    <w:rsid w:val="002F05ED"/>
    <w:rsid w:val="002F0C77"/>
    <w:rsid w:val="002F1492"/>
    <w:rsid w:val="002F1AE2"/>
    <w:rsid w:val="002F30A4"/>
    <w:rsid w:val="002F3A7D"/>
    <w:rsid w:val="002F3D5B"/>
    <w:rsid w:val="002F4C1D"/>
    <w:rsid w:val="002F4C90"/>
    <w:rsid w:val="002F517A"/>
    <w:rsid w:val="002F58B0"/>
    <w:rsid w:val="002F62C7"/>
    <w:rsid w:val="002F6686"/>
    <w:rsid w:val="002F7354"/>
    <w:rsid w:val="002F7E2B"/>
    <w:rsid w:val="002F7E9C"/>
    <w:rsid w:val="003009B7"/>
    <w:rsid w:val="00300A96"/>
    <w:rsid w:val="00302B9A"/>
    <w:rsid w:val="00302D36"/>
    <w:rsid w:val="00304484"/>
    <w:rsid w:val="00304544"/>
    <w:rsid w:val="00304603"/>
    <w:rsid w:val="00304C45"/>
    <w:rsid w:val="00304E09"/>
    <w:rsid w:val="00304E91"/>
    <w:rsid w:val="00305096"/>
    <w:rsid w:val="00305404"/>
    <w:rsid w:val="00306597"/>
    <w:rsid w:val="0030783B"/>
    <w:rsid w:val="00307EF8"/>
    <w:rsid w:val="0031220A"/>
    <w:rsid w:val="003124FB"/>
    <w:rsid w:val="003135B7"/>
    <w:rsid w:val="0031395D"/>
    <w:rsid w:val="00314178"/>
    <w:rsid w:val="0031518B"/>
    <w:rsid w:val="00317AD5"/>
    <w:rsid w:val="00317E83"/>
    <w:rsid w:val="003201EB"/>
    <w:rsid w:val="0032029E"/>
    <w:rsid w:val="003202E8"/>
    <w:rsid w:val="00320D04"/>
    <w:rsid w:val="00321255"/>
    <w:rsid w:val="003213F8"/>
    <w:rsid w:val="00323FF7"/>
    <w:rsid w:val="0032408E"/>
    <w:rsid w:val="0032435E"/>
    <w:rsid w:val="00324C6A"/>
    <w:rsid w:val="00324F56"/>
    <w:rsid w:val="00326B9D"/>
    <w:rsid w:val="00326DEB"/>
    <w:rsid w:val="0032746E"/>
    <w:rsid w:val="00327A6A"/>
    <w:rsid w:val="00327D5E"/>
    <w:rsid w:val="003304F3"/>
    <w:rsid w:val="003309A1"/>
    <w:rsid w:val="00330CB5"/>
    <w:rsid w:val="00331F85"/>
    <w:rsid w:val="003322A5"/>
    <w:rsid w:val="00332AAE"/>
    <w:rsid w:val="00332CB0"/>
    <w:rsid w:val="00333202"/>
    <w:rsid w:val="003334AF"/>
    <w:rsid w:val="00333F5A"/>
    <w:rsid w:val="00333F8E"/>
    <w:rsid w:val="00336320"/>
    <w:rsid w:val="003372D7"/>
    <w:rsid w:val="00337707"/>
    <w:rsid w:val="003377F2"/>
    <w:rsid w:val="00337A8E"/>
    <w:rsid w:val="003401B6"/>
    <w:rsid w:val="00340287"/>
    <w:rsid w:val="00340969"/>
    <w:rsid w:val="003409D9"/>
    <w:rsid w:val="00341098"/>
    <w:rsid w:val="00341EAD"/>
    <w:rsid w:val="00343080"/>
    <w:rsid w:val="003432B2"/>
    <w:rsid w:val="00344195"/>
    <w:rsid w:val="00344A86"/>
    <w:rsid w:val="0034560F"/>
    <w:rsid w:val="00345769"/>
    <w:rsid w:val="00346335"/>
    <w:rsid w:val="0034715E"/>
    <w:rsid w:val="00347318"/>
    <w:rsid w:val="0035093F"/>
    <w:rsid w:val="00351554"/>
    <w:rsid w:val="00351C89"/>
    <w:rsid w:val="00352A71"/>
    <w:rsid w:val="00352FA4"/>
    <w:rsid w:val="00353B93"/>
    <w:rsid w:val="00353CFA"/>
    <w:rsid w:val="003541B0"/>
    <w:rsid w:val="00354CD6"/>
    <w:rsid w:val="00354E2D"/>
    <w:rsid w:val="00355593"/>
    <w:rsid w:val="00355696"/>
    <w:rsid w:val="0035586A"/>
    <w:rsid w:val="00355878"/>
    <w:rsid w:val="00356CFA"/>
    <w:rsid w:val="00356F2C"/>
    <w:rsid w:val="003574D4"/>
    <w:rsid w:val="00357E64"/>
    <w:rsid w:val="00357FCC"/>
    <w:rsid w:val="003602D0"/>
    <w:rsid w:val="00360AC7"/>
    <w:rsid w:val="00360F26"/>
    <w:rsid w:val="003621A8"/>
    <w:rsid w:val="0036227A"/>
    <w:rsid w:val="00362FB9"/>
    <w:rsid w:val="003630B6"/>
    <w:rsid w:val="00363518"/>
    <w:rsid w:val="003635DE"/>
    <w:rsid w:val="003646E8"/>
    <w:rsid w:val="0036640F"/>
    <w:rsid w:val="003667C7"/>
    <w:rsid w:val="00366B9C"/>
    <w:rsid w:val="00366D2E"/>
    <w:rsid w:val="00367A12"/>
    <w:rsid w:val="00367A9D"/>
    <w:rsid w:val="00367F3B"/>
    <w:rsid w:val="00372317"/>
    <w:rsid w:val="0037291A"/>
    <w:rsid w:val="00372FD9"/>
    <w:rsid w:val="00373463"/>
    <w:rsid w:val="003740A0"/>
    <w:rsid w:val="00374C32"/>
    <w:rsid w:val="00375A52"/>
    <w:rsid w:val="003763E2"/>
    <w:rsid w:val="00376F18"/>
    <w:rsid w:val="0037755A"/>
    <w:rsid w:val="00380247"/>
    <w:rsid w:val="00380384"/>
    <w:rsid w:val="003803ED"/>
    <w:rsid w:val="0038066A"/>
    <w:rsid w:val="00380C15"/>
    <w:rsid w:val="003814E6"/>
    <w:rsid w:val="00381EF3"/>
    <w:rsid w:val="00381F3D"/>
    <w:rsid w:val="00382C6D"/>
    <w:rsid w:val="00383032"/>
    <w:rsid w:val="00384BA1"/>
    <w:rsid w:val="00385227"/>
    <w:rsid w:val="0038576E"/>
    <w:rsid w:val="003858C7"/>
    <w:rsid w:val="00387603"/>
    <w:rsid w:val="00387A7C"/>
    <w:rsid w:val="00392BEA"/>
    <w:rsid w:val="00393DD5"/>
    <w:rsid w:val="00393EEE"/>
    <w:rsid w:val="00395BF7"/>
    <w:rsid w:val="003964E6"/>
    <w:rsid w:val="0039729B"/>
    <w:rsid w:val="003972D3"/>
    <w:rsid w:val="00397497"/>
    <w:rsid w:val="00397950"/>
    <w:rsid w:val="00397C15"/>
    <w:rsid w:val="00397D05"/>
    <w:rsid w:val="003A06D7"/>
    <w:rsid w:val="003A0863"/>
    <w:rsid w:val="003A1BE7"/>
    <w:rsid w:val="003A2827"/>
    <w:rsid w:val="003A28C1"/>
    <w:rsid w:val="003A35DC"/>
    <w:rsid w:val="003A3A99"/>
    <w:rsid w:val="003A3BF9"/>
    <w:rsid w:val="003A4091"/>
    <w:rsid w:val="003A4A3A"/>
    <w:rsid w:val="003A4EDB"/>
    <w:rsid w:val="003A51CF"/>
    <w:rsid w:val="003A6635"/>
    <w:rsid w:val="003A668C"/>
    <w:rsid w:val="003A7A74"/>
    <w:rsid w:val="003A7C1C"/>
    <w:rsid w:val="003A7CFA"/>
    <w:rsid w:val="003A7DCE"/>
    <w:rsid w:val="003B0627"/>
    <w:rsid w:val="003B0F23"/>
    <w:rsid w:val="003B15AA"/>
    <w:rsid w:val="003B1C86"/>
    <w:rsid w:val="003B3548"/>
    <w:rsid w:val="003B4456"/>
    <w:rsid w:val="003B53DA"/>
    <w:rsid w:val="003B5EDC"/>
    <w:rsid w:val="003B6E5E"/>
    <w:rsid w:val="003B71D5"/>
    <w:rsid w:val="003B74C9"/>
    <w:rsid w:val="003C0D55"/>
    <w:rsid w:val="003C0E95"/>
    <w:rsid w:val="003C159B"/>
    <w:rsid w:val="003C1D4B"/>
    <w:rsid w:val="003C1E70"/>
    <w:rsid w:val="003C1EB5"/>
    <w:rsid w:val="003C23C3"/>
    <w:rsid w:val="003C241B"/>
    <w:rsid w:val="003C2E3B"/>
    <w:rsid w:val="003C332E"/>
    <w:rsid w:val="003C3585"/>
    <w:rsid w:val="003C5133"/>
    <w:rsid w:val="003C56D7"/>
    <w:rsid w:val="003C6BB9"/>
    <w:rsid w:val="003C75A2"/>
    <w:rsid w:val="003D0917"/>
    <w:rsid w:val="003D0D11"/>
    <w:rsid w:val="003D1661"/>
    <w:rsid w:val="003D218D"/>
    <w:rsid w:val="003D250C"/>
    <w:rsid w:val="003D2585"/>
    <w:rsid w:val="003D2A1E"/>
    <w:rsid w:val="003D341A"/>
    <w:rsid w:val="003D558F"/>
    <w:rsid w:val="003D58BC"/>
    <w:rsid w:val="003D5A51"/>
    <w:rsid w:val="003D7246"/>
    <w:rsid w:val="003D73E3"/>
    <w:rsid w:val="003D74E7"/>
    <w:rsid w:val="003D7520"/>
    <w:rsid w:val="003D75D7"/>
    <w:rsid w:val="003D7769"/>
    <w:rsid w:val="003D7B18"/>
    <w:rsid w:val="003D7CB6"/>
    <w:rsid w:val="003D7F8C"/>
    <w:rsid w:val="003E0753"/>
    <w:rsid w:val="003E0796"/>
    <w:rsid w:val="003E08B4"/>
    <w:rsid w:val="003E08D6"/>
    <w:rsid w:val="003E15EE"/>
    <w:rsid w:val="003E187F"/>
    <w:rsid w:val="003E18E7"/>
    <w:rsid w:val="003E1CAC"/>
    <w:rsid w:val="003E1D5F"/>
    <w:rsid w:val="003E1F92"/>
    <w:rsid w:val="003E21F2"/>
    <w:rsid w:val="003E2D7B"/>
    <w:rsid w:val="003E4957"/>
    <w:rsid w:val="003E606B"/>
    <w:rsid w:val="003E67B3"/>
    <w:rsid w:val="003E67C5"/>
    <w:rsid w:val="003E6DB3"/>
    <w:rsid w:val="003E706A"/>
    <w:rsid w:val="003E7197"/>
    <w:rsid w:val="003F047C"/>
    <w:rsid w:val="003F0A27"/>
    <w:rsid w:val="003F0B57"/>
    <w:rsid w:val="003F0E80"/>
    <w:rsid w:val="003F10A9"/>
    <w:rsid w:val="003F151F"/>
    <w:rsid w:val="003F247F"/>
    <w:rsid w:val="003F2620"/>
    <w:rsid w:val="003F274C"/>
    <w:rsid w:val="003F2FA5"/>
    <w:rsid w:val="003F503A"/>
    <w:rsid w:val="003F6CBD"/>
    <w:rsid w:val="003F725F"/>
    <w:rsid w:val="003F726C"/>
    <w:rsid w:val="003F7302"/>
    <w:rsid w:val="003F7EE9"/>
    <w:rsid w:val="00400354"/>
    <w:rsid w:val="00400481"/>
    <w:rsid w:val="004009C0"/>
    <w:rsid w:val="00400AD4"/>
    <w:rsid w:val="004024AC"/>
    <w:rsid w:val="004027C8"/>
    <w:rsid w:val="004031CD"/>
    <w:rsid w:val="004034F3"/>
    <w:rsid w:val="00404500"/>
    <w:rsid w:val="00404C47"/>
    <w:rsid w:val="004064AF"/>
    <w:rsid w:val="00406615"/>
    <w:rsid w:val="0040667A"/>
    <w:rsid w:val="0040692D"/>
    <w:rsid w:val="00406AD7"/>
    <w:rsid w:val="004076B4"/>
    <w:rsid w:val="00407C39"/>
    <w:rsid w:val="00407EB1"/>
    <w:rsid w:val="00410B33"/>
    <w:rsid w:val="00410E4A"/>
    <w:rsid w:val="0041129E"/>
    <w:rsid w:val="00411544"/>
    <w:rsid w:val="0041180F"/>
    <w:rsid w:val="00412035"/>
    <w:rsid w:val="00413266"/>
    <w:rsid w:val="004138D2"/>
    <w:rsid w:val="00413A7B"/>
    <w:rsid w:val="004141D9"/>
    <w:rsid w:val="00414355"/>
    <w:rsid w:val="00414B7A"/>
    <w:rsid w:val="00414BF4"/>
    <w:rsid w:val="004156D2"/>
    <w:rsid w:val="0041595F"/>
    <w:rsid w:val="00415BE2"/>
    <w:rsid w:val="00415D12"/>
    <w:rsid w:val="004160C3"/>
    <w:rsid w:val="0041634B"/>
    <w:rsid w:val="0041671F"/>
    <w:rsid w:val="0041738E"/>
    <w:rsid w:val="00417A83"/>
    <w:rsid w:val="00417D52"/>
    <w:rsid w:val="00417FBF"/>
    <w:rsid w:val="004206A2"/>
    <w:rsid w:val="00420998"/>
    <w:rsid w:val="00421EC2"/>
    <w:rsid w:val="004220DB"/>
    <w:rsid w:val="00422124"/>
    <w:rsid w:val="00422B12"/>
    <w:rsid w:val="004232D8"/>
    <w:rsid w:val="00423D91"/>
    <w:rsid w:val="00424667"/>
    <w:rsid w:val="00424CD6"/>
    <w:rsid w:val="00426B77"/>
    <w:rsid w:val="00426C79"/>
    <w:rsid w:val="00427231"/>
    <w:rsid w:val="00430381"/>
    <w:rsid w:val="004303B4"/>
    <w:rsid w:val="004308A8"/>
    <w:rsid w:val="00431794"/>
    <w:rsid w:val="004323EA"/>
    <w:rsid w:val="0043261C"/>
    <w:rsid w:val="00433961"/>
    <w:rsid w:val="0043398D"/>
    <w:rsid w:val="00433FA1"/>
    <w:rsid w:val="0043419A"/>
    <w:rsid w:val="00434266"/>
    <w:rsid w:val="004342FA"/>
    <w:rsid w:val="004345AA"/>
    <w:rsid w:val="00434702"/>
    <w:rsid w:val="0043514A"/>
    <w:rsid w:val="004357D4"/>
    <w:rsid w:val="0043595E"/>
    <w:rsid w:val="004363C5"/>
    <w:rsid w:val="004377DF"/>
    <w:rsid w:val="00440681"/>
    <w:rsid w:val="00440C2A"/>
    <w:rsid w:val="00440CDE"/>
    <w:rsid w:val="00441289"/>
    <w:rsid w:val="0044242B"/>
    <w:rsid w:val="004426D3"/>
    <w:rsid w:val="004457E4"/>
    <w:rsid w:val="00445DE1"/>
    <w:rsid w:val="00446A20"/>
    <w:rsid w:val="00446ED8"/>
    <w:rsid w:val="00446FE1"/>
    <w:rsid w:val="00447731"/>
    <w:rsid w:val="0045033E"/>
    <w:rsid w:val="004505C1"/>
    <w:rsid w:val="00450716"/>
    <w:rsid w:val="0045143A"/>
    <w:rsid w:val="00451976"/>
    <w:rsid w:val="00453C3F"/>
    <w:rsid w:val="00453E3E"/>
    <w:rsid w:val="00454821"/>
    <w:rsid w:val="00454FB6"/>
    <w:rsid w:val="004550DC"/>
    <w:rsid w:val="00455329"/>
    <w:rsid w:val="004559D6"/>
    <w:rsid w:val="004566D3"/>
    <w:rsid w:val="0045730A"/>
    <w:rsid w:val="00457721"/>
    <w:rsid w:val="0045797A"/>
    <w:rsid w:val="0045799F"/>
    <w:rsid w:val="00457CEC"/>
    <w:rsid w:val="004608F9"/>
    <w:rsid w:val="0046172B"/>
    <w:rsid w:val="0046172D"/>
    <w:rsid w:val="004617E1"/>
    <w:rsid w:val="00461D07"/>
    <w:rsid w:val="00462156"/>
    <w:rsid w:val="0046351A"/>
    <w:rsid w:val="00463A47"/>
    <w:rsid w:val="00463F47"/>
    <w:rsid w:val="004641B3"/>
    <w:rsid w:val="00464AF9"/>
    <w:rsid w:val="00465402"/>
    <w:rsid w:val="00467389"/>
    <w:rsid w:val="00467647"/>
    <w:rsid w:val="00467758"/>
    <w:rsid w:val="0047041C"/>
    <w:rsid w:val="004705C8"/>
    <w:rsid w:val="00471673"/>
    <w:rsid w:val="00471AA7"/>
    <w:rsid w:val="00471F6D"/>
    <w:rsid w:val="0047219D"/>
    <w:rsid w:val="004733AB"/>
    <w:rsid w:val="00473A5C"/>
    <w:rsid w:val="00474053"/>
    <w:rsid w:val="0047462E"/>
    <w:rsid w:val="004748AB"/>
    <w:rsid w:val="00475557"/>
    <w:rsid w:val="0047585E"/>
    <w:rsid w:val="00476B02"/>
    <w:rsid w:val="00476C2E"/>
    <w:rsid w:val="00476CA3"/>
    <w:rsid w:val="004779F0"/>
    <w:rsid w:val="00477FD7"/>
    <w:rsid w:val="0048072A"/>
    <w:rsid w:val="004809B1"/>
    <w:rsid w:val="00481108"/>
    <w:rsid w:val="0048165E"/>
    <w:rsid w:val="004818FC"/>
    <w:rsid w:val="00481A57"/>
    <w:rsid w:val="00481D19"/>
    <w:rsid w:val="004829A5"/>
    <w:rsid w:val="0048452A"/>
    <w:rsid w:val="00484B22"/>
    <w:rsid w:val="00485AB1"/>
    <w:rsid w:val="00485B13"/>
    <w:rsid w:val="00485DB4"/>
    <w:rsid w:val="0048719F"/>
    <w:rsid w:val="004872E5"/>
    <w:rsid w:val="00487A95"/>
    <w:rsid w:val="004903A3"/>
    <w:rsid w:val="004908E5"/>
    <w:rsid w:val="00490B42"/>
    <w:rsid w:val="00491483"/>
    <w:rsid w:val="00491F59"/>
    <w:rsid w:val="00492275"/>
    <w:rsid w:val="00492A64"/>
    <w:rsid w:val="00492BEB"/>
    <w:rsid w:val="0049304D"/>
    <w:rsid w:val="004937E9"/>
    <w:rsid w:val="0049383C"/>
    <w:rsid w:val="00493841"/>
    <w:rsid w:val="00495537"/>
    <w:rsid w:val="00495AA4"/>
    <w:rsid w:val="00495F36"/>
    <w:rsid w:val="0049638E"/>
    <w:rsid w:val="00496B49"/>
    <w:rsid w:val="00496B53"/>
    <w:rsid w:val="00497188"/>
    <w:rsid w:val="004972B3"/>
    <w:rsid w:val="004A01D9"/>
    <w:rsid w:val="004A111D"/>
    <w:rsid w:val="004A161E"/>
    <w:rsid w:val="004A2B99"/>
    <w:rsid w:val="004A30C5"/>
    <w:rsid w:val="004A3353"/>
    <w:rsid w:val="004A33F5"/>
    <w:rsid w:val="004A3AAD"/>
    <w:rsid w:val="004A3F89"/>
    <w:rsid w:val="004A57B7"/>
    <w:rsid w:val="004A63DE"/>
    <w:rsid w:val="004A6E05"/>
    <w:rsid w:val="004A7463"/>
    <w:rsid w:val="004B06EF"/>
    <w:rsid w:val="004B0CFD"/>
    <w:rsid w:val="004B18A2"/>
    <w:rsid w:val="004B1984"/>
    <w:rsid w:val="004B1A1E"/>
    <w:rsid w:val="004B1B50"/>
    <w:rsid w:val="004B1C33"/>
    <w:rsid w:val="004B21DE"/>
    <w:rsid w:val="004B2630"/>
    <w:rsid w:val="004B3944"/>
    <w:rsid w:val="004B397F"/>
    <w:rsid w:val="004B619D"/>
    <w:rsid w:val="004B6930"/>
    <w:rsid w:val="004B7A2D"/>
    <w:rsid w:val="004C00CB"/>
    <w:rsid w:val="004C0427"/>
    <w:rsid w:val="004C20CD"/>
    <w:rsid w:val="004C2C14"/>
    <w:rsid w:val="004C2E2D"/>
    <w:rsid w:val="004C3CD3"/>
    <w:rsid w:val="004C40F2"/>
    <w:rsid w:val="004C469C"/>
    <w:rsid w:val="004C4D75"/>
    <w:rsid w:val="004C55D7"/>
    <w:rsid w:val="004C65A4"/>
    <w:rsid w:val="004C7120"/>
    <w:rsid w:val="004C7BF8"/>
    <w:rsid w:val="004D063D"/>
    <w:rsid w:val="004D0A23"/>
    <w:rsid w:val="004D0BE1"/>
    <w:rsid w:val="004D1129"/>
    <w:rsid w:val="004D153D"/>
    <w:rsid w:val="004D1D4A"/>
    <w:rsid w:val="004D26B2"/>
    <w:rsid w:val="004D2F1C"/>
    <w:rsid w:val="004D423E"/>
    <w:rsid w:val="004D4806"/>
    <w:rsid w:val="004D4881"/>
    <w:rsid w:val="004D4E12"/>
    <w:rsid w:val="004D516F"/>
    <w:rsid w:val="004D756B"/>
    <w:rsid w:val="004E06A3"/>
    <w:rsid w:val="004E0F9D"/>
    <w:rsid w:val="004E1ACD"/>
    <w:rsid w:val="004E1C6F"/>
    <w:rsid w:val="004E3703"/>
    <w:rsid w:val="004E4302"/>
    <w:rsid w:val="004E49B5"/>
    <w:rsid w:val="004E54F6"/>
    <w:rsid w:val="004E5C8E"/>
    <w:rsid w:val="004E659F"/>
    <w:rsid w:val="004E7564"/>
    <w:rsid w:val="004E7AF5"/>
    <w:rsid w:val="004E7D53"/>
    <w:rsid w:val="004E7F93"/>
    <w:rsid w:val="004F2527"/>
    <w:rsid w:val="004F29EF"/>
    <w:rsid w:val="004F344A"/>
    <w:rsid w:val="004F3D5A"/>
    <w:rsid w:val="004F3E8B"/>
    <w:rsid w:val="004F5301"/>
    <w:rsid w:val="004F6338"/>
    <w:rsid w:val="004F70D4"/>
    <w:rsid w:val="004F7F16"/>
    <w:rsid w:val="0050042B"/>
    <w:rsid w:val="00500E1C"/>
    <w:rsid w:val="0050176F"/>
    <w:rsid w:val="00501FAC"/>
    <w:rsid w:val="00502C72"/>
    <w:rsid w:val="00504234"/>
    <w:rsid w:val="005044F6"/>
    <w:rsid w:val="00504F55"/>
    <w:rsid w:val="0050570E"/>
    <w:rsid w:val="00505716"/>
    <w:rsid w:val="00505B78"/>
    <w:rsid w:val="005060F5"/>
    <w:rsid w:val="005064C3"/>
    <w:rsid w:val="00506F1D"/>
    <w:rsid w:val="00506FB2"/>
    <w:rsid w:val="00507412"/>
    <w:rsid w:val="00507D5F"/>
    <w:rsid w:val="00507E61"/>
    <w:rsid w:val="005102F8"/>
    <w:rsid w:val="00510382"/>
    <w:rsid w:val="00510B75"/>
    <w:rsid w:val="005114D8"/>
    <w:rsid w:val="005117A6"/>
    <w:rsid w:val="00511E05"/>
    <w:rsid w:val="00511F5C"/>
    <w:rsid w:val="0051353B"/>
    <w:rsid w:val="0051360A"/>
    <w:rsid w:val="00513B1C"/>
    <w:rsid w:val="00513FFA"/>
    <w:rsid w:val="00514204"/>
    <w:rsid w:val="0051454A"/>
    <w:rsid w:val="005146E9"/>
    <w:rsid w:val="0051528C"/>
    <w:rsid w:val="0051680B"/>
    <w:rsid w:val="00517228"/>
    <w:rsid w:val="00520B03"/>
    <w:rsid w:val="00520CBA"/>
    <w:rsid w:val="00521397"/>
    <w:rsid w:val="005220A7"/>
    <w:rsid w:val="00522CA8"/>
    <w:rsid w:val="00522D4A"/>
    <w:rsid w:val="00523B30"/>
    <w:rsid w:val="00523BE5"/>
    <w:rsid w:val="00523DDB"/>
    <w:rsid w:val="005246BE"/>
    <w:rsid w:val="005252E6"/>
    <w:rsid w:val="00525A95"/>
    <w:rsid w:val="00525F4D"/>
    <w:rsid w:val="005260DA"/>
    <w:rsid w:val="00526597"/>
    <w:rsid w:val="00527A46"/>
    <w:rsid w:val="00527D70"/>
    <w:rsid w:val="00530555"/>
    <w:rsid w:val="00532039"/>
    <w:rsid w:val="00532402"/>
    <w:rsid w:val="00532B70"/>
    <w:rsid w:val="005343C2"/>
    <w:rsid w:val="005343CA"/>
    <w:rsid w:val="00534402"/>
    <w:rsid w:val="005355FB"/>
    <w:rsid w:val="00535CF7"/>
    <w:rsid w:val="00535E35"/>
    <w:rsid w:val="005360EF"/>
    <w:rsid w:val="00536B50"/>
    <w:rsid w:val="00540E63"/>
    <w:rsid w:val="00541397"/>
    <w:rsid w:val="00542DE7"/>
    <w:rsid w:val="0054306D"/>
    <w:rsid w:val="0054345B"/>
    <w:rsid w:val="00543C20"/>
    <w:rsid w:val="00543E80"/>
    <w:rsid w:val="00544E6A"/>
    <w:rsid w:val="00545A42"/>
    <w:rsid w:val="005462C7"/>
    <w:rsid w:val="0054688D"/>
    <w:rsid w:val="00546CBC"/>
    <w:rsid w:val="00547614"/>
    <w:rsid w:val="0054763A"/>
    <w:rsid w:val="005501F4"/>
    <w:rsid w:val="0055150F"/>
    <w:rsid w:val="00552C44"/>
    <w:rsid w:val="0055443D"/>
    <w:rsid w:val="00554689"/>
    <w:rsid w:val="0055519B"/>
    <w:rsid w:val="005552C3"/>
    <w:rsid w:val="005559F9"/>
    <w:rsid w:val="0055687B"/>
    <w:rsid w:val="005569F2"/>
    <w:rsid w:val="005571B6"/>
    <w:rsid w:val="00557501"/>
    <w:rsid w:val="00557D04"/>
    <w:rsid w:val="00560807"/>
    <w:rsid w:val="00561477"/>
    <w:rsid w:val="00561B51"/>
    <w:rsid w:val="005635EF"/>
    <w:rsid w:val="00564C60"/>
    <w:rsid w:val="00565DA1"/>
    <w:rsid w:val="00565DAF"/>
    <w:rsid w:val="005716F6"/>
    <w:rsid w:val="00572144"/>
    <w:rsid w:val="005724B9"/>
    <w:rsid w:val="00572916"/>
    <w:rsid w:val="00573730"/>
    <w:rsid w:val="0057420D"/>
    <w:rsid w:val="005745DC"/>
    <w:rsid w:val="00574C6B"/>
    <w:rsid w:val="00575F31"/>
    <w:rsid w:val="00577391"/>
    <w:rsid w:val="00577663"/>
    <w:rsid w:val="005777CF"/>
    <w:rsid w:val="00577C2C"/>
    <w:rsid w:val="00577DBF"/>
    <w:rsid w:val="00577EB0"/>
    <w:rsid w:val="005800CE"/>
    <w:rsid w:val="0058023E"/>
    <w:rsid w:val="005807A5"/>
    <w:rsid w:val="00581066"/>
    <w:rsid w:val="00581F1C"/>
    <w:rsid w:val="00582374"/>
    <w:rsid w:val="0058280D"/>
    <w:rsid w:val="00584DCD"/>
    <w:rsid w:val="00584DEF"/>
    <w:rsid w:val="00585336"/>
    <w:rsid w:val="00585ED6"/>
    <w:rsid w:val="00586FD7"/>
    <w:rsid w:val="005874C1"/>
    <w:rsid w:val="00587B68"/>
    <w:rsid w:val="00591984"/>
    <w:rsid w:val="00592199"/>
    <w:rsid w:val="005924F4"/>
    <w:rsid w:val="0059268A"/>
    <w:rsid w:val="00592C13"/>
    <w:rsid w:val="00593021"/>
    <w:rsid w:val="005936B3"/>
    <w:rsid w:val="00593723"/>
    <w:rsid w:val="00593D2A"/>
    <w:rsid w:val="005950AD"/>
    <w:rsid w:val="0059536A"/>
    <w:rsid w:val="00595F19"/>
    <w:rsid w:val="0059639C"/>
    <w:rsid w:val="00597795"/>
    <w:rsid w:val="00597CAA"/>
    <w:rsid w:val="005A02D4"/>
    <w:rsid w:val="005A1B4D"/>
    <w:rsid w:val="005A28E5"/>
    <w:rsid w:val="005A431D"/>
    <w:rsid w:val="005A4964"/>
    <w:rsid w:val="005A5885"/>
    <w:rsid w:val="005A7419"/>
    <w:rsid w:val="005A7505"/>
    <w:rsid w:val="005A79F8"/>
    <w:rsid w:val="005A7C0D"/>
    <w:rsid w:val="005B0148"/>
    <w:rsid w:val="005B12B8"/>
    <w:rsid w:val="005B2516"/>
    <w:rsid w:val="005B26B0"/>
    <w:rsid w:val="005B314B"/>
    <w:rsid w:val="005B4332"/>
    <w:rsid w:val="005B45BF"/>
    <w:rsid w:val="005B4C5B"/>
    <w:rsid w:val="005B5717"/>
    <w:rsid w:val="005B5AF0"/>
    <w:rsid w:val="005B6289"/>
    <w:rsid w:val="005B7066"/>
    <w:rsid w:val="005B7CB3"/>
    <w:rsid w:val="005B7DC6"/>
    <w:rsid w:val="005C01E9"/>
    <w:rsid w:val="005C0A1E"/>
    <w:rsid w:val="005C0A5D"/>
    <w:rsid w:val="005C13D8"/>
    <w:rsid w:val="005C2AD4"/>
    <w:rsid w:val="005C3055"/>
    <w:rsid w:val="005C366B"/>
    <w:rsid w:val="005C4752"/>
    <w:rsid w:val="005C486E"/>
    <w:rsid w:val="005C5554"/>
    <w:rsid w:val="005C623F"/>
    <w:rsid w:val="005C6293"/>
    <w:rsid w:val="005C65BB"/>
    <w:rsid w:val="005C663A"/>
    <w:rsid w:val="005C6A16"/>
    <w:rsid w:val="005C7696"/>
    <w:rsid w:val="005C7E1A"/>
    <w:rsid w:val="005D0175"/>
    <w:rsid w:val="005D0283"/>
    <w:rsid w:val="005D140D"/>
    <w:rsid w:val="005D1BC0"/>
    <w:rsid w:val="005D245A"/>
    <w:rsid w:val="005D2582"/>
    <w:rsid w:val="005D3FC8"/>
    <w:rsid w:val="005D468D"/>
    <w:rsid w:val="005D47AF"/>
    <w:rsid w:val="005D4864"/>
    <w:rsid w:val="005D5A49"/>
    <w:rsid w:val="005D65DE"/>
    <w:rsid w:val="005D68A6"/>
    <w:rsid w:val="005D6C9B"/>
    <w:rsid w:val="005D6F6F"/>
    <w:rsid w:val="005D7643"/>
    <w:rsid w:val="005D76F0"/>
    <w:rsid w:val="005E0A01"/>
    <w:rsid w:val="005E0B54"/>
    <w:rsid w:val="005E0E02"/>
    <w:rsid w:val="005E1060"/>
    <w:rsid w:val="005E2097"/>
    <w:rsid w:val="005E20E8"/>
    <w:rsid w:val="005E3BE1"/>
    <w:rsid w:val="005E4CE8"/>
    <w:rsid w:val="005E63A1"/>
    <w:rsid w:val="005E7469"/>
    <w:rsid w:val="005F08F3"/>
    <w:rsid w:val="005F1148"/>
    <w:rsid w:val="005F159C"/>
    <w:rsid w:val="005F2522"/>
    <w:rsid w:val="005F280D"/>
    <w:rsid w:val="005F2FCA"/>
    <w:rsid w:val="005F310D"/>
    <w:rsid w:val="005F3D31"/>
    <w:rsid w:val="005F3DDA"/>
    <w:rsid w:val="005F411F"/>
    <w:rsid w:val="005F42EE"/>
    <w:rsid w:val="005F47BA"/>
    <w:rsid w:val="005F4BA8"/>
    <w:rsid w:val="005F576D"/>
    <w:rsid w:val="005F5911"/>
    <w:rsid w:val="005F715B"/>
    <w:rsid w:val="005F746D"/>
    <w:rsid w:val="00600656"/>
    <w:rsid w:val="00600901"/>
    <w:rsid w:val="00600A3D"/>
    <w:rsid w:val="00601E93"/>
    <w:rsid w:val="006023AD"/>
    <w:rsid w:val="006034D1"/>
    <w:rsid w:val="00605A37"/>
    <w:rsid w:val="00607B12"/>
    <w:rsid w:val="00610111"/>
    <w:rsid w:val="00610F6B"/>
    <w:rsid w:val="00611BD6"/>
    <w:rsid w:val="00612762"/>
    <w:rsid w:val="00613AE6"/>
    <w:rsid w:val="0061402F"/>
    <w:rsid w:val="006154FA"/>
    <w:rsid w:val="00615742"/>
    <w:rsid w:val="00615B8B"/>
    <w:rsid w:val="0061661E"/>
    <w:rsid w:val="006166B5"/>
    <w:rsid w:val="00616745"/>
    <w:rsid w:val="00616781"/>
    <w:rsid w:val="006168C8"/>
    <w:rsid w:val="00616EEF"/>
    <w:rsid w:val="0061705A"/>
    <w:rsid w:val="006172F0"/>
    <w:rsid w:val="00617880"/>
    <w:rsid w:val="006211D2"/>
    <w:rsid w:val="006234B5"/>
    <w:rsid w:val="006236AC"/>
    <w:rsid w:val="006238C9"/>
    <w:rsid w:val="00623B09"/>
    <w:rsid w:val="00623ED7"/>
    <w:rsid w:val="006241C4"/>
    <w:rsid w:val="00624ECE"/>
    <w:rsid w:val="00626533"/>
    <w:rsid w:val="006270B0"/>
    <w:rsid w:val="0062761F"/>
    <w:rsid w:val="00627BAD"/>
    <w:rsid w:val="00627DCD"/>
    <w:rsid w:val="00630292"/>
    <w:rsid w:val="006313E9"/>
    <w:rsid w:val="00631B81"/>
    <w:rsid w:val="00631C40"/>
    <w:rsid w:val="00631F09"/>
    <w:rsid w:val="006323E6"/>
    <w:rsid w:val="00633944"/>
    <w:rsid w:val="00634B1F"/>
    <w:rsid w:val="00636201"/>
    <w:rsid w:val="00637754"/>
    <w:rsid w:val="006402E0"/>
    <w:rsid w:val="00640E03"/>
    <w:rsid w:val="00640E46"/>
    <w:rsid w:val="00641B23"/>
    <w:rsid w:val="00641D7D"/>
    <w:rsid w:val="00642075"/>
    <w:rsid w:val="00642455"/>
    <w:rsid w:val="00642E88"/>
    <w:rsid w:val="00642F0F"/>
    <w:rsid w:val="00643754"/>
    <w:rsid w:val="00643A0C"/>
    <w:rsid w:val="0064456D"/>
    <w:rsid w:val="00644D3C"/>
    <w:rsid w:val="0064556B"/>
    <w:rsid w:val="00646362"/>
    <w:rsid w:val="006463EE"/>
    <w:rsid w:val="006501F7"/>
    <w:rsid w:val="0065025E"/>
    <w:rsid w:val="0065029B"/>
    <w:rsid w:val="00650540"/>
    <w:rsid w:val="0065131C"/>
    <w:rsid w:val="00651586"/>
    <w:rsid w:val="006515F2"/>
    <w:rsid w:val="00651FCB"/>
    <w:rsid w:val="006525D4"/>
    <w:rsid w:val="006529AD"/>
    <w:rsid w:val="00652D3B"/>
    <w:rsid w:val="00653168"/>
    <w:rsid w:val="00653AC6"/>
    <w:rsid w:val="00654311"/>
    <w:rsid w:val="00654D88"/>
    <w:rsid w:val="00655A8F"/>
    <w:rsid w:val="00655D18"/>
    <w:rsid w:val="006565CF"/>
    <w:rsid w:val="00656EF6"/>
    <w:rsid w:val="006571CF"/>
    <w:rsid w:val="00657276"/>
    <w:rsid w:val="00657514"/>
    <w:rsid w:val="00657637"/>
    <w:rsid w:val="006606A4"/>
    <w:rsid w:val="00660969"/>
    <w:rsid w:val="00660C09"/>
    <w:rsid w:val="00660F95"/>
    <w:rsid w:val="00661578"/>
    <w:rsid w:val="0066178A"/>
    <w:rsid w:val="006618C4"/>
    <w:rsid w:val="0066195C"/>
    <w:rsid w:val="00662159"/>
    <w:rsid w:val="00662CF5"/>
    <w:rsid w:val="00663DE2"/>
    <w:rsid w:val="00664235"/>
    <w:rsid w:val="00664A52"/>
    <w:rsid w:val="00667CB9"/>
    <w:rsid w:val="00670EC9"/>
    <w:rsid w:val="00670F41"/>
    <w:rsid w:val="0067103C"/>
    <w:rsid w:val="006710D4"/>
    <w:rsid w:val="00671539"/>
    <w:rsid w:val="00671FFF"/>
    <w:rsid w:val="006721A4"/>
    <w:rsid w:val="00672B00"/>
    <w:rsid w:val="00672D66"/>
    <w:rsid w:val="0067550C"/>
    <w:rsid w:val="0067553A"/>
    <w:rsid w:val="00675A97"/>
    <w:rsid w:val="0067610E"/>
    <w:rsid w:val="0068090F"/>
    <w:rsid w:val="00680D9E"/>
    <w:rsid w:val="00681903"/>
    <w:rsid w:val="0068224E"/>
    <w:rsid w:val="0068302F"/>
    <w:rsid w:val="00684D7C"/>
    <w:rsid w:val="00684E5E"/>
    <w:rsid w:val="00685EAE"/>
    <w:rsid w:val="00686479"/>
    <w:rsid w:val="0068657A"/>
    <w:rsid w:val="0068665C"/>
    <w:rsid w:val="00687FDC"/>
    <w:rsid w:val="00690583"/>
    <w:rsid w:val="006906A2"/>
    <w:rsid w:val="00690703"/>
    <w:rsid w:val="00692193"/>
    <w:rsid w:val="00692A32"/>
    <w:rsid w:val="00692C18"/>
    <w:rsid w:val="00692E50"/>
    <w:rsid w:val="006933B1"/>
    <w:rsid w:val="00693925"/>
    <w:rsid w:val="00693CC2"/>
    <w:rsid w:val="00693E4A"/>
    <w:rsid w:val="006941F7"/>
    <w:rsid w:val="00694476"/>
    <w:rsid w:val="0069457C"/>
    <w:rsid w:val="006946F1"/>
    <w:rsid w:val="00694FAB"/>
    <w:rsid w:val="006952BB"/>
    <w:rsid w:val="00695479"/>
    <w:rsid w:val="00695D33"/>
    <w:rsid w:val="00696422"/>
    <w:rsid w:val="0069655B"/>
    <w:rsid w:val="00696A9A"/>
    <w:rsid w:val="00697325"/>
    <w:rsid w:val="0069753F"/>
    <w:rsid w:val="00697CC5"/>
    <w:rsid w:val="006A033A"/>
    <w:rsid w:val="006A0CEC"/>
    <w:rsid w:val="006A3333"/>
    <w:rsid w:val="006A37A5"/>
    <w:rsid w:val="006A3A4D"/>
    <w:rsid w:val="006A3C24"/>
    <w:rsid w:val="006A5D20"/>
    <w:rsid w:val="006B02E0"/>
    <w:rsid w:val="006B0B0F"/>
    <w:rsid w:val="006B1642"/>
    <w:rsid w:val="006B221C"/>
    <w:rsid w:val="006B3942"/>
    <w:rsid w:val="006B3A7B"/>
    <w:rsid w:val="006B45B0"/>
    <w:rsid w:val="006B4D0F"/>
    <w:rsid w:val="006B51CD"/>
    <w:rsid w:val="006B5E06"/>
    <w:rsid w:val="006B5E6A"/>
    <w:rsid w:val="006B65FA"/>
    <w:rsid w:val="006C165C"/>
    <w:rsid w:val="006C3AB2"/>
    <w:rsid w:val="006C3EEB"/>
    <w:rsid w:val="006C4643"/>
    <w:rsid w:val="006C46BF"/>
    <w:rsid w:val="006C4F0D"/>
    <w:rsid w:val="006C5AEC"/>
    <w:rsid w:val="006C61EF"/>
    <w:rsid w:val="006C75F4"/>
    <w:rsid w:val="006C790B"/>
    <w:rsid w:val="006D035C"/>
    <w:rsid w:val="006D1739"/>
    <w:rsid w:val="006D2C8A"/>
    <w:rsid w:val="006D31F3"/>
    <w:rsid w:val="006D334C"/>
    <w:rsid w:val="006D3E70"/>
    <w:rsid w:val="006D406F"/>
    <w:rsid w:val="006D4E01"/>
    <w:rsid w:val="006D5A20"/>
    <w:rsid w:val="006D65E8"/>
    <w:rsid w:val="006D6657"/>
    <w:rsid w:val="006D6825"/>
    <w:rsid w:val="006D6CB1"/>
    <w:rsid w:val="006D6D09"/>
    <w:rsid w:val="006E1705"/>
    <w:rsid w:val="006E1C34"/>
    <w:rsid w:val="006E1C96"/>
    <w:rsid w:val="006E2401"/>
    <w:rsid w:val="006E2A82"/>
    <w:rsid w:val="006E32B2"/>
    <w:rsid w:val="006E33D9"/>
    <w:rsid w:val="006E37B8"/>
    <w:rsid w:val="006E4DFC"/>
    <w:rsid w:val="006E67CA"/>
    <w:rsid w:val="006E6B64"/>
    <w:rsid w:val="006E7680"/>
    <w:rsid w:val="006E7A0B"/>
    <w:rsid w:val="006F0AA9"/>
    <w:rsid w:val="006F0C4C"/>
    <w:rsid w:val="006F0FCC"/>
    <w:rsid w:val="006F1E29"/>
    <w:rsid w:val="006F2528"/>
    <w:rsid w:val="006F26B2"/>
    <w:rsid w:val="006F2A25"/>
    <w:rsid w:val="006F37DB"/>
    <w:rsid w:val="006F3BF4"/>
    <w:rsid w:val="006F4529"/>
    <w:rsid w:val="006F51BE"/>
    <w:rsid w:val="006F6180"/>
    <w:rsid w:val="0070053A"/>
    <w:rsid w:val="007019F5"/>
    <w:rsid w:val="007023ED"/>
    <w:rsid w:val="0070389B"/>
    <w:rsid w:val="00704DB0"/>
    <w:rsid w:val="007054A9"/>
    <w:rsid w:val="007061F0"/>
    <w:rsid w:val="00706659"/>
    <w:rsid w:val="007070A1"/>
    <w:rsid w:val="00707B0E"/>
    <w:rsid w:val="00707C25"/>
    <w:rsid w:val="007101BB"/>
    <w:rsid w:val="0071054A"/>
    <w:rsid w:val="00711B67"/>
    <w:rsid w:val="00711ED8"/>
    <w:rsid w:val="007123ED"/>
    <w:rsid w:val="007126CD"/>
    <w:rsid w:val="00712BAD"/>
    <w:rsid w:val="00712D4D"/>
    <w:rsid w:val="00712F41"/>
    <w:rsid w:val="00713766"/>
    <w:rsid w:val="00713986"/>
    <w:rsid w:val="00714BCA"/>
    <w:rsid w:val="00714BFE"/>
    <w:rsid w:val="0071595D"/>
    <w:rsid w:val="00715ED2"/>
    <w:rsid w:val="00716216"/>
    <w:rsid w:val="007168D1"/>
    <w:rsid w:val="00716B89"/>
    <w:rsid w:val="007172E9"/>
    <w:rsid w:val="007208B6"/>
    <w:rsid w:val="0072223A"/>
    <w:rsid w:val="00723776"/>
    <w:rsid w:val="007238AF"/>
    <w:rsid w:val="00724139"/>
    <w:rsid w:val="0072433E"/>
    <w:rsid w:val="0072497D"/>
    <w:rsid w:val="007250C9"/>
    <w:rsid w:val="0072514E"/>
    <w:rsid w:val="00725446"/>
    <w:rsid w:val="0072621F"/>
    <w:rsid w:val="007263A6"/>
    <w:rsid w:val="00726D27"/>
    <w:rsid w:val="00726E6C"/>
    <w:rsid w:val="007270D9"/>
    <w:rsid w:val="0072713E"/>
    <w:rsid w:val="00730C41"/>
    <w:rsid w:val="00731491"/>
    <w:rsid w:val="007318E5"/>
    <w:rsid w:val="00731D3D"/>
    <w:rsid w:val="007328FD"/>
    <w:rsid w:val="00732C05"/>
    <w:rsid w:val="00733615"/>
    <w:rsid w:val="00733F6B"/>
    <w:rsid w:val="00733F94"/>
    <w:rsid w:val="007354C4"/>
    <w:rsid w:val="007358C2"/>
    <w:rsid w:val="00735E19"/>
    <w:rsid w:val="0073706E"/>
    <w:rsid w:val="00737A43"/>
    <w:rsid w:val="00737E78"/>
    <w:rsid w:val="007407FE"/>
    <w:rsid w:val="00740E67"/>
    <w:rsid w:val="0074109B"/>
    <w:rsid w:val="007415FA"/>
    <w:rsid w:val="00741903"/>
    <w:rsid w:val="00741BE8"/>
    <w:rsid w:val="00741E84"/>
    <w:rsid w:val="00741F45"/>
    <w:rsid w:val="00742773"/>
    <w:rsid w:val="007429F2"/>
    <w:rsid w:val="00742BBA"/>
    <w:rsid w:val="00743DAF"/>
    <w:rsid w:val="00745C23"/>
    <w:rsid w:val="00746052"/>
    <w:rsid w:val="00746368"/>
    <w:rsid w:val="00746522"/>
    <w:rsid w:val="0074736A"/>
    <w:rsid w:val="007477A9"/>
    <w:rsid w:val="007478C4"/>
    <w:rsid w:val="00750029"/>
    <w:rsid w:val="00750371"/>
    <w:rsid w:val="0075114F"/>
    <w:rsid w:val="007512CD"/>
    <w:rsid w:val="00751808"/>
    <w:rsid w:val="0075388C"/>
    <w:rsid w:val="007538E6"/>
    <w:rsid w:val="00753FAA"/>
    <w:rsid w:val="0075540D"/>
    <w:rsid w:val="007554AD"/>
    <w:rsid w:val="00755745"/>
    <w:rsid w:val="00755AB7"/>
    <w:rsid w:val="00755EC5"/>
    <w:rsid w:val="00755EFD"/>
    <w:rsid w:val="007565E9"/>
    <w:rsid w:val="00756646"/>
    <w:rsid w:val="007566B6"/>
    <w:rsid w:val="007579D7"/>
    <w:rsid w:val="0076040F"/>
    <w:rsid w:val="0076048C"/>
    <w:rsid w:val="00762739"/>
    <w:rsid w:val="007627D8"/>
    <w:rsid w:val="00763159"/>
    <w:rsid w:val="00763A9A"/>
    <w:rsid w:val="0076438E"/>
    <w:rsid w:val="0076598A"/>
    <w:rsid w:val="0076651D"/>
    <w:rsid w:val="0076664B"/>
    <w:rsid w:val="007675E3"/>
    <w:rsid w:val="0077003B"/>
    <w:rsid w:val="00770526"/>
    <w:rsid w:val="007710FB"/>
    <w:rsid w:val="007717F1"/>
    <w:rsid w:val="00771E59"/>
    <w:rsid w:val="007735B8"/>
    <w:rsid w:val="007747C8"/>
    <w:rsid w:val="00774BF4"/>
    <w:rsid w:val="00775E9F"/>
    <w:rsid w:val="00776E38"/>
    <w:rsid w:val="0077760A"/>
    <w:rsid w:val="00777873"/>
    <w:rsid w:val="00780989"/>
    <w:rsid w:val="007814D3"/>
    <w:rsid w:val="007820B7"/>
    <w:rsid w:val="0078296D"/>
    <w:rsid w:val="00783E77"/>
    <w:rsid w:val="007855CF"/>
    <w:rsid w:val="0078617D"/>
    <w:rsid w:val="00786B9B"/>
    <w:rsid w:val="0078746F"/>
    <w:rsid w:val="007878CE"/>
    <w:rsid w:val="007906AA"/>
    <w:rsid w:val="00795898"/>
    <w:rsid w:val="00795A4B"/>
    <w:rsid w:val="00795EA4"/>
    <w:rsid w:val="00796BC4"/>
    <w:rsid w:val="00797143"/>
    <w:rsid w:val="00797977"/>
    <w:rsid w:val="007A01E3"/>
    <w:rsid w:val="007A0849"/>
    <w:rsid w:val="007A1042"/>
    <w:rsid w:val="007A2159"/>
    <w:rsid w:val="007A3556"/>
    <w:rsid w:val="007A5388"/>
    <w:rsid w:val="007A6D03"/>
    <w:rsid w:val="007A6DB7"/>
    <w:rsid w:val="007A76DF"/>
    <w:rsid w:val="007A7D8D"/>
    <w:rsid w:val="007B080B"/>
    <w:rsid w:val="007B0B53"/>
    <w:rsid w:val="007B216F"/>
    <w:rsid w:val="007B248D"/>
    <w:rsid w:val="007B3327"/>
    <w:rsid w:val="007B40CA"/>
    <w:rsid w:val="007B48E8"/>
    <w:rsid w:val="007B4E7E"/>
    <w:rsid w:val="007B6365"/>
    <w:rsid w:val="007B6A46"/>
    <w:rsid w:val="007B76AF"/>
    <w:rsid w:val="007B7987"/>
    <w:rsid w:val="007B7A47"/>
    <w:rsid w:val="007C00FA"/>
    <w:rsid w:val="007C0900"/>
    <w:rsid w:val="007C0E20"/>
    <w:rsid w:val="007C1873"/>
    <w:rsid w:val="007C192D"/>
    <w:rsid w:val="007C238B"/>
    <w:rsid w:val="007C2459"/>
    <w:rsid w:val="007C283A"/>
    <w:rsid w:val="007C2D06"/>
    <w:rsid w:val="007C3FA4"/>
    <w:rsid w:val="007C5AE7"/>
    <w:rsid w:val="007C6152"/>
    <w:rsid w:val="007C6987"/>
    <w:rsid w:val="007C6ABD"/>
    <w:rsid w:val="007C7032"/>
    <w:rsid w:val="007D01DB"/>
    <w:rsid w:val="007D0B96"/>
    <w:rsid w:val="007D0F4E"/>
    <w:rsid w:val="007D2678"/>
    <w:rsid w:val="007D26EA"/>
    <w:rsid w:val="007D36A2"/>
    <w:rsid w:val="007D39CD"/>
    <w:rsid w:val="007D3A56"/>
    <w:rsid w:val="007D466B"/>
    <w:rsid w:val="007D4BA9"/>
    <w:rsid w:val="007D4BC1"/>
    <w:rsid w:val="007D4C43"/>
    <w:rsid w:val="007D5009"/>
    <w:rsid w:val="007D5767"/>
    <w:rsid w:val="007D6526"/>
    <w:rsid w:val="007D6DDF"/>
    <w:rsid w:val="007D738D"/>
    <w:rsid w:val="007D7E1B"/>
    <w:rsid w:val="007E0345"/>
    <w:rsid w:val="007E0433"/>
    <w:rsid w:val="007E0777"/>
    <w:rsid w:val="007E07E5"/>
    <w:rsid w:val="007E1CC6"/>
    <w:rsid w:val="007E231E"/>
    <w:rsid w:val="007E24D2"/>
    <w:rsid w:val="007E2553"/>
    <w:rsid w:val="007E4774"/>
    <w:rsid w:val="007E47DA"/>
    <w:rsid w:val="007E49E2"/>
    <w:rsid w:val="007E4C16"/>
    <w:rsid w:val="007E6720"/>
    <w:rsid w:val="007E7000"/>
    <w:rsid w:val="007E748A"/>
    <w:rsid w:val="007E766E"/>
    <w:rsid w:val="007E774C"/>
    <w:rsid w:val="007F072C"/>
    <w:rsid w:val="007F0895"/>
    <w:rsid w:val="007F1222"/>
    <w:rsid w:val="007F1411"/>
    <w:rsid w:val="007F1B23"/>
    <w:rsid w:val="007F1D4C"/>
    <w:rsid w:val="007F216D"/>
    <w:rsid w:val="007F24B9"/>
    <w:rsid w:val="007F2946"/>
    <w:rsid w:val="007F412A"/>
    <w:rsid w:val="007F4389"/>
    <w:rsid w:val="007F45AB"/>
    <w:rsid w:val="007F4D15"/>
    <w:rsid w:val="007F50C8"/>
    <w:rsid w:val="007F6575"/>
    <w:rsid w:val="007F67AB"/>
    <w:rsid w:val="007F692A"/>
    <w:rsid w:val="007F6A1D"/>
    <w:rsid w:val="007F7017"/>
    <w:rsid w:val="007F7507"/>
    <w:rsid w:val="007F7508"/>
    <w:rsid w:val="007F7549"/>
    <w:rsid w:val="008001FC"/>
    <w:rsid w:val="00801181"/>
    <w:rsid w:val="008017DC"/>
    <w:rsid w:val="00801B1A"/>
    <w:rsid w:val="00802EFE"/>
    <w:rsid w:val="008031CF"/>
    <w:rsid w:val="00803FC8"/>
    <w:rsid w:val="00804233"/>
    <w:rsid w:val="00805713"/>
    <w:rsid w:val="00805FFF"/>
    <w:rsid w:val="00806424"/>
    <w:rsid w:val="00806477"/>
    <w:rsid w:val="008066D6"/>
    <w:rsid w:val="0080748A"/>
    <w:rsid w:val="00807BA1"/>
    <w:rsid w:val="00807DB0"/>
    <w:rsid w:val="0081017A"/>
    <w:rsid w:val="008107EE"/>
    <w:rsid w:val="0081081E"/>
    <w:rsid w:val="0081237C"/>
    <w:rsid w:val="00812584"/>
    <w:rsid w:val="008129F0"/>
    <w:rsid w:val="008130D0"/>
    <w:rsid w:val="00813744"/>
    <w:rsid w:val="00814A63"/>
    <w:rsid w:val="00815154"/>
    <w:rsid w:val="0081635C"/>
    <w:rsid w:val="008170EC"/>
    <w:rsid w:val="00817AB0"/>
    <w:rsid w:val="00820040"/>
    <w:rsid w:val="008204CA"/>
    <w:rsid w:val="00820602"/>
    <w:rsid w:val="00820A85"/>
    <w:rsid w:val="00820D0C"/>
    <w:rsid w:val="00820E5B"/>
    <w:rsid w:val="00820FAC"/>
    <w:rsid w:val="00821159"/>
    <w:rsid w:val="008221A8"/>
    <w:rsid w:val="00822D37"/>
    <w:rsid w:val="0082355A"/>
    <w:rsid w:val="00823572"/>
    <w:rsid w:val="00823A6A"/>
    <w:rsid w:val="00823DEB"/>
    <w:rsid w:val="008242EA"/>
    <w:rsid w:val="00824596"/>
    <w:rsid w:val="00824613"/>
    <w:rsid w:val="0082515F"/>
    <w:rsid w:val="00825AA2"/>
    <w:rsid w:val="00825DF8"/>
    <w:rsid w:val="0083144A"/>
    <w:rsid w:val="008314C9"/>
    <w:rsid w:val="008328C6"/>
    <w:rsid w:val="00833774"/>
    <w:rsid w:val="008340C6"/>
    <w:rsid w:val="008353CC"/>
    <w:rsid w:val="00835979"/>
    <w:rsid w:val="00835ECD"/>
    <w:rsid w:val="00840028"/>
    <w:rsid w:val="00840575"/>
    <w:rsid w:val="008409C9"/>
    <w:rsid w:val="00841F6C"/>
    <w:rsid w:val="00842C8E"/>
    <w:rsid w:val="00843019"/>
    <w:rsid w:val="00843684"/>
    <w:rsid w:val="00844AE7"/>
    <w:rsid w:val="008466D9"/>
    <w:rsid w:val="00846971"/>
    <w:rsid w:val="0084723A"/>
    <w:rsid w:val="0084739A"/>
    <w:rsid w:val="00847664"/>
    <w:rsid w:val="00847D3A"/>
    <w:rsid w:val="0085035B"/>
    <w:rsid w:val="00850A5C"/>
    <w:rsid w:val="0085123F"/>
    <w:rsid w:val="008519E3"/>
    <w:rsid w:val="00852AF8"/>
    <w:rsid w:val="00855EEF"/>
    <w:rsid w:val="00856451"/>
    <w:rsid w:val="00857231"/>
    <w:rsid w:val="00857AD7"/>
    <w:rsid w:val="00857E0C"/>
    <w:rsid w:val="008607E9"/>
    <w:rsid w:val="0086092A"/>
    <w:rsid w:val="00860EFA"/>
    <w:rsid w:val="0086156A"/>
    <w:rsid w:val="008619B1"/>
    <w:rsid w:val="00861E2D"/>
    <w:rsid w:val="00861E96"/>
    <w:rsid w:val="00862DE5"/>
    <w:rsid w:val="008637CA"/>
    <w:rsid w:val="00863C63"/>
    <w:rsid w:val="00863D56"/>
    <w:rsid w:val="0086433B"/>
    <w:rsid w:val="008650FE"/>
    <w:rsid w:val="0086520B"/>
    <w:rsid w:val="00867FC1"/>
    <w:rsid w:val="00871EB5"/>
    <w:rsid w:val="00872248"/>
    <w:rsid w:val="00872621"/>
    <w:rsid w:val="008727CF"/>
    <w:rsid w:val="00872E8B"/>
    <w:rsid w:val="00872FC3"/>
    <w:rsid w:val="008737D6"/>
    <w:rsid w:val="0087525A"/>
    <w:rsid w:val="00875AA2"/>
    <w:rsid w:val="00877998"/>
    <w:rsid w:val="00877A2B"/>
    <w:rsid w:val="00880101"/>
    <w:rsid w:val="00881C8C"/>
    <w:rsid w:val="00882207"/>
    <w:rsid w:val="008822B7"/>
    <w:rsid w:val="00882BD0"/>
    <w:rsid w:val="00882D06"/>
    <w:rsid w:val="00883991"/>
    <w:rsid w:val="00883DFC"/>
    <w:rsid w:val="008840F6"/>
    <w:rsid w:val="00884574"/>
    <w:rsid w:val="00884735"/>
    <w:rsid w:val="008847DC"/>
    <w:rsid w:val="00884DC6"/>
    <w:rsid w:val="00886677"/>
    <w:rsid w:val="008867BF"/>
    <w:rsid w:val="00890C8C"/>
    <w:rsid w:val="00890D7A"/>
    <w:rsid w:val="008914C0"/>
    <w:rsid w:val="00891CEC"/>
    <w:rsid w:val="00892137"/>
    <w:rsid w:val="00892FB1"/>
    <w:rsid w:val="00893099"/>
    <w:rsid w:val="00893523"/>
    <w:rsid w:val="00894043"/>
    <w:rsid w:val="008946C1"/>
    <w:rsid w:val="0089526C"/>
    <w:rsid w:val="00895555"/>
    <w:rsid w:val="008956B0"/>
    <w:rsid w:val="00895E3E"/>
    <w:rsid w:val="00896804"/>
    <w:rsid w:val="00897515"/>
    <w:rsid w:val="0089771D"/>
    <w:rsid w:val="008A0D4D"/>
    <w:rsid w:val="008A18D7"/>
    <w:rsid w:val="008A1BD9"/>
    <w:rsid w:val="008A24AB"/>
    <w:rsid w:val="008A2B99"/>
    <w:rsid w:val="008A2BD1"/>
    <w:rsid w:val="008A2C4A"/>
    <w:rsid w:val="008A345B"/>
    <w:rsid w:val="008A3781"/>
    <w:rsid w:val="008A3EA7"/>
    <w:rsid w:val="008A3F67"/>
    <w:rsid w:val="008A54E5"/>
    <w:rsid w:val="008A5A24"/>
    <w:rsid w:val="008A5DB0"/>
    <w:rsid w:val="008A5E83"/>
    <w:rsid w:val="008A62AD"/>
    <w:rsid w:val="008A66F6"/>
    <w:rsid w:val="008A747E"/>
    <w:rsid w:val="008A7A12"/>
    <w:rsid w:val="008B0140"/>
    <w:rsid w:val="008B0FE0"/>
    <w:rsid w:val="008B2372"/>
    <w:rsid w:val="008B27CA"/>
    <w:rsid w:val="008B2EE5"/>
    <w:rsid w:val="008B3ACD"/>
    <w:rsid w:val="008B463F"/>
    <w:rsid w:val="008B5AAA"/>
    <w:rsid w:val="008B5FFE"/>
    <w:rsid w:val="008B6542"/>
    <w:rsid w:val="008B6DF7"/>
    <w:rsid w:val="008B704B"/>
    <w:rsid w:val="008B7803"/>
    <w:rsid w:val="008B791D"/>
    <w:rsid w:val="008C0055"/>
    <w:rsid w:val="008C0828"/>
    <w:rsid w:val="008C0853"/>
    <w:rsid w:val="008C0959"/>
    <w:rsid w:val="008C1087"/>
    <w:rsid w:val="008C13C8"/>
    <w:rsid w:val="008C18DA"/>
    <w:rsid w:val="008C21C2"/>
    <w:rsid w:val="008C2C1B"/>
    <w:rsid w:val="008C30E7"/>
    <w:rsid w:val="008C4604"/>
    <w:rsid w:val="008C545D"/>
    <w:rsid w:val="008C58B5"/>
    <w:rsid w:val="008C59F2"/>
    <w:rsid w:val="008C5D20"/>
    <w:rsid w:val="008C715B"/>
    <w:rsid w:val="008C7358"/>
    <w:rsid w:val="008C7D51"/>
    <w:rsid w:val="008C7EAC"/>
    <w:rsid w:val="008D0C95"/>
    <w:rsid w:val="008D0EB8"/>
    <w:rsid w:val="008D1A82"/>
    <w:rsid w:val="008D1E43"/>
    <w:rsid w:val="008D23C0"/>
    <w:rsid w:val="008D3890"/>
    <w:rsid w:val="008D3942"/>
    <w:rsid w:val="008D48AE"/>
    <w:rsid w:val="008D6773"/>
    <w:rsid w:val="008D6A8B"/>
    <w:rsid w:val="008D6DB0"/>
    <w:rsid w:val="008D7A2F"/>
    <w:rsid w:val="008E0467"/>
    <w:rsid w:val="008E0857"/>
    <w:rsid w:val="008E0881"/>
    <w:rsid w:val="008E0F8F"/>
    <w:rsid w:val="008E1D21"/>
    <w:rsid w:val="008E20C0"/>
    <w:rsid w:val="008E2AE0"/>
    <w:rsid w:val="008E2B9A"/>
    <w:rsid w:val="008E3459"/>
    <w:rsid w:val="008E34DB"/>
    <w:rsid w:val="008E460B"/>
    <w:rsid w:val="008E4969"/>
    <w:rsid w:val="008E5343"/>
    <w:rsid w:val="008E589B"/>
    <w:rsid w:val="008E59AF"/>
    <w:rsid w:val="008E6AD7"/>
    <w:rsid w:val="008E7251"/>
    <w:rsid w:val="008F00BE"/>
    <w:rsid w:val="008F09CF"/>
    <w:rsid w:val="008F0D23"/>
    <w:rsid w:val="008F2E4D"/>
    <w:rsid w:val="008F3165"/>
    <w:rsid w:val="008F321F"/>
    <w:rsid w:val="008F4740"/>
    <w:rsid w:val="008F59A1"/>
    <w:rsid w:val="008F7400"/>
    <w:rsid w:val="008F7705"/>
    <w:rsid w:val="008F7C4E"/>
    <w:rsid w:val="0090044B"/>
    <w:rsid w:val="009006D0"/>
    <w:rsid w:val="00901152"/>
    <w:rsid w:val="009019A7"/>
    <w:rsid w:val="00903379"/>
    <w:rsid w:val="00903438"/>
    <w:rsid w:val="009039DF"/>
    <w:rsid w:val="00903F5A"/>
    <w:rsid w:val="00904907"/>
    <w:rsid w:val="00904952"/>
    <w:rsid w:val="00904C15"/>
    <w:rsid w:val="00904C30"/>
    <w:rsid w:val="00905843"/>
    <w:rsid w:val="0090624D"/>
    <w:rsid w:val="00906693"/>
    <w:rsid w:val="00906CE6"/>
    <w:rsid w:val="00906D5A"/>
    <w:rsid w:val="009076A2"/>
    <w:rsid w:val="009078EA"/>
    <w:rsid w:val="009103D0"/>
    <w:rsid w:val="009109E0"/>
    <w:rsid w:val="009121B3"/>
    <w:rsid w:val="0091299B"/>
    <w:rsid w:val="00912CB8"/>
    <w:rsid w:val="00912D67"/>
    <w:rsid w:val="00913B84"/>
    <w:rsid w:val="0091434A"/>
    <w:rsid w:val="009144D2"/>
    <w:rsid w:val="0091494E"/>
    <w:rsid w:val="009149D9"/>
    <w:rsid w:val="00914B20"/>
    <w:rsid w:val="00914E33"/>
    <w:rsid w:val="0091503F"/>
    <w:rsid w:val="00915390"/>
    <w:rsid w:val="009155F1"/>
    <w:rsid w:val="00915D0B"/>
    <w:rsid w:val="00916170"/>
    <w:rsid w:val="009162C1"/>
    <w:rsid w:val="00916C81"/>
    <w:rsid w:val="0091741A"/>
    <w:rsid w:val="00917D17"/>
    <w:rsid w:val="00917FC7"/>
    <w:rsid w:val="009200B3"/>
    <w:rsid w:val="00921E4B"/>
    <w:rsid w:val="00922096"/>
    <w:rsid w:val="00922441"/>
    <w:rsid w:val="0092284A"/>
    <w:rsid w:val="00922F74"/>
    <w:rsid w:val="00923552"/>
    <w:rsid w:val="009248CA"/>
    <w:rsid w:val="00925D25"/>
    <w:rsid w:val="00925F3E"/>
    <w:rsid w:val="009270C7"/>
    <w:rsid w:val="00927812"/>
    <w:rsid w:val="00927AAC"/>
    <w:rsid w:val="00930C1A"/>
    <w:rsid w:val="00930C36"/>
    <w:rsid w:val="00930D19"/>
    <w:rsid w:val="009324FB"/>
    <w:rsid w:val="00933D53"/>
    <w:rsid w:val="009340BA"/>
    <w:rsid w:val="00934901"/>
    <w:rsid w:val="00934BFE"/>
    <w:rsid w:val="00935022"/>
    <w:rsid w:val="0093598C"/>
    <w:rsid w:val="00935AFB"/>
    <w:rsid w:val="00936E0D"/>
    <w:rsid w:val="009374C4"/>
    <w:rsid w:val="009379B4"/>
    <w:rsid w:val="0094011D"/>
    <w:rsid w:val="00940BAD"/>
    <w:rsid w:val="009410FE"/>
    <w:rsid w:val="0094146D"/>
    <w:rsid w:val="00941634"/>
    <w:rsid w:val="00941668"/>
    <w:rsid w:val="00941842"/>
    <w:rsid w:val="00941AC4"/>
    <w:rsid w:val="00941C65"/>
    <w:rsid w:val="00942380"/>
    <w:rsid w:val="0094427B"/>
    <w:rsid w:val="009444A5"/>
    <w:rsid w:val="00944EF4"/>
    <w:rsid w:val="00945801"/>
    <w:rsid w:val="00946321"/>
    <w:rsid w:val="00947163"/>
    <w:rsid w:val="009478EF"/>
    <w:rsid w:val="009507FC"/>
    <w:rsid w:val="00950E6C"/>
    <w:rsid w:val="00951494"/>
    <w:rsid w:val="00952167"/>
    <w:rsid w:val="00952B00"/>
    <w:rsid w:val="0095399E"/>
    <w:rsid w:val="009542D8"/>
    <w:rsid w:val="009543FB"/>
    <w:rsid w:val="009549AC"/>
    <w:rsid w:val="00954A2D"/>
    <w:rsid w:val="00954B86"/>
    <w:rsid w:val="00955531"/>
    <w:rsid w:val="009559C2"/>
    <w:rsid w:val="009575B5"/>
    <w:rsid w:val="0096086B"/>
    <w:rsid w:val="00960948"/>
    <w:rsid w:val="009613A6"/>
    <w:rsid w:val="009613EF"/>
    <w:rsid w:val="00961CB0"/>
    <w:rsid w:val="009622B0"/>
    <w:rsid w:val="009628CC"/>
    <w:rsid w:val="00963BF2"/>
    <w:rsid w:val="00964609"/>
    <w:rsid w:val="009659D4"/>
    <w:rsid w:val="00966EED"/>
    <w:rsid w:val="00967317"/>
    <w:rsid w:val="009708CA"/>
    <w:rsid w:val="00970A59"/>
    <w:rsid w:val="00970BBD"/>
    <w:rsid w:val="00970F95"/>
    <w:rsid w:val="00972143"/>
    <w:rsid w:val="0097248D"/>
    <w:rsid w:val="0097255A"/>
    <w:rsid w:val="009726A1"/>
    <w:rsid w:val="00973AC1"/>
    <w:rsid w:val="0097403B"/>
    <w:rsid w:val="0097436A"/>
    <w:rsid w:val="0097472C"/>
    <w:rsid w:val="00974AD0"/>
    <w:rsid w:val="00974B52"/>
    <w:rsid w:val="009753B8"/>
    <w:rsid w:val="00976256"/>
    <w:rsid w:val="009766A4"/>
    <w:rsid w:val="00976769"/>
    <w:rsid w:val="00976D24"/>
    <w:rsid w:val="009770ED"/>
    <w:rsid w:val="009770FE"/>
    <w:rsid w:val="00977620"/>
    <w:rsid w:val="009779B7"/>
    <w:rsid w:val="0098008B"/>
    <w:rsid w:val="00980800"/>
    <w:rsid w:val="0098151D"/>
    <w:rsid w:val="009822F6"/>
    <w:rsid w:val="009836A8"/>
    <w:rsid w:val="00983F0D"/>
    <w:rsid w:val="00984946"/>
    <w:rsid w:val="00986E28"/>
    <w:rsid w:val="00986EDC"/>
    <w:rsid w:val="00987018"/>
    <w:rsid w:val="009918AB"/>
    <w:rsid w:val="00991AE7"/>
    <w:rsid w:val="00992073"/>
    <w:rsid w:val="00992609"/>
    <w:rsid w:val="0099423C"/>
    <w:rsid w:val="00994604"/>
    <w:rsid w:val="00995679"/>
    <w:rsid w:val="00995808"/>
    <w:rsid w:val="00996142"/>
    <w:rsid w:val="00996D94"/>
    <w:rsid w:val="009972E0"/>
    <w:rsid w:val="009A123A"/>
    <w:rsid w:val="009A15B5"/>
    <w:rsid w:val="009A1801"/>
    <w:rsid w:val="009A1857"/>
    <w:rsid w:val="009A1D8B"/>
    <w:rsid w:val="009A1ED5"/>
    <w:rsid w:val="009A2D94"/>
    <w:rsid w:val="009A3993"/>
    <w:rsid w:val="009A4440"/>
    <w:rsid w:val="009A46F7"/>
    <w:rsid w:val="009A4CDC"/>
    <w:rsid w:val="009A4D16"/>
    <w:rsid w:val="009A5EFC"/>
    <w:rsid w:val="009A6F3D"/>
    <w:rsid w:val="009A73A2"/>
    <w:rsid w:val="009A7481"/>
    <w:rsid w:val="009A78BF"/>
    <w:rsid w:val="009B0C90"/>
    <w:rsid w:val="009B0CE9"/>
    <w:rsid w:val="009B16A2"/>
    <w:rsid w:val="009B1EA3"/>
    <w:rsid w:val="009B25F3"/>
    <w:rsid w:val="009B5075"/>
    <w:rsid w:val="009B50B6"/>
    <w:rsid w:val="009B53D3"/>
    <w:rsid w:val="009B58C5"/>
    <w:rsid w:val="009B63BC"/>
    <w:rsid w:val="009B697B"/>
    <w:rsid w:val="009B7C07"/>
    <w:rsid w:val="009B7EA8"/>
    <w:rsid w:val="009C0E91"/>
    <w:rsid w:val="009C16AB"/>
    <w:rsid w:val="009C2355"/>
    <w:rsid w:val="009C3769"/>
    <w:rsid w:val="009C38CB"/>
    <w:rsid w:val="009C4D30"/>
    <w:rsid w:val="009C60A2"/>
    <w:rsid w:val="009C6B87"/>
    <w:rsid w:val="009C6DB1"/>
    <w:rsid w:val="009C6F86"/>
    <w:rsid w:val="009C7F5A"/>
    <w:rsid w:val="009D0316"/>
    <w:rsid w:val="009D215D"/>
    <w:rsid w:val="009D290F"/>
    <w:rsid w:val="009D2A5F"/>
    <w:rsid w:val="009D3FBB"/>
    <w:rsid w:val="009D6C7E"/>
    <w:rsid w:val="009D6FD2"/>
    <w:rsid w:val="009D7183"/>
    <w:rsid w:val="009D7373"/>
    <w:rsid w:val="009D7900"/>
    <w:rsid w:val="009D7A8C"/>
    <w:rsid w:val="009E084E"/>
    <w:rsid w:val="009E0F27"/>
    <w:rsid w:val="009E19BC"/>
    <w:rsid w:val="009E1AB0"/>
    <w:rsid w:val="009E28D6"/>
    <w:rsid w:val="009E3C06"/>
    <w:rsid w:val="009E3CBD"/>
    <w:rsid w:val="009E440F"/>
    <w:rsid w:val="009E4D67"/>
    <w:rsid w:val="009E4DFD"/>
    <w:rsid w:val="009E50D9"/>
    <w:rsid w:val="009E53C8"/>
    <w:rsid w:val="009E5526"/>
    <w:rsid w:val="009E57A5"/>
    <w:rsid w:val="009E598F"/>
    <w:rsid w:val="009E60D6"/>
    <w:rsid w:val="009E69EF"/>
    <w:rsid w:val="009E7590"/>
    <w:rsid w:val="009E7BF9"/>
    <w:rsid w:val="009F14F9"/>
    <w:rsid w:val="009F1F04"/>
    <w:rsid w:val="009F2E01"/>
    <w:rsid w:val="009F420C"/>
    <w:rsid w:val="009F4CEE"/>
    <w:rsid w:val="009F57D1"/>
    <w:rsid w:val="009F5CFF"/>
    <w:rsid w:val="009F671A"/>
    <w:rsid w:val="009F68E0"/>
    <w:rsid w:val="009F7FE1"/>
    <w:rsid w:val="00A004B3"/>
    <w:rsid w:val="00A00A11"/>
    <w:rsid w:val="00A013EF"/>
    <w:rsid w:val="00A01BC0"/>
    <w:rsid w:val="00A02293"/>
    <w:rsid w:val="00A02E4F"/>
    <w:rsid w:val="00A0316D"/>
    <w:rsid w:val="00A035C1"/>
    <w:rsid w:val="00A03C85"/>
    <w:rsid w:val="00A0408D"/>
    <w:rsid w:val="00A04664"/>
    <w:rsid w:val="00A05393"/>
    <w:rsid w:val="00A06384"/>
    <w:rsid w:val="00A06D51"/>
    <w:rsid w:val="00A07A38"/>
    <w:rsid w:val="00A10272"/>
    <w:rsid w:val="00A11517"/>
    <w:rsid w:val="00A11E00"/>
    <w:rsid w:val="00A12503"/>
    <w:rsid w:val="00A12586"/>
    <w:rsid w:val="00A13B89"/>
    <w:rsid w:val="00A13D94"/>
    <w:rsid w:val="00A13F28"/>
    <w:rsid w:val="00A14025"/>
    <w:rsid w:val="00A14C2C"/>
    <w:rsid w:val="00A150F4"/>
    <w:rsid w:val="00A15B0F"/>
    <w:rsid w:val="00A15D82"/>
    <w:rsid w:val="00A15DAF"/>
    <w:rsid w:val="00A160AA"/>
    <w:rsid w:val="00A1744D"/>
    <w:rsid w:val="00A17721"/>
    <w:rsid w:val="00A20753"/>
    <w:rsid w:val="00A216ED"/>
    <w:rsid w:val="00A21CE4"/>
    <w:rsid w:val="00A21FD6"/>
    <w:rsid w:val="00A22CEB"/>
    <w:rsid w:val="00A24256"/>
    <w:rsid w:val="00A2499B"/>
    <w:rsid w:val="00A24B7E"/>
    <w:rsid w:val="00A25385"/>
    <w:rsid w:val="00A2653F"/>
    <w:rsid w:val="00A27B3B"/>
    <w:rsid w:val="00A27E4E"/>
    <w:rsid w:val="00A3034F"/>
    <w:rsid w:val="00A30A13"/>
    <w:rsid w:val="00A32501"/>
    <w:rsid w:val="00A333AC"/>
    <w:rsid w:val="00A342E0"/>
    <w:rsid w:val="00A35DC3"/>
    <w:rsid w:val="00A362BB"/>
    <w:rsid w:val="00A36850"/>
    <w:rsid w:val="00A368BF"/>
    <w:rsid w:val="00A36F1E"/>
    <w:rsid w:val="00A37BEF"/>
    <w:rsid w:val="00A41935"/>
    <w:rsid w:val="00A41962"/>
    <w:rsid w:val="00A421C5"/>
    <w:rsid w:val="00A42719"/>
    <w:rsid w:val="00A43673"/>
    <w:rsid w:val="00A43B63"/>
    <w:rsid w:val="00A441A1"/>
    <w:rsid w:val="00A44F7D"/>
    <w:rsid w:val="00A45DED"/>
    <w:rsid w:val="00A462DF"/>
    <w:rsid w:val="00A46366"/>
    <w:rsid w:val="00A46588"/>
    <w:rsid w:val="00A46A5F"/>
    <w:rsid w:val="00A46C81"/>
    <w:rsid w:val="00A50484"/>
    <w:rsid w:val="00A51011"/>
    <w:rsid w:val="00A51189"/>
    <w:rsid w:val="00A52321"/>
    <w:rsid w:val="00A52D7B"/>
    <w:rsid w:val="00A53A6C"/>
    <w:rsid w:val="00A546BE"/>
    <w:rsid w:val="00A546C9"/>
    <w:rsid w:val="00A5546B"/>
    <w:rsid w:val="00A5592E"/>
    <w:rsid w:val="00A55955"/>
    <w:rsid w:val="00A55E69"/>
    <w:rsid w:val="00A56CE9"/>
    <w:rsid w:val="00A57F08"/>
    <w:rsid w:val="00A600FB"/>
    <w:rsid w:val="00A6043C"/>
    <w:rsid w:val="00A618FC"/>
    <w:rsid w:val="00A61EAE"/>
    <w:rsid w:val="00A62640"/>
    <w:rsid w:val="00A62DFA"/>
    <w:rsid w:val="00A6341D"/>
    <w:rsid w:val="00A6341F"/>
    <w:rsid w:val="00A65237"/>
    <w:rsid w:val="00A656D2"/>
    <w:rsid w:val="00A65985"/>
    <w:rsid w:val="00A66F15"/>
    <w:rsid w:val="00A67679"/>
    <w:rsid w:val="00A67C2F"/>
    <w:rsid w:val="00A67DDC"/>
    <w:rsid w:val="00A70139"/>
    <w:rsid w:val="00A7032D"/>
    <w:rsid w:val="00A70506"/>
    <w:rsid w:val="00A715A5"/>
    <w:rsid w:val="00A71956"/>
    <w:rsid w:val="00A71B98"/>
    <w:rsid w:val="00A71F45"/>
    <w:rsid w:val="00A7361A"/>
    <w:rsid w:val="00A745BE"/>
    <w:rsid w:val="00A749CA"/>
    <w:rsid w:val="00A74D5D"/>
    <w:rsid w:val="00A7529C"/>
    <w:rsid w:val="00A7666B"/>
    <w:rsid w:val="00A8073D"/>
    <w:rsid w:val="00A814BE"/>
    <w:rsid w:val="00A8233E"/>
    <w:rsid w:val="00A82569"/>
    <w:rsid w:val="00A83228"/>
    <w:rsid w:val="00A8386E"/>
    <w:rsid w:val="00A848D6"/>
    <w:rsid w:val="00A855C9"/>
    <w:rsid w:val="00A85DF9"/>
    <w:rsid w:val="00A86AE2"/>
    <w:rsid w:val="00A86EF4"/>
    <w:rsid w:val="00A873C7"/>
    <w:rsid w:val="00A873E6"/>
    <w:rsid w:val="00A87B71"/>
    <w:rsid w:val="00A87F82"/>
    <w:rsid w:val="00A90F70"/>
    <w:rsid w:val="00A91190"/>
    <w:rsid w:val="00A91331"/>
    <w:rsid w:val="00A916DE"/>
    <w:rsid w:val="00A91C04"/>
    <w:rsid w:val="00A92547"/>
    <w:rsid w:val="00A92FFF"/>
    <w:rsid w:val="00A93014"/>
    <w:rsid w:val="00A9365E"/>
    <w:rsid w:val="00A94324"/>
    <w:rsid w:val="00A945FD"/>
    <w:rsid w:val="00A94F43"/>
    <w:rsid w:val="00A952D7"/>
    <w:rsid w:val="00A952DA"/>
    <w:rsid w:val="00A96B38"/>
    <w:rsid w:val="00A977B5"/>
    <w:rsid w:val="00AA0599"/>
    <w:rsid w:val="00AA131B"/>
    <w:rsid w:val="00AA1E8F"/>
    <w:rsid w:val="00AA1F41"/>
    <w:rsid w:val="00AA2363"/>
    <w:rsid w:val="00AA248F"/>
    <w:rsid w:val="00AA299B"/>
    <w:rsid w:val="00AA2D8C"/>
    <w:rsid w:val="00AA43B5"/>
    <w:rsid w:val="00AA46E3"/>
    <w:rsid w:val="00AA47B6"/>
    <w:rsid w:val="00AA5C00"/>
    <w:rsid w:val="00AA62EF"/>
    <w:rsid w:val="00AA6680"/>
    <w:rsid w:val="00AA6695"/>
    <w:rsid w:val="00AA6E1C"/>
    <w:rsid w:val="00AA6F85"/>
    <w:rsid w:val="00AB08AD"/>
    <w:rsid w:val="00AB094D"/>
    <w:rsid w:val="00AB09C7"/>
    <w:rsid w:val="00AB0B71"/>
    <w:rsid w:val="00AB0B96"/>
    <w:rsid w:val="00AB1DB6"/>
    <w:rsid w:val="00AB24BE"/>
    <w:rsid w:val="00AB6522"/>
    <w:rsid w:val="00AB656A"/>
    <w:rsid w:val="00AB660E"/>
    <w:rsid w:val="00AB6B79"/>
    <w:rsid w:val="00AB772E"/>
    <w:rsid w:val="00AB79EF"/>
    <w:rsid w:val="00AB7D72"/>
    <w:rsid w:val="00AC02BC"/>
    <w:rsid w:val="00AC0AEF"/>
    <w:rsid w:val="00AC19F8"/>
    <w:rsid w:val="00AC2224"/>
    <w:rsid w:val="00AC2528"/>
    <w:rsid w:val="00AC25E8"/>
    <w:rsid w:val="00AC3AD1"/>
    <w:rsid w:val="00AC5206"/>
    <w:rsid w:val="00AC58F3"/>
    <w:rsid w:val="00AC594E"/>
    <w:rsid w:val="00AC5B34"/>
    <w:rsid w:val="00AC5D17"/>
    <w:rsid w:val="00AC6F81"/>
    <w:rsid w:val="00AD039D"/>
    <w:rsid w:val="00AD1694"/>
    <w:rsid w:val="00AD23E2"/>
    <w:rsid w:val="00AD36C4"/>
    <w:rsid w:val="00AD5098"/>
    <w:rsid w:val="00AD52BC"/>
    <w:rsid w:val="00AD5507"/>
    <w:rsid w:val="00AD5F88"/>
    <w:rsid w:val="00AD63D3"/>
    <w:rsid w:val="00AD67BC"/>
    <w:rsid w:val="00AD69AF"/>
    <w:rsid w:val="00AE0FA9"/>
    <w:rsid w:val="00AE126F"/>
    <w:rsid w:val="00AE1AC0"/>
    <w:rsid w:val="00AE1C16"/>
    <w:rsid w:val="00AE3CE5"/>
    <w:rsid w:val="00AE455A"/>
    <w:rsid w:val="00AE4D88"/>
    <w:rsid w:val="00AE4F0C"/>
    <w:rsid w:val="00AE50C0"/>
    <w:rsid w:val="00AE5271"/>
    <w:rsid w:val="00AE5404"/>
    <w:rsid w:val="00AE6557"/>
    <w:rsid w:val="00AE6A62"/>
    <w:rsid w:val="00AE7748"/>
    <w:rsid w:val="00AF00FF"/>
    <w:rsid w:val="00AF06BF"/>
    <w:rsid w:val="00AF0C2C"/>
    <w:rsid w:val="00AF12C7"/>
    <w:rsid w:val="00AF15ED"/>
    <w:rsid w:val="00AF1E16"/>
    <w:rsid w:val="00AF21BC"/>
    <w:rsid w:val="00AF2926"/>
    <w:rsid w:val="00AF2EA6"/>
    <w:rsid w:val="00AF422B"/>
    <w:rsid w:val="00AF53D3"/>
    <w:rsid w:val="00AF6A05"/>
    <w:rsid w:val="00AF6CF0"/>
    <w:rsid w:val="00AF72AD"/>
    <w:rsid w:val="00AF744B"/>
    <w:rsid w:val="00AF7954"/>
    <w:rsid w:val="00AF7CD3"/>
    <w:rsid w:val="00AF7D69"/>
    <w:rsid w:val="00B0437E"/>
    <w:rsid w:val="00B046D3"/>
    <w:rsid w:val="00B04972"/>
    <w:rsid w:val="00B04AFC"/>
    <w:rsid w:val="00B0540D"/>
    <w:rsid w:val="00B054EC"/>
    <w:rsid w:val="00B06304"/>
    <w:rsid w:val="00B065A9"/>
    <w:rsid w:val="00B06E21"/>
    <w:rsid w:val="00B070B1"/>
    <w:rsid w:val="00B072D9"/>
    <w:rsid w:val="00B075C6"/>
    <w:rsid w:val="00B079F8"/>
    <w:rsid w:val="00B079FF"/>
    <w:rsid w:val="00B1084C"/>
    <w:rsid w:val="00B134B7"/>
    <w:rsid w:val="00B135B8"/>
    <w:rsid w:val="00B136CD"/>
    <w:rsid w:val="00B13C85"/>
    <w:rsid w:val="00B13D32"/>
    <w:rsid w:val="00B149C7"/>
    <w:rsid w:val="00B14DB0"/>
    <w:rsid w:val="00B158F1"/>
    <w:rsid w:val="00B15A58"/>
    <w:rsid w:val="00B16B2D"/>
    <w:rsid w:val="00B16EE6"/>
    <w:rsid w:val="00B16EEE"/>
    <w:rsid w:val="00B1700F"/>
    <w:rsid w:val="00B1758D"/>
    <w:rsid w:val="00B17AE2"/>
    <w:rsid w:val="00B17D4B"/>
    <w:rsid w:val="00B20AA4"/>
    <w:rsid w:val="00B20D3B"/>
    <w:rsid w:val="00B20E1D"/>
    <w:rsid w:val="00B20F6A"/>
    <w:rsid w:val="00B2109B"/>
    <w:rsid w:val="00B224BF"/>
    <w:rsid w:val="00B2258C"/>
    <w:rsid w:val="00B24D0D"/>
    <w:rsid w:val="00B24EDF"/>
    <w:rsid w:val="00B25439"/>
    <w:rsid w:val="00B254CB"/>
    <w:rsid w:val="00B258AA"/>
    <w:rsid w:val="00B258BD"/>
    <w:rsid w:val="00B25FC7"/>
    <w:rsid w:val="00B26469"/>
    <w:rsid w:val="00B2666E"/>
    <w:rsid w:val="00B267C0"/>
    <w:rsid w:val="00B27147"/>
    <w:rsid w:val="00B27699"/>
    <w:rsid w:val="00B27B93"/>
    <w:rsid w:val="00B30A36"/>
    <w:rsid w:val="00B31253"/>
    <w:rsid w:val="00B31449"/>
    <w:rsid w:val="00B324BB"/>
    <w:rsid w:val="00B325A5"/>
    <w:rsid w:val="00B33039"/>
    <w:rsid w:val="00B335AE"/>
    <w:rsid w:val="00B3373E"/>
    <w:rsid w:val="00B337FA"/>
    <w:rsid w:val="00B34430"/>
    <w:rsid w:val="00B3451B"/>
    <w:rsid w:val="00B36895"/>
    <w:rsid w:val="00B370F2"/>
    <w:rsid w:val="00B37A25"/>
    <w:rsid w:val="00B37C44"/>
    <w:rsid w:val="00B3E656"/>
    <w:rsid w:val="00B40109"/>
    <w:rsid w:val="00B40771"/>
    <w:rsid w:val="00B411E1"/>
    <w:rsid w:val="00B41F94"/>
    <w:rsid w:val="00B42800"/>
    <w:rsid w:val="00B42F8A"/>
    <w:rsid w:val="00B43A96"/>
    <w:rsid w:val="00B43E07"/>
    <w:rsid w:val="00B450EA"/>
    <w:rsid w:val="00B4677E"/>
    <w:rsid w:val="00B46C54"/>
    <w:rsid w:val="00B473DD"/>
    <w:rsid w:val="00B479F9"/>
    <w:rsid w:val="00B47EBE"/>
    <w:rsid w:val="00B50F9B"/>
    <w:rsid w:val="00B5104D"/>
    <w:rsid w:val="00B5109A"/>
    <w:rsid w:val="00B549BC"/>
    <w:rsid w:val="00B551BC"/>
    <w:rsid w:val="00B57D49"/>
    <w:rsid w:val="00B60543"/>
    <w:rsid w:val="00B612CF"/>
    <w:rsid w:val="00B632E4"/>
    <w:rsid w:val="00B632EC"/>
    <w:rsid w:val="00B634C8"/>
    <w:rsid w:val="00B640A5"/>
    <w:rsid w:val="00B64884"/>
    <w:rsid w:val="00B6492F"/>
    <w:rsid w:val="00B649A9"/>
    <w:rsid w:val="00B65795"/>
    <w:rsid w:val="00B65C7A"/>
    <w:rsid w:val="00B661DF"/>
    <w:rsid w:val="00B664B4"/>
    <w:rsid w:val="00B66F7D"/>
    <w:rsid w:val="00B67111"/>
    <w:rsid w:val="00B677F3"/>
    <w:rsid w:val="00B701C0"/>
    <w:rsid w:val="00B70523"/>
    <w:rsid w:val="00B70E05"/>
    <w:rsid w:val="00B71F9E"/>
    <w:rsid w:val="00B7269B"/>
    <w:rsid w:val="00B72A60"/>
    <w:rsid w:val="00B72BCA"/>
    <w:rsid w:val="00B73212"/>
    <w:rsid w:val="00B75913"/>
    <w:rsid w:val="00B75A15"/>
    <w:rsid w:val="00B7639E"/>
    <w:rsid w:val="00B8001A"/>
    <w:rsid w:val="00B8057A"/>
    <w:rsid w:val="00B80CA4"/>
    <w:rsid w:val="00B811C5"/>
    <w:rsid w:val="00B81638"/>
    <w:rsid w:val="00B82575"/>
    <w:rsid w:val="00B845EF"/>
    <w:rsid w:val="00B846E4"/>
    <w:rsid w:val="00B84856"/>
    <w:rsid w:val="00B85501"/>
    <w:rsid w:val="00B85B73"/>
    <w:rsid w:val="00B85BA7"/>
    <w:rsid w:val="00B85D40"/>
    <w:rsid w:val="00B863AE"/>
    <w:rsid w:val="00B86790"/>
    <w:rsid w:val="00B8763D"/>
    <w:rsid w:val="00B8781B"/>
    <w:rsid w:val="00B900F2"/>
    <w:rsid w:val="00B907F8"/>
    <w:rsid w:val="00B9142E"/>
    <w:rsid w:val="00B91BEE"/>
    <w:rsid w:val="00B92FF0"/>
    <w:rsid w:val="00B940A0"/>
    <w:rsid w:val="00B945CA"/>
    <w:rsid w:val="00B94638"/>
    <w:rsid w:val="00B95D2B"/>
    <w:rsid w:val="00BA0B12"/>
    <w:rsid w:val="00BA0DD2"/>
    <w:rsid w:val="00BA27D6"/>
    <w:rsid w:val="00BA3524"/>
    <w:rsid w:val="00BA42C7"/>
    <w:rsid w:val="00BA446E"/>
    <w:rsid w:val="00BA4499"/>
    <w:rsid w:val="00BA472B"/>
    <w:rsid w:val="00BA4A03"/>
    <w:rsid w:val="00BA6A91"/>
    <w:rsid w:val="00BA7505"/>
    <w:rsid w:val="00BA7721"/>
    <w:rsid w:val="00BA7F43"/>
    <w:rsid w:val="00BB07B6"/>
    <w:rsid w:val="00BB1E0E"/>
    <w:rsid w:val="00BB237C"/>
    <w:rsid w:val="00BB243D"/>
    <w:rsid w:val="00BB2D60"/>
    <w:rsid w:val="00BB445B"/>
    <w:rsid w:val="00BB47AE"/>
    <w:rsid w:val="00BB560B"/>
    <w:rsid w:val="00BB6884"/>
    <w:rsid w:val="00BB6CB8"/>
    <w:rsid w:val="00BB6EA9"/>
    <w:rsid w:val="00BB7661"/>
    <w:rsid w:val="00BB77ED"/>
    <w:rsid w:val="00BC00E5"/>
    <w:rsid w:val="00BC0E41"/>
    <w:rsid w:val="00BC21A2"/>
    <w:rsid w:val="00BC32E1"/>
    <w:rsid w:val="00BC40BD"/>
    <w:rsid w:val="00BC46A7"/>
    <w:rsid w:val="00BC4980"/>
    <w:rsid w:val="00BC4D3F"/>
    <w:rsid w:val="00BC521D"/>
    <w:rsid w:val="00BC6AAD"/>
    <w:rsid w:val="00BC737C"/>
    <w:rsid w:val="00BD0049"/>
    <w:rsid w:val="00BD0385"/>
    <w:rsid w:val="00BD0EB0"/>
    <w:rsid w:val="00BD0FA5"/>
    <w:rsid w:val="00BD1964"/>
    <w:rsid w:val="00BD1A24"/>
    <w:rsid w:val="00BD1C32"/>
    <w:rsid w:val="00BD2CF8"/>
    <w:rsid w:val="00BD3C41"/>
    <w:rsid w:val="00BD3D7E"/>
    <w:rsid w:val="00BD418C"/>
    <w:rsid w:val="00BD4AA7"/>
    <w:rsid w:val="00BD4B45"/>
    <w:rsid w:val="00BD5050"/>
    <w:rsid w:val="00BD5119"/>
    <w:rsid w:val="00BD52BF"/>
    <w:rsid w:val="00BD5A88"/>
    <w:rsid w:val="00BD7396"/>
    <w:rsid w:val="00BD77DE"/>
    <w:rsid w:val="00BE0BF2"/>
    <w:rsid w:val="00BE0EA9"/>
    <w:rsid w:val="00BE1565"/>
    <w:rsid w:val="00BE1D5A"/>
    <w:rsid w:val="00BE1D91"/>
    <w:rsid w:val="00BE214E"/>
    <w:rsid w:val="00BE2260"/>
    <w:rsid w:val="00BE284C"/>
    <w:rsid w:val="00BE395D"/>
    <w:rsid w:val="00BE5889"/>
    <w:rsid w:val="00BE6CCB"/>
    <w:rsid w:val="00BE72E0"/>
    <w:rsid w:val="00BE73B7"/>
    <w:rsid w:val="00BE7C32"/>
    <w:rsid w:val="00BF0094"/>
    <w:rsid w:val="00BF10AD"/>
    <w:rsid w:val="00BF25AF"/>
    <w:rsid w:val="00BF36AC"/>
    <w:rsid w:val="00BF3B7E"/>
    <w:rsid w:val="00BF431E"/>
    <w:rsid w:val="00BF4E8B"/>
    <w:rsid w:val="00BF6034"/>
    <w:rsid w:val="00BF6145"/>
    <w:rsid w:val="00BF6266"/>
    <w:rsid w:val="00BF6ED3"/>
    <w:rsid w:val="00BF7552"/>
    <w:rsid w:val="00C00086"/>
    <w:rsid w:val="00C0091E"/>
    <w:rsid w:val="00C00B48"/>
    <w:rsid w:val="00C01D43"/>
    <w:rsid w:val="00C01FCB"/>
    <w:rsid w:val="00C02784"/>
    <w:rsid w:val="00C0304D"/>
    <w:rsid w:val="00C036CB"/>
    <w:rsid w:val="00C043DE"/>
    <w:rsid w:val="00C044FC"/>
    <w:rsid w:val="00C046CF"/>
    <w:rsid w:val="00C04BD5"/>
    <w:rsid w:val="00C04D34"/>
    <w:rsid w:val="00C05115"/>
    <w:rsid w:val="00C05DA8"/>
    <w:rsid w:val="00C05F79"/>
    <w:rsid w:val="00C06262"/>
    <w:rsid w:val="00C0637D"/>
    <w:rsid w:val="00C0647C"/>
    <w:rsid w:val="00C0699F"/>
    <w:rsid w:val="00C06A03"/>
    <w:rsid w:val="00C07958"/>
    <w:rsid w:val="00C07959"/>
    <w:rsid w:val="00C07B96"/>
    <w:rsid w:val="00C10845"/>
    <w:rsid w:val="00C115E3"/>
    <w:rsid w:val="00C12FA5"/>
    <w:rsid w:val="00C1381A"/>
    <w:rsid w:val="00C13DB8"/>
    <w:rsid w:val="00C13FD5"/>
    <w:rsid w:val="00C14A1B"/>
    <w:rsid w:val="00C150BC"/>
    <w:rsid w:val="00C155C8"/>
    <w:rsid w:val="00C16D29"/>
    <w:rsid w:val="00C16D8D"/>
    <w:rsid w:val="00C1709D"/>
    <w:rsid w:val="00C174D1"/>
    <w:rsid w:val="00C1756A"/>
    <w:rsid w:val="00C20BBF"/>
    <w:rsid w:val="00C218E0"/>
    <w:rsid w:val="00C21A4A"/>
    <w:rsid w:val="00C21BAA"/>
    <w:rsid w:val="00C23759"/>
    <w:rsid w:val="00C23A62"/>
    <w:rsid w:val="00C23DEB"/>
    <w:rsid w:val="00C2520B"/>
    <w:rsid w:val="00C25E93"/>
    <w:rsid w:val="00C2628C"/>
    <w:rsid w:val="00C27296"/>
    <w:rsid w:val="00C310B7"/>
    <w:rsid w:val="00C31961"/>
    <w:rsid w:val="00C328C9"/>
    <w:rsid w:val="00C32C14"/>
    <w:rsid w:val="00C339C2"/>
    <w:rsid w:val="00C3427A"/>
    <w:rsid w:val="00C345C4"/>
    <w:rsid w:val="00C34DD9"/>
    <w:rsid w:val="00C3508D"/>
    <w:rsid w:val="00C36143"/>
    <w:rsid w:val="00C36A06"/>
    <w:rsid w:val="00C40381"/>
    <w:rsid w:val="00C403EE"/>
    <w:rsid w:val="00C404AB"/>
    <w:rsid w:val="00C4054E"/>
    <w:rsid w:val="00C40AFD"/>
    <w:rsid w:val="00C418AD"/>
    <w:rsid w:val="00C41DBC"/>
    <w:rsid w:val="00C420ED"/>
    <w:rsid w:val="00C422C5"/>
    <w:rsid w:val="00C425A6"/>
    <w:rsid w:val="00C42655"/>
    <w:rsid w:val="00C42ECB"/>
    <w:rsid w:val="00C42FCA"/>
    <w:rsid w:val="00C43071"/>
    <w:rsid w:val="00C43153"/>
    <w:rsid w:val="00C4358A"/>
    <w:rsid w:val="00C43761"/>
    <w:rsid w:val="00C4504B"/>
    <w:rsid w:val="00C45785"/>
    <w:rsid w:val="00C458D5"/>
    <w:rsid w:val="00C45B7A"/>
    <w:rsid w:val="00C46030"/>
    <w:rsid w:val="00C4658A"/>
    <w:rsid w:val="00C4681C"/>
    <w:rsid w:val="00C46D86"/>
    <w:rsid w:val="00C47DC2"/>
    <w:rsid w:val="00C50056"/>
    <w:rsid w:val="00C5085C"/>
    <w:rsid w:val="00C508FC"/>
    <w:rsid w:val="00C50FC5"/>
    <w:rsid w:val="00C5130F"/>
    <w:rsid w:val="00C516B0"/>
    <w:rsid w:val="00C52192"/>
    <w:rsid w:val="00C53158"/>
    <w:rsid w:val="00C534B0"/>
    <w:rsid w:val="00C5359B"/>
    <w:rsid w:val="00C55627"/>
    <w:rsid w:val="00C559AA"/>
    <w:rsid w:val="00C55F2A"/>
    <w:rsid w:val="00C56AAA"/>
    <w:rsid w:val="00C56B47"/>
    <w:rsid w:val="00C575B0"/>
    <w:rsid w:val="00C57DF5"/>
    <w:rsid w:val="00C60751"/>
    <w:rsid w:val="00C608F3"/>
    <w:rsid w:val="00C614D8"/>
    <w:rsid w:val="00C61534"/>
    <w:rsid w:val="00C61841"/>
    <w:rsid w:val="00C61AA4"/>
    <w:rsid w:val="00C623B7"/>
    <w:rsid w:val="00C6315B"/>
    <w:rsid w:val="00C635C2"/>
    <w:rsid w:val="00C642A5"/>
    <w:rsid w:val="00C64AD4"/>
    <w:rsid w:val="00C64D72"/>
    <w:rsid w:val="00C653F5"/>
    <w:rsid w:val="00C65920"/>
    <w:rsid w:val="00C66565"/>
    <w:rsid w:val="00C70DFC"/>
    <w:rsid w:val="00C71076"/>
    <w:rsid w:val="00C72138"/>
    <w:rsid w:val="00C73087"/>
    <w:rsid w:val="00C73245"/>
    <w:rsid w:val="00C73EB1"/>
    <w:rsid w:val="00C74748"/>
    <w:rsid w:val="00C74C51"/>
    <w:rsid w:val="00C74CB5"/>
    <w:rsid w:val="00C750D7"/>
    <w:rsid w:val="00C75692"/>
    <w:rsid w:val="00C762F4"/>
    <w:rsid w:val="00C76803"/>
    <w:rsid w:val="00C769C9"/>
    <w:rsid w:val="00C807EA"/>
    <w:rsid w:val="00C81749"/>
    <w:rsid w:val="00C81A7C"/>
    <w:rsid w:val="00C81ABC"/>
    <w:rsid w:val="00C81C70"/>
    <w:rsid w:val="00C8251E"/>
    <w:rsid w:val="00C82868"/>
    <w:rsid w:val="00C828A5"/>
    <w:rsid w:val="00C8488A"/>
    <w:rsid w:val="00C857F8"/>
    <w:rsid w:val="00C86102"/>
    <w:rsid w:val="00C86354"/>
    <w:rsid w:val="00C86674"/>
    <w:rsid w:val="00C867EF"/>
    <w:rsid w:val="00C90433"/>
    <w:rsid w:val="00C91D8A"/>
    <w:rsid w:val="00C9245A"/>
    <w:rsid w:val="00C92BBF"/>
    <w:rsid w:val="00C93A51"/>
    <w:rsid w:val="00C93FA7"/>
    <w:rsid w:val="00C9564E"/>
    <w:rsid w:val="00C9660C"/>
    <w:rsid w:val="00C96C4A"/>
    <w:rsid w:val="00C96DCA"/>
    <w:rsid w:val="00C97163"/>
    <w:rsid w:val="00C9774E"/>
    <w:rsid w:val="00CA0F83"/>
    <w:rsid w:val="00CA224B"/>
    <w:rsid w:val="00CA298D"/>
    <w:rsid w:val="00CA2CD1"/>
    <w:rsid w:val="00CA315C"/>
    <w:rsid w:val="00CA3AEA"/>
    <w:rsid w:val="00CA3EA4"/>
    <w:rsid w:val="00CA4D03"/>
    <w:rsid w:val="00CA4E40"/>
    <w:rsid w:val="00CA57C5"/>
    <w:rsid w:val="00CA58E8"/>
    <w:rsid w:val="00CA5A2D"/>
    <w:rsid w:val="00CA6477"/>
    <w:rsid w:val="00CA722A"/>
    <w:rsid w:val="00CA7C11"/>
    <w:rsid w:val="00CB06DE"/>
    <w:rsid w:val="00CB1409"/>
    <w:rsid w:val="00CB14F5"/>
    <w:rsid w:val="00CB26DE"/>
    <w:rsid w:val="00CB2F8A"/>
    <w:rsid w:val="00CB351B"/>
    <w:rsid w:val="00CB44F7"/>
    <w:rsid w:val="00CB54FB"/>
    <w:rsid w:val="00CB572D"/>
    <w:rsid w:val="00CB608D"/>
    <w:rsid w:val="00CB771E"/>
    <w:rsid w:val="00CB7912"/>
    <w:rsid w:val="00CC0F68"/>
    <w:rsid w:val="00CC14A5"/>
    <w:rsid w:val="00CC25A4"/>
    <w:rsid w:val="00CC338C"/>
    <w:rsid w:val="00CC362F"/>
    <w:rsid w:val="00CC3CAC"/>
    <w:rsid w:val="00CC3F1D"/>
    <w:rsid w:val="00CC42F7"/>
    <w:rsid w:val="00CC462A"/>
    <w:rsid w:val="00CC56E2"/>
    <w:rsid w:val="00CC6AE6"/>
    <w:rsid w:val="00CC701B"/>
    <w:rsid w:val="00CC7E79"/>
    <w:rsid w:val="00CD0CEE"/>
    <w:rsid w:val="00CD12A7"/>
    <w:rsid w:val="00CD1BD3"/>
    <w:rsid w:val="00CD34ED"/>
    <w:rsid w:val="00CD3F48"/>
    <w:rsid w:val="00CD4890"/>
    <w:rsid w:val="00CD5722"/>
    <w:rsid w:val="00CD5E47"/>
    <w:rsid w:val="00CD677B"/>
    <w:rsid w:val="00CD73C2"/>
    <w:rsid w:val="00CE0279"/>
    <w:rsid w:val="00CE11C0"/>
    <w:rsid w:val="00CE207F"/>
    <w:rsid w:val="00CE29D9"/>
    <w:rsid w:val="00CE40DB"/>
    <w:rsid w:val="00CE40E8"/>
    <w:rsid w:val="00CE4691"/>
    <w:rsid w:val="00CE4986"/>
    <w:rsid w:val="00CE56D9"/>
    <w:rsid w:val="00CE59C7"/>
    <w:rsid w:val="00CE5B60"/>
    <w:rsid w:val="00CE5C4A"/>
    <w:rsid w:val="00CE5D31"/>
    <w:rsid w:val="00CE60F1"/>
    <w:rsid w:val="00CF0A04"/>
    <w:rsid w:val="00CF120E"/>
    <w:rsid w:val="00CF14C8"/>
    <w:rsid w:val="00CF3037"/>
    <w:rsid w:val="00CF394C"/>
    <w:rsid w:val="00CF3A60"/>
    <w:rsid w:val="00CF4C91"/>
    <w:rsid w:val="00CF51D6"/>
    <w:rsid w:val="00CF57A3"/>
    <w:rsid w:val="00CF58C9"/>
    <w:rsid w:val="00CF597D"/>
    <w:rsid w:val="00CF6497"/>
    <w:rsid w:val="00CF6FCF"/>
    <w:rsid w:val="00CF7336"/>
    <w:rsid w:val="00CF7B5C"/>
    <w:rsid w:val="00CF7C1A"/>
    <w:rsid w:val="00D005F3"/>
    <w:rsid w:val="00D00630"/>
    <w:rsid w:val="00D00919"/>
    <w:rsid w:val="00D00E7A"/>
    <w:rsid w:val="00D0129F"/>
    <w:rsid w:val="00D0151E"/>
    <w:rsid w:val="00D01F2B"/>
    <w:rsid w:val="00D032F7"/>
    <w:rsid w:val="00D0564B"/>
    <w:rsid w:val="00D060AE"/>
    <w:rsid w:val="00D073FE"/>
    <w:rsid w:val="00D108A2"/>
    <w:rsid w:val="00D108E4"/>
    <w:rsid w:val="00D110A1"/>
    <w:rsid w:val="00D1157B"/>
    <w:rsid w:val="00D11B01"/>
    <w:rsid w:val="00D133CD"/>
    <w:rsid w:val="00D1507C"/>
    <w:rsid w:val="00D1561D"/>
    <w:rsid w:val="00D16EE2"/>
    <w:rsid w:val="00D17FA5"/>
    <w:rsid w:val="00D17FA7"/>
    <w:rsid w:val="00D2063B"/>
    <w:rsid w:val="00D212B6"/>
    <w:rsid w:val="00D21D7B"/>
    <w:rsid w:val="00D21F00"/>
    <w:rsid w:val="00D22FF9"/>
    <w:rsid w:val="00D230D2"/>
    <w:rsid w:val="00D23181"/>
    <w:rsid w:val="00D237DD"/>
    <w:rsid w:val="00D240BD"/>
    <w:rsid w:val="00D248B2"/>
    <w:rsid w:val="00D27CBA"/>
    <w:rsid w:val="00D304B8"/>
    <w:rsid w:val="00D3054F"/>
    <w:rsid w:val="00D30616"/>
    <w:rsid w:val="00D30723"/>
    <w:rsid w:val="00D30C4E"/>
    <w:rsid w:val="00D30E4F"/>
    <w:rsid w:val="00D30F37"/>
    <w:rsid w:val="00D316B1"/>
    <w:rsid w:val="00D31A79"/>
    <w:rsid w:val="00D31FCA"/>
    <w:rsid w:val="00D327C7"/>
    <w:rsid w:val="00D32B4D"/>
    <w:rsid w:val="00D32C4D"/>
    <w:rsid w:val="00D330D9"/>
    <w:rsid w:val="00D348AD"/>
    <w:rsid w:val="00D34BBD"/>
    <w:rsid w:val="00D35161"/>
    <w:rsid w:val="00D3697F"/>
    <w:rsid w:val="00D40603"/>
    <w:rsid w:val="00D40B28"/>
    <w:rsid w:val="00D413E7"/>
    <w:rsid w:val="00D41897"/>
    <w:rsid w:val="00D41D8B"/>
    <w:rsid w:val="00D41DEC"/>
    <w:rsid w:val="00D4215E"/>
    <w:rsid w:val="00D42D99"/>
    <w:rsid w:val="00D43304"/>
    <w:rsid w:val="00D43FA7"/>
    <w:rsid w:val="00D443D9"/>
    <w:rsid w:val="00D44C10"/>
    <w:rsid w:val="00D45636"/>
    <w:rsid w:val="00D456D5"/>
    <w:rsid w:val="00D4576A"/>
    <w:rsid w:val="00D45C9B"/>
    <w:rsid w:val="00D46485"/>
    <w:rsid w:val="00D469FD"/>
    <w:rsid w:val="00D502F6"/>
    <w:rsid w:val="00D506E5"/>
    <w:rsid w:val="00D5083A"/>
    <w:rsid w:val="00D512E6"/>
    <w:rsid w:val="00D5188C"/>
    <w:rsid w:val="00D51EA1"/>
    <w:rsid w:val="00D52776"/>
    <w:rsid w:val="00D53E34"/>
    <w:rsid w:val="00D54E7A"/>
    <w:rsid w:val="00D55791"/>
    <w:rsid w:val="00D57028"/>
    <w:rsid w:val="00D57811"/>
    <w:rsid w:val="00D608C4"/>
    <w:rsid w:val="00D610F0"/>
    <w:rsid w:val="00D611B0"/>
    <w:rsid w:val="00D6260B"/>
    <w:rsid w:val="00D627EB"/>
    <w:rsid w:val="00D629D8"/>
    <w:rsid w:val="00D62C09"/>
    <w:rsid w:val="00D63B78"/>
    <w:rsid w:val="00D649C6"/>
    <w:rsid w:val="00D64B44"/>
    <w:rsid w:val="00D64E85"/>
    <w:rsid w:val="00D6505E"/>
    <w:rsid w:val="00D65125"/>
    <w:rsid w:val="00D65666"/>
    <w:rsid w:val="00D65868"/>
    <w:rsid w:val="00D6674F"/>
    <w:rsid w:val="00D670C6"/>
    <w:rsid w:val="00D67F01"/>
    <w:rsid w:val="00D67FF6"/>
    <w:rsid w:val="00D70504"/>
    <w:rsid w:val="00D71BE6"/>
    <w:rsid w:val="00D72233"/>
    <w:rsid w:val="00D7245A"/>
    <w:rsid w:val="00D72A5A"/>
    <w:rsid w:val="00D73510"/>
    <w:rsid w:val="00D7351D"/>
    <w:rsid w:val="00D74892"/>
    <w:rsid w:val="00D7494E"/>
    <w:rsid w:val="00D74B06"/>
    <w:rsid w:val="00D74CA2"/>
    <w:rsid w:val="00D75C78"/>
    <w:rsid w:val="00D7626B"/>
    <w:rsid w:val="00D763F9"/>
    <w:rsid w:val="00D764B8"/>
    <w:rsid w:val="00D767CB"/>
    <w:rsid w:val="00D76D64"/>
    <w:rsid w:val="00D76EA8"/>
    <w:rsid w:val="00D772D6"/>
    <w:rsid w:val="00D77A3A"/>
    <w:rsid w:val="00D808EC"/>
    <w:rsid w:val="00D8149D"/>
    <w:rsid w:val="00D81C24"/>
    <w:rsid w:val="00D828FE"/>
    <w:rsid w:val="00D835B9"/>
    <w:rsid w:val="00D83EB6"/>
    <w:rsid w:val="00D8413C"/>
    <w:rsid w:val="00D844CF"/>
    <w:rsid w:val="00D846F3"/>
    <w:rsid w:val="00D84A9C"/>
    <w:rsid w:val="00D855E1"/>
    <w:rsid w:val="00D85ACC"/>
    <w:rsid w:val="00D8697C"/>
    <w:rsid w:val="00D87A9A"/>
    <w:rsid w:val="00D901EC"/>
    <w:rsid w:val="00D903F9"/>
    <w:rsid w:val="00D90BE3"/>
    <w:rsid w:val="00D91245"/>
    <w:rsid w:val="00D91ACF"/>
    <w:rsid w:val="00D92058"/>
    <w:rsid w:val="00D9227B"/>
    <w:rsid w:val="00D93286"/>
    <w:rsid w:val="00D93332"/>
    <w:rsid w:val="00D939DE"/>
    <w:rsid w:val="00D941A2"/>
    <w:rsid w:val="00D94255"/>
    <w:rsid w:val="00D94338"/>
    <w:rsid w:val="00D948C7"/>
    <w:rsid w:val="00D949EC"/>
    <w:rsid w:val="00D9527B"/>
    <w:rsid w:val="00D95300"/>
    <w:rsid w:val="00D95341"/>
    <w:rsid w:val="00D96782"/>
    <w:rsid w:val="00D96A34"/>
    <w:rsid w:val="00D96AA1"/>
    <w:rsid w:val="00D97178"/>
    <w:rsid w:val="00D97778"/>
    <w:rsid w:val="00D97C31"/>
    <w:rsid w:val="00DA0418"/>
    <w:rsid w:val="00DA0F32"/>
    <w:rsid w:val="00DA11C5"/>
    <w:rsid w:val="00DA18F6"/>
    <w:rsid w:val="00DA1FA9"/>
    <w:rsid w:val="00DA2D93"/>
    <w:rsid w:val="00DA310D"/>
    <w:rsid w:val="00DA377E"/>
    <w:rsid w:val="00DA50AE"/>
    <w:rsid w:val="00DA52F4"/>
    <w:rsid w:val="00DA5A6E"/>
    <w:rsid w:val="00DA6FCD"/>
    <w:rsid w:val="00DAF744"/>
    <w:rsid w:val="00DB029E"/>
    <w:rsid w:val="00DB0E0F"/>
    <w:rsid w:val="00DB0EC4"/>
    <w:rsid w:val="00DB1263"/>
    <w:rsid w:val="00DB19EE"/>
    <w:rsid w:val="00DB29B9"/>
    <w:rsid w:val="00DB2AA7"/>
    <w:rsid w:val="00DB74AE"/>
    <w:rsid w:val="00DB783E"/>
    <w:rsid w:val="00DB7A49"/>
    <w:rsid w:val="00DC0A67"/>
    <w:rsid w:val="00DC0C31"/>
    <w:rsid w:val="00DC1096"/>
    <w:rsid w:val="00DC17A6"/>
    <w:rsid w:val="00DC268B"/>
    <w:rsid w:val="00DC2E8C"/>
    <w:rsid w:val="00DC2EA4"/>
    <w:rsid w:val="00DC300B"/>
    <w:rsid w:val="00DC461C"/>
    <w:rsid w:val="00DC5780"/>
    <w:rsid w:val="00DC6070"/>
    <w:rsid w:val="00DC7AEA"/>
    <w:rsid w:val="00DD08C8"/>
    <w:rsid w:val="00DD104D"/>
    <w:rsid w:val="00DD1EC6"/>
    <w:rsid w:val="00DD2851"/>
    <w:rsid w:val="00DD29DD"/>
    <w:rsid w:val="00DD2A27"/>
    <w:rsid w:val="00DD2A64"/>
    <w:rsid w:val="00DD2C29"/>
    <w:rsid w:val="00DD3161"/>
    <w:rsid w:val="00DD33A7"/>
    <w:rsid w:val="00DD33F1"/>
    <w:rsid w:val="00DD4EC4"/>
    <w:rsid w:val="00DD54B9"/>
    <w:rsid w:val="00DD58B3"/>
    <w:rsid w:val="00DD5AF0"/>
    <w:rsid w:val="00DD5D73"/>
    <w:rsid w:val="00DD603F"/>
    <w:rsid w:val="00DD6C1A"/>
    <w:rsid w:val="00DD6F32"/>
    <w:rsid w:val="00DD741A"/>
    <w:rsid w:val="00DD7EE3"/>
    <w:rsid w:val="00DE14B9"/>
    <w:rsid w:val="00DE14E1"/>
    <w:rsid w:val="00DE2883"/>
    <w:rsid w:val="00DE2EC8"/>
    <w:rsid w:val="00DE3361"/>
    <w:rsid w:val="00DE340F"/>
    <w:rsid w:val="00DE40CF"/>
    <w:rsid w:val="00DE435B"/>
    <w:rsid w:val="00DE5090"/>
    <w:rsid w:val="00DE530A"/>
    <w:rsid w:val="00DE55C7"/>
    <w:rsid w:val="00DE5EAA"/>
    <w:rsid w:val="00DE67A0"/>
    <w:rsid w:val="00DE79A9"/>
    <w:rsid w:val="00DF0142"/>
    <w:rsid w:val="00DF05EA"/>
    <w:rsid w:val="00DF0A0E"/>
    <w:rsid w:val="00DF0BC5"/>
    <w:rsid w:val="00DF243C"/>
    <w:rsid w:val="00DF2845"/>
    <w:rsid w:val="00DF4E0A"/>
    <w:rsid w:val="00DF5138"/>
    <w:rsid w:val="00DF53B8"/>
    <w:rsid w:val="00DF6168"/>
    <w:rsid w:val="00DF7DB5"/>
    <w:rsid w:val="00DFBD27"/>
    <w:rsid w:val="00E006D6"/>
    <w:rsid w:val="00E008C3"/>
    <w:rsid w:val="00E008FA"/>
    <w:rsid w:val="00E019B3"/>
    <w:rsid w:val="00E0202D"/>
    <w:rsid w:val="00E0234D"/>
    <w:rsid w:val="00E031B8"/>
    <w:rsid w:val="00E031E7"/>
    <w:rsid w:val="00E03200"/>
    <w:rsid w:val="00E037D6"/>
    <w:rsid w:val="00E03C23"/>
    <w:rsid w:val="00E03DB3"/>
    <w:rsid w:val="00E03E23"/>
    <w:rsid w:val="00E045CA"/>
    <w:rsid w:val="00E047A8"/>
    <w:rsid w:val="00E069C1"/>
    <w:rsid w:val="00E07301"/>
    <w:rsid w:val="00E0732D"/>
    <w:rsid w:val="00E07BBD"/>
    <w:rsid w:val="00E1017A"/>
    <w:rsid w:val="00E10CAB"/>
    <w:rsid w:val="00E10CBF"/>
    <w:rsid w:val="00E10E27"/>
    <w:rsid w:val="00E12022"/>
    <w:rsid w:val="00E12196"/>
    <w:rsid w:val="00E133E8"/>
    <w:rsid w:val="00E13845"/>
    <w:rsid w:val="00E13D5D"/>
    <w:rsid w:val="00E13EE2"/>
    <w:rsid w:val="00E1463F"/>
    <w:rsid w:val="00E14E8B"/>
    <w:rsid w:val="00E1550F"/>
    <w:rsid w:val="00E157A5"/>
    <w:rsid w:val="00E163DA"/>
    <w:rsid w:val="00E16737"/>
    <w:rsid w:val="00E169FE"/>
    <w:rsid w:val="00E20184"/>
    <w:rsid w:val="00E204BA"/>
    <w:rsid w:val="00E20C49"/>
    <w:rsid w:val="00E21615"/>
    <w:rsid w:val="00E21968"/>
    <w:rsid w:val="00E21D0A"/>
    <w:rsid w:val="00E2246C"/>
    <w:rsid w:val="00E2281E"/>
    <w:rsid w:val="00E236F3"/>
    <w:rsid w:val="00E23AB5"/>
    <w:rsid w:val="00E24606"/>
    <w:rsid w:val="00E25493"/>
    <w:rsid w:val="00E25B88"/>
    <w:rsid w:val="00E25C64"/>
    <w:rsid w:val="00E26AA1"/>
    <w:rsid w:val="00E271AD"/>
    <w:rsid w:val="00E27C51"/>
    <w:rsid w:val="00E27D84"/>
    <w:rsid w:val="00E300B5"/>
    <w:rsid w:val="00E3012E"/>
    <w:rsid w:val="00E305EA"/>
    <w:rsid w:val="00E3109D"/>
    <w:rsid w:val="00E318C7"/>
    <w:rsid w:val="00E31EBD"/>
    <w:rsid w:val="00E32CC7"/>
    <w:rsid w:val="00E33754"/>
    <w:rsid w:val="00E345CE"/>
    <w:rsid w:val="00E34ACB"/>
    <w:rsid w:val="00E34AD1"/>
    <w:rsid w:val="00E35D2B"/>
    <w:rsid w:val="00E35DE7"/>
    <w:rsid w:val="00E364A2"/>
    <w:rsid w:val="00E37EAD"/>
    <w:rsid w:val="00E40434"/>
    <w:rsid w:val="00E4069C"/>
    <w:rsid w:val="00E415EE"/>
    <w:rsid w:val="00E416CC"/>
    <w:rsid w:val="00E4181B"/>
    <w:rsid w:val="00E421D6"/>
    <w:rsid w:val="00E42692"/>
    <w:rsid w:val="00E428AD"/>
    <w:rsid w:val="00E42E4B"/>
    <w:rsid w:val="00E431E2"/>
    <w:rsid w:val="00E437D2"/>
    <w:rsid w:val="00E4382F"/>
    <w:rsid w:val="00E43EAA"/>
    <w:rsid w:val="00E45FDE"/>
    <w:rsid w:val="00E46F4F"/>
    <w:rsid w:val="00E47101"/>
    <w:rsid w:val="00E476C7"/>
    <w:rsid w:val="00E47BD4"/>
    <w:rsid w:val="00E47C74"/>
    <w:rsid w:val="00E50048"/>
    <w:rsid w:val="00E506B4"/>
    <w:rsid w:val="00E50E5F"/>
    <w:rsid w:val="00E51D71"/>
    <w:rsid w:val="00E521E1"/>
    <w:rsid w:val="00E52323"/>
    <w:rsid w:val="00E52B1C"/>
    <w:rsid w:val="00E52E9B"/>
    <w:rsid w:val="00E538C4"/>
    <w:rsid w:val="00E54753"/>
    <w:rsid w:val="00E5501A"/>
    <w:rsid w:val="00E55647"/>
    <w:rsid w:val="00E55813"/>
    <w:rsid w:val="00E5634D"/>
    <w:rsid w:val="00E57482"/>
    <w:rsid w:val="00E623CF"/>
    <w:rsid w:val="00E62A1F"/>
    <w:rsid w:val="00E62D09"/>
    <w:rsid w:val="00E63B58"/>
    <w:rsid w:val="00E640C3"/>
    <w:rsid w:val="00E64477"/>
    <w:rsid w:val="00E64C70"/>
    <w:rsid w:val="00E64EF7"/>
    <w:rsid w:val="00E65CD1"/>
    <w:rsid w:val="00E7159B"/>
    <w:rsid w:val="00E71C76"/>
    <w:rsid w:val="00E72560"/>
    <w:rsid w:val="00E74151"/>
    <w:rsid w:val="00E74158"/>
    <w:rsid w:val="00E7491B"/>
    <w:rsid w:val="00E750EC"/>
    <w:rsid w:val="00E7557C"/>
    <w:rsid w:val="00E756CD"/>
    <w:rsid w:val="00E757F3"/>
    <w:rsid w:val="00E75B01"/>
    <w:rsid w:val="00E76B06"/>
    <w:rsid w:val="00E76F0B"/>
    <w:rsid w:val="00E8027D"/>
    <w:rsid w:val="00E80E17"/>
    <w:rsid w:val="00E810BA"/>
    <w:rsid w:val="00E81202"/>
    <w:rsid w:val="00E81741"/>
    <w:rsid w:val="00E81799"/>
    <w:rsid w:val="00E81F8C"/>
    <w:rsid w:val="00E821E4"/>
    <w:rsid w:val="00E85FA2"/>
    <w:rsid w:val="00E86036"/>
    <w:rsid w:val="00E8614B"/>
    <w:rsid w:val="00E871A6"/>
    <w:rsid w:val="00E8751A"/>
    <w:rsid w:val="00E877FB"/>
    <w:rsid w:val="00E915EB"/>
    <w:rsid w:val="00E91BB9"/>
    <w:rsid w:val="00E927E3"/>
    <w:rsid w:val="00E92AD4"/>
    <w:rsid w:val="00E92D06"/>
    <w:rsid w:val="00E92E68"/>
    <w:rsid w:val="00E933A7"/>
    <w:rsid w:val="00E9431B"/>
    <w:rsid w:val="00E946DE"/>
    <w:rsid w:val="00E96CF2"/>
    <w:rsid w:val="00E97887"/>
    <w:rsid w:val="00E97FF0"/>
    <w:rsid w:val="00EA01ED"/>
    <w:rsid w:val="00EA1436"/>
    <w:rsid w:val="00EA29A5"/>
    <w:rsid w:val="00EA3527"/>
    <w:rsid w:val="00EA4793"/>
    <w:rsid w:val="00EA5FA9"/>
    <w:rsid w:val="00EA611B"/>
    <w:rsid w:val="00EA6C2B"/>
    <w:rsid w:val="00EA774A"/>
    <w:rsid w:val="00EA78D5"/>
    <w:rsid w:val="00EA7B62"/>
    <w:rsid w:val="00EB045A"/>
    <w:rsid w:val="00EB1E0C"/>
    <w:rsid w:val="00EB4650"/>
    <w:rsid w:val="00EB5A25"/>
    <w:rsid w:val="00EB5C33"/>
    <w:rsid w:val="00EB60B2"/>
    <w:rsid w:val="00EB72C6"/>
    <w:rsid w:val="00EC05ED"/>
    <w:rsid w:val="00EC11C1"/>
    <w:rsid w:val="00EC12A1"/>
    <w:rsid w:val="00EC136C"/>
    <w:rsid w:val="00EC17C2"/>
    <w:rsid w:val="00EC1E8B"/>
    <w:rsid w:val="00EC24FE"/>
    <w:rsid w:val="00EC2756"/>
    <w:rsid w:val="00EC279E"/>
    <w:rsid w:val="00EC321E"/>
    <w:rsid w:val="00EC3D3C"/>
    <w:rsid w:val="00EC4AE7"/>
    <w:rsid w:val="00EC6389"/>
    <w:rsid w:val="00EC6538"/>
    <w:rsid w:val="00EC6B70"/>
    <w:rsid w:val="00EC7A36"/>
    <w:rsid w:val="00ED051A"/>
    <w:rsid w:val="00ED06B8"/>
    <w:rsid w:val="00ED1328"/>
    <w:rsid w:val="00ED5102"/>
    <w:rsid w:val="00ED5DBB"/>
    <w:rsid w:val="00ED679B"/>
    <w:rsid w:val="00ED70B3"/>
    <w:rsid w:val="00ED72CE"/>
    <w:rsid w:val="00ED7A66"/>
    <w:rsid w:val="00EE0E94"/>
    <w:rsid w:val="00EE11B5"/>
    <w:rsid w:val="00EE1AE6"/>
    <w:rsid w:val="00EE23D2"/>
    <w:rsid w:val="00EE26EF"/>
    <w:rsid w:val="00EE35C5"/>
    <w:rsid w:val="00EE385E"/>
    <w:rsid w:val="00EE47E3"/>
    <w:rsid w:val="00EE4B2E"/>
    <w:rsid w:val="00EE59AB"/>
    <w:rsid w:val="00EE5F17"/>
    <w:rsid w:val="00EE69F4"/>
    <w:rsid w:val="00EE6CA0"/>
    <w:rsid w:val="00EE7A4A"/>
    <w:rsid w:val="00EF03D6"/>
    <w:rsid w:val="00EF06A2"/>
    <w:rsid w:val="00EF0766"/>
    <w:rsid w:val="00EF09B3"/>
    <w:rsid w:val="00EF1C97"/>
    <w:rsid w:val="00EF239D"/>
    <w:rsid w:val="00EF2ABA"/>
    <w:rsid w:val="00EF337F"/>
    <w:rsid w:val="00EF38DF"/>
    <w:rsid w:val="00EF49F6"/>
    <w:rsid w:val="00EF4A1D"/>
    <w:rsid w:val="00EF4C4F"/>
    <w:rsid w:val="00EF503F"/>
    <w:rsid w:val="00EF544A"/>
    <w:rsid w:val="00EF6E8E"/>
    <w:rsid w:val="00EF71F3"/>
    <w:rsid w:val="00EF7511"/>
    <w:rsid w:val="00EF7FD4"/>
    <w:rsid w:val="00F00408"/>
    <w:rsid w:val="00F008C2"/>
    <w:rsid w:val="00F00A07"/>
    <w:rsid w:val="00F01236"/>
    <w:rsid w:val="00F0146F"/>
    <w:rsid w:val="00F014B8"/>
    <w:rsid w:val="00F01D7D"/>
    <w:rsid w:val="00F02145"/>
    <w:rsid w:val="00F02444"/>
    <w:rsid w:val="00F02485"/>
    <w:rsid w:val="00F035A8"/>
    <w:rsid w:val="00F037E5"/>
    <w:rsid w:val="00F04943"/>
    <w:rsid w:val="00F05174"/>
    <w:rsid w:val="00F06D84"/>
    <w:rsid w:val="00F07828"/>
    <w:rsid w:val="00F07AC9"/>
    <w:rsid w:val="00F07FB8"/>
    <w:rsid w:val="00F0F09E"/>
    <w:rsid w:val="00F106BE"/>
    <w:rsid w:val="00F10BD1"/>
    <w:rsid w:val="00F11085"/>
    <w:rsid w:val="00F11DF1"/>
    <w:rsid w:val="00F11FDA"/>
    <w:rsid w:val="00F12B4A"/>
    <w:rsid w:val="00F12CE4"/>
    <w:rsid w:val="00F14236"/>
    <w:rsid w:val="00F14E55"/>
    <w:rsid w:val="00F14F50"/>
    <w:rsid w:val="00F1506C"/>
    <w:rsid w:val="00F160B0"/>
    <w:rsid w:val="00F17125"/>
    <w:rsid w:val="00F17CF0"/>
    <w:rsid w:val="00F21047"/>
    <w:rsid w:val="00F210A5"/>
    <w:rsid w:val="00F218AD"/>
    <w:rsid w:val="00F219EC"/>
    <w:rsid w:val="00F21F5A"/>
    <w:rsid w:val="00F2214D"/>
    <w:rsid w:val="00F232A6"/>
    <w:rsid w:val="00F23EA9"/>
    <w:rsid w:val="00F23ECF"/>
    <w:rsid w:val="00F24CE3"/>
    <w:rsid w:val="00F25097"/>
    <w:rsid w:val="00F25612"/>
    <w:rsid w:val="00F265D8"/>
    <w:rsid w:val="00F26B0C"/>
    <w:rsid w:val="00F26CE8"/>
    <w:rsid w:val="00F33752"/>
    <w:rsid w:val="00F34758"/>
    <w:rsid w:val="00F368FF"/>
    <w:rsid w:val="00F36EBC"/>
    <w:rsid w:val="00F3701B"/>
    <w:rsid w:val="00F37604"/>
    <w:rsid w:val="00F379E3"/>
    <w:rsid w:val="00F37F40"/>
    <w:rsid w:val="00F40F6D"/>
    <w:rsid w:val="00F41CD0"/>
    <w:rsid w:val="00F42619"/>
    <w:rsid w:val="00F42699"/>
    <w:rsid w:val="00F4282D"/>
    <w:rsid w:val="00F42D29"/>
    <w:rsid w:val="00F42E86"/>
    <w:rsid w:val="00F4315C"/>
    <w:rsid w:val="00F43E40"/>
    <w:rsid w:val="00F43F5B"/>
    <w:rsid w:val="00F4506A"/>
    <w:rsid w:val="00F45A7E"/>
    <w:rsid w:val="00F45AE9"/>
    <w:rsid w:val="00F45C03"/>
    <w:rsid w:val="00F46E95"/>
    <w:rsid w:val="00F470D1"/>
    <w:rsid w:val="00F47D56"/>
    <w:rsid w:val="00F5011E"/>
    <w:rsid w:val="00F51796"/>
    <w:rsid w:val="00F51C4F"/>
    <w:rsid w:val="00F51DC3"/>
    <w:rsid w:val="00F522FD"/>
    <w:rsid w:val="00F528BE"/>
    <w:rsid w:val="00F54359"/>
    <w:rsid w:val="00F5449F"/>
    <w:rsid w:val="00F545A9"/>
    <w:rsid w:val="00F549B3"/>
    <w:rsid w:val="00F54DF1"/>
    <w:rsid w:val="00F5526A"/>
    <w:rsid w:val="00F5550A"/>
    <w:rsid w:val="00F559A6"/>
    <w:rsid w:val="00F565BD"/>
    <w:rsid w:val="00F568FD"/>
    <w:rsid w:val="00F57C2A"/>
    <w:rsid w:val="00F62040"/>
    <w:rsid w:val="00F62965"/>
    <w:rsid w:val="00F62E2A"/>
    <w:rsid w:val="00F63AF8"/>
    <w:rsid w:val="00F64689"/>
    <w:rsid w:val="00F65C15"/>
    <w:rsid w:val="00F663CC"/>
    <w:rsid w:val="00F6644D"/>
    <w:rsid w:val="00F66C75"/>
    <w:rsid w:val="00F6731E"/>
    <w:rsid w:val="00F67E82"/>
    <w:rsid w:val="00F703D0"/>
    <w:rsid w:val="00F707A9"/>
    <w:rsid w:val="00F70947"/>
    <w:rsid w:val="00F7260D"/>
    <w:rsid w:val="00F727D6"/>
    <w:rsid w:val="00F738CC"/>
    <w:rsid w:val="00F73C5E"/>
    <w:rsid w:val="00F74113"/>
    <w:rsid w:val="00F745ED"/>
    <w:rsid w:val="00F74B1B"/>
    <w:rsid w:val="00F77576"/>
    <w:rsid w:val="00F77CF8"/>
    <w:rsid w:val="00F808E3"/>
    <w:rsid w:val="00F8091E"/>
    <w:rsid w:val="00F80B72"/>
    <w:rsid w:val="00F81BC9"/>
    <w:rsid w:val="00F81EA5"/>
    <w:rsid w:val="00F81FEB"/>
    <w:rsid w:val="00F820E5"/>
    <w:rsid w:val="00F833A2"/>
    <w:rsid w:val="00F84CA5"/>
    <w:rsid w:val="00F85055"/>
    <w:rsid w:val="00F852E8"/>
    <w:rsid w:val="00F8602F"/>
    <w:rsid w:val="00F8617D"/>
    <w:rsid w:val="00F86DD7"/>
    <w:rsid w:val="00F8733A"/>
    <w:rsid w:val="00F87415"/>
    <w:rsid w:val="00F90064"/>
    <w:rsid w:val="00F90317"/>
    <w:rsid w:val="00F9085D"/>
    <w:rsid w:val="00F916B5"/>
    <w:rsid w:val="00F9239F"/>
    <w:rsid w:val="00F925AC"/>
    <w:rsid w:val="00F92B6B"/>
    <w:rsid w:val="00F93B01"/>
    <w:rsid w:val="00F942B8"/>
    <w:rsid w:val="00F944DE"/>
    <w:rsid w:val="00F955E9"/>
    <w:rsid w:val="00F95BB3"/>
    <w:rsid w:val="00F97554"/>
    <w:rsid w:val="00F976CC"/>
    <w:rsid w:val="00F979F1"/>
    <w:rsid w:val="00F97FDF"/>
    <w:rsid w:val="00FA027B"/>
    <w:rsid w:val="00FA0D59"/>
    <w:rsid w:val="00FA33A9"/>
    <w:rsid w:val="00FA353A"/>
    <w:rsid w:val="00FA3540"/>
    <w:rsid w:val="00FA5DEA"/>
    <w:rsid w:val="00FA6ADD"/>
    <w:rsid w:val="00FA7B9D"/>
    <w:rsid w:val="00FA7C9F"/>
    <w:rsid w:val="00FB0179"/>
    <w:rsid w:val="00FB05FA"/>
    <w:rsid w:val="00FB06F2"/>
    <w:rsid w:val="00FB1B5F"/>
    <w:rsid w:val="00FB3E81"/>
    <w:rsid w:val="00FB3F9E"/>
    <w:rsid w:val="00FB5E2F"/>
    <w:rsid w:val="00FB5F86"/>
    <w:rsid w:val="00FB6A94"/>
    <w:rsid w:val="00FB6C32"/>
    <w:rsid w:val="00FB7BE6"/>
    <w:rsid w:val="00FC0902"/>
    <w:rsid w:val="00FC0B6B"/>
    <w:rsid w:val="00FC1DEC"/>
    <w:rsid w:val="00FC20CE"/>
    <w:rsid w:val="00FC28DD"/>
    <w:rsid w:val="00FC2B0C"/>
    <w:rsid w:val="00FC2E1E"/>
    <w:rsid w:val="00FC3F6E"/>
    <w:rsid w:val="00FC419C"/>
    <w:rsid w:val="00FC5B0F"/>
    <w:rsid w:val="00FC6573"/>
    <w:rsid w:val="00FC6B20"/>
    <w:rsid w:val="00FC6E25"/>
    <w:rsid w:val="00FC6E6E"/>
    <w:rsid w:val="00FC7538"/>
    <w:rsid w:val="00FC76A9"/>
    <w:rsid w:val="00FD240E"/>
    <w:rsid w:val="00FD2AB7"/>
    <w:rsid w:val="00FD2E52"/>
    <w:rsid w:val="00FD3260"/>
    <w:rsid w:val="00FD328A"/>
    <w:rsid w:val="00FD58BF"/>
    <w:rsid w:val="00FD5FE8"/>
    <w:rsid w:val="00FE02A1"/>
    <w:rsid w:val="00FE112A"/>
    <w:rsid w:val="00FE122C"/>
    <w:rsid w:val="00FE219B"/>
    <w:rsid w:val="00FE3132"/>
    <w:rsid w:val="00FE3E0F"/>
    <w:rsid w:val="00FE4E75"/>
    <w:rsid w:val="00FE4FCC"/>
    <w:rsid w:val="00FE5F3D"/>
    <w:rsid w:val="00FE60FB"/>
    <w:rsid w:val="00FE67BD"/>
    <w:rsid w:val="00FE6991"/>
    <w:rsid w:val="00FE73EF"/>
    <w:rsid w:val="00FF0AFE"/>
    <w:rsid w:val="00FF1C6F"/>
    <w:rsid w:val="00FF1FB6"/>
    <w:rsid w:val="00FF213B"/>
    <w:rsid w:val="00FF28B1"/>
    <w:rsid w:val="00FF2C4A"/>
    <w:rsid w:val="00FF30C4"/>
    <w:rsid w:val="00FF3965"/>
    <w:rsid w:val="00FF3B4A"/>
    <w:rsid w:val="00FF5684"/>
    <w:rsid w:val="00FF594A"/>
    <w:rsid w:val="00FF5CBC"/>
    <w:rsid w:val="00FF6556"/>
    <w:rsid w:val="00FF672C"/>
    <w:rsid w:val="00FF769F"/>
    <w:rsid w:val="00FF7E85"/>
    <w:rsid w:val="00FF7FA3"/>
    <w:rsid w:val="0154C29B"/>
    <w:rsid w:val="01AA8E33"/>
    <w:rsid w:val="01ABBAF0"/>
    <w:rsid w:val="01D6977D"/>
    <w:rsid w:val="01DD399F"/>
    <w:rsid w:val="01E5B710"/>
    <w:rsid w:val="01F945BE"/>
    <w:rsid w:val="02268D10"/>
    <w:rsid w:val="022D373A"/>
    <w:rsid w:val="022D484D"/>
    <w:rsid w:val="0239D789"/>
    <w:rsid w:val="024328B9"/>
    <w:rsid w:val="0248EC50"/>
    <w:rsid w:val="025D6D70"/>
    <w:rsid w:val="02BBF0F0"/>
    <w:rsid w:val="02BEACFC"/>
    <w:rsid w:val="02C5064C"/>
    <w:rsid w:val="02F08D19"/>
    <w:rsid w:val="030DE651"/>
    <w:rsid w:val="0330A16D"/>
    <w:rsid w:val="03C5C7D4"/>
    <w:rsid w:val="03D9B99B"/>
    <w:rsid w:val="0415B427"/>
    <w:rsid w:val="04180B21"/>
    <w:rsid w:val="04312856"/>
    <w:rsid w:val="0434B689"/>
    <w:rsid w:val="04411E12"/>
    <w:rsid w:val="0441DADF"/>
    <w:rsid w:val="044F12CC"/>
    <w:rsid w:val="0450D0E5"/>
    <w:rsid w:val="045F869E"/>
    <w:rsid w:val="04DA52A6"/>
    <w:rsid w:val="04E5459C"/>
    <w:rsid w:val="051487EF"/>
    <w:rsid w:val="0533E318"/>
    <w:rsid w:val="05645197"/>
    <w:rsid w:val="05690C5C"/>
    <w:rsid w:val="056E048A"/>
    <w:rsid w:val="056F01A4"/>
    <w:rsid w:val="05A659AB"/>
    <w:rsid w:val="05AA152D"/>
    <w:rsid w:val="05B0BF57"/>
    <w:rsid w:val="05D4E542"/>
    <w:rsid w:val="05DAB174"/>
    <w:rsid w:val="0610E179"/>
    <w:rsid w:val="0614154D"/>
    <w:rsid w:val="061C099E"/>
    <w:rsid w:val="06423519"/>
    <w:rsid w:val="065CF68D"/>
    <w:rsid w:val="06683598"/>
    <w:rsid w:val="067978E9"/>
    <w:rsid w:val="0696A6E2"/>
    <w:rsid w:val="06B05022"/>
    <w:rsid w:val="06CE91EA"/>
    <w:rsid w:val="06EC197C"/>
    <w:rsid w:val="06FB8F6C"/>
    <w:rsid w:val="070B8B78"/>
    <w:rsid w:val="070C5125"/>
    <w:rsid w:val="0717E09D"/>
    <w:rsid w:val="0740E3DD"/>
    <w:rsid w:val="0781BEA4"/>
    <w:rsid w:val="079A609C"/>
    <w:rsid w:val="07E56EF9"/>
    <w:rsid w:val="07E6CD61"/>
    <w:rsid w:val="080AB1C6"/>
    <w:rsid w:val="080B30B5"/>
    <w:rsid w:val="0842AB73"/>
    <w:rsid w:val="08468044"/>
    <w:rsid w:val="08564EC2"/>
    <w:rsid w:val="086E9030"/>
    <w:rsid w:val="08DFE317"/>
    <w:rsid w:val="09429672"/>
    <w:rsid w:val="095391D7"/>
    <w:rsid w:val="09B60646"/>
    <w:rsid w:val="09D3E450"/>
    <w:rsid w:val="09E50799"/>
    <w:rsid w:val="09EB43E7"/>
    <w:rsid w:val="09FA40EE"/>
    <w:rsid w:val="0A40911F"/>
    <w:rsid w:val="0A4B1E08"/>
    <w:rsid w:val="0AEE9D07"/>
    <w:rsid w:val="0B0B624C"/>
    <w:rsid w:val="0B3092B9"/>
    <w:rsid w:val="0B385FCE"/>
    <w:rsid w:val="0B45DBFF"/>
    <w:rsid w:val="0B6681A8"/>
    <w:rsid w:val="0BA55179"/>
    <w:rsid w:val="0BADBB34"/>
    <w:rsid w:val="0BD330D2"/>
    <w:rsid w:val="0BF5062F"/>
    <w:rsid w:val="0C08F6F3"/>
    <w:rsid w:val="0C0FDC00"/>
    <w:rsid w:val="0C11460A"/>
    <w:rsid w:val="0C535751"/>
    <w:rsid w:val="0C858921"/>
    <w:rsid w:val="0C90C23F"/>
    <w:rsid w:val="0CA8BBAC"/>
    <w:rsid w:val="0CC44237"/>
    <w:rsid w:val="0CCE12C8"/>
    <w:rsid w:val="0CD038BE"/>
    <w:rsid w:val="0D083AC3"/>
    <w:rsid w:val="0D0ECBA0"/>
    <w:rsid w:val="0D2F4F49"/>
    <w:rsid w:val="0D6BDECD"/>
    <w:rsid w:val="0D9BB873"/>
    <w:rsid w:val="0DA6AB69"/>
    <w:rsid w:val="0DDB60CC"/>
    <w:rsid w:val="0DEB1CEE"/>
    <w:rsid w:val="0DED9B91"/>
    <w:rsid w:val="0E13D402"/>
    <w:rsid w:val="0E17B373"/>
    <w:rsid w:val="0E592894"/>
    <w:rsid w:val="0E781678"/>
    <w:rsid w:val="0E7D7C2B"/>
    <w:rsid w:val="0EB33206"/>
    <w:rsid w:val="0EB86734"/>
    <w:rsid w:val="0EFEF445"/>
    <w:rsid w:val="0F0B1BF0"/>
    <w:rsid w:val="0F424B85"/>
    <w:rsid w:val="0F55D718"/>
    <w:rsid w:val="0F77FE4A"/>
    <w:rsid w:val="0F83B671"/>
    <w:rsid w:val="0F883092"/>
    <w:rsid w:val="0F9FA98F"/>
    <w:rsid w:val="0FA9E1EC"/>
    <w:rsid w:val="0FE8241D"/>
    <w:rsid w:val="0FF660BF"/>
    <w:rsid w:val="10177688"/>
    <w:rsid w:val="10685530"/>
    <w:rsid w:val="107021F3"/>
    <w:rsid w:val="10720316"/>
    <w:rsid w:val="108720A4"/>
    <w:rsid w:val="10AC1E2A"/>
    <w:rsid w:val="10B7C95B"/>
    <w:rsid w:val="10CC9682"/>
    <w:rsid w:val="10DD2F49"/>
    <w:rsid w:val="10DFADEC"/>
    <w:rsid w:val="10EFB9D3"/>
    <w:rsid w:val="10F8333E"/>
    <w:rsid w:val="10F9BFEE"/>
    <w:rsid w:val="1117B48F"/>
    <w:rsid w:val="115F309C"/>
    <w:rsid w:val="116DDBB7"/>
    <w:rsid w:val="11B43A0C"/>
    <w:rsid w:val="11E3181F"/>
    <w:rsid w:val="12422C14"/>
    <w:rsid w:val="125BB23E"/>
    <w:rsid w:val="1260F788"/>
    <w:rsid w:val="1275134B"/>
    <w:rsid w:val="12776C13"/>
    <w:rsid w:val="127CDCD7"/>
    <w:rsid w:val="1289917F"/>
    <w:rsid w:val="12A305EB"/>
    <w:rsid w:val="12A66D66"/>
    <w:rsid w:val="12B337D7"/>
    <w:rsid w:val="12B54C8C"/>
    <w:rsid w:val="12B7062D"/>
    <w:rsid w:val="12DCCF5F"/>
    <w:rsid w:val="12EB567D"/>
    <w:rsid w:val="134DBE82"/>
    <w:rsid w:val="1357644A"/>
    <w:rsid w:val="13B488B5"/>
    <w:rsid w:val="13B9C6DA"/>
    <w:rsid w:val="13BE29EE"/>
    <w:rsid w:val="13BFCD35"/>
    <w:rsid w:val="13E2F086"/>
    <w:rsid w:val="13EECE88"/>
    <w:rsid w:val="13F3AA10"/>
    <w:rsid w:val="14085FA9"/>
    <w:rsid w:val="140AA8C1"/>
    <w:rsid w:val="144029FB"/>
    <w:rsid w:val="1443E789"/>
    <w:rsid w:val="148B3B5D"/>
    <w:rsid w:val="1498B4C2"/>
    <w:rsid w:val="1499F116"/>
    <w:rsid w:val="14A2C8AD"/>
    <w:rsid w:val="14E2B8B9"/>
    <w:rsid w:val="14F6B816"/>
    <w:rsid w:val="1502FCDD"/>
    <w:rsid w:val="150E12F4"/>
    <w:rsid w:val="1528663A"/>
    <w:rsid w:val="153D6BF8"/>
    <w:rsid w:val="1552D60A"/>
    <w:rsid w:val="1589EACB"/>
    <w:rsid w:val="15A69EFD"/>
    <w:rsid w:val="15B4EDA8"/>
    <w:rsid w:val="15D119BF"/>
    <w:rsid w:val="15E39DCE"/>
    <w:rsid w:val="160E487D"/>
    <w:rsid w:val="165F8D33"/>
    <w:rsid w:val="166A0A6F"/>
    <w:rsid w:val="169BE9F4"/>
    <w:rsid w:val="16A61873"/>
    <w:rsid w:val="16CF0036"/>
    <w:rsid w:val="17190849"/>
    <w:rsid w:val="171D0019"/>
    <w:rsid w:val="171F2E17"/>
    <w:rsid w:val="172D5FB6"/>
    <w:rsid w:val="175DFF38"/>
    <w:rsid w:val="1761335C"/>
    <w:rsid w:val="177D4DB8"/>
    <w:rsid w:val="178009C4"/>
    <w:rsid w:val="178245E6"/>
    <w:rsid w:val="17EF74FA"/>
    <w:rsid w:val="17F9654A"/>
    <w:rsid w:val="17FDEEC6"/>
    <w:rsid w:val="18173CE5"/>
    <w:rsid w:val="184D09C4"/>
    <w:rsid w:val="18649D8F"/>
    <w:rsid w:val="187137E9"/>
    <w:rsid w:val="187A9C60"/>
    <w:rsid w:val="187D4CD9"/>
    <w:rsid w:val="18A011FE"/>
    <w:rsid w:val="18BF934F"/>
    <w:rsid w:val="18C82865"/>
    <w:rsid w:val="18D69200"/>
    <w:rsid w:val="18DD3C2A"/>
    <w:rsid w:val="1930FB1C"/>
    <w:rsid w:val="195863A9"/>
    <w:rsid w:val="19595493"/>
    <w:rsid w:val="19599E27"/>
    <w:rsid w:val="1992D7D7"/>
    <w:rsid w:val="19A66A0F"/>
    <w:rsid w:val="19A8EC34"/>
    <w:rsid w:val="19AE6E45"/>
    <w:rsid w:val="19B15271"/>
    <w:rsid w:val="19D2F33E"/>
    <w:rsid w:val="19F15BCA"/>
    <w:rsid w:val="1A05E50D"/>
    <w:rsid w:val="1A721C1F"/>
    <w:rsid w:val="1A78756F"/>
    <w:rsid w:val="1ADAF0F8"/>
    <w:rsid w:val="1B2A809F"/>
    <w:rsid w:val="1B69DB2A"/>
    <w:rsid w:val="1B786BFA"/>
    <w:rsid w:val="1B82CB95"/>
    <w:rsid w:val="1BEFD80D"/>
    <w:rsid w:val="1BF80874"/>
    <w:rsid w:val="1C2D01A0"/>
    <w:rsid w:val="1C3A98CC"/>
    <w:rsid w:val="1C431B6C"/>
    <w:rsid w:val="1C4BF303"/>
    <w:rsid w:val="1C6B7454"/>
    <w:rsid w:val="1C7BD62D"/>
    <w:rsid w:val="1CB73D4A"/>
    <w:rsid w:val="1CBDE774"/>
    <w:rsid w:val="1CCC0E8E"/>
    <w:rsid w:val="1CF5D766"/>
    <w:rsid w:val="1D02EF76"/>
    <w:rsid w:val="1D104FFC"/>
    <w:rsid w:val="1D4F5D36"/>
    <w:rsid w:val="1D7F4060"/>
    <w:rsid w:val="1DA19968"/>
    <w:rsid w:val="1DC477D3"/>
    <w:rsid w:val="1DE7722E"/>
    <w:rsid w:val="1E258766"/>
    <w:rsid w:val="1E408B5B"/>
    <w:rsid w:val="1E49EFD2"/>
    <w:rsid w:val="1E6DF1FD"/>
    <w:rsid w:val="1E8719FE"/>
    <w:rsid w:val="1EAFFA28"/>
    <w:rsid w:val="1EC8C8D6"/>
    <w:rsid w:val="1ED6F264"/>
    <w:rsid w:val="1F0E26AD"/>
    <w:rsid w:val="1F5D4FC1"/>
    <w:rsid w:val="1F622B49"/>
    <w:rsid w:val="1F87A0E7"/>
    <w:rsid w:val="1FBFC430"/>
    <w:rsid w:val="1FEEC583"/>
    <w:rsid w:val="20091467"/>
    <w:rsid w:val="202CE0B0"/>
    <w:rsid w:val="203AC567"/>
    <w:rsid w:val="205139F2"/>
    <w:rsid w:val="2054DBF2"/>
    <w:rsid w:val="207B6F28"/>
    <w:rsid w:val="20AB6037"/>
    <w:rsid w:val="20AD3CE4"/>
    <w:rsid w:val="20D081DE"/>
    <w:rsid w:val="20FAA3DD"/>
    <w:rsid w:val="2130FEB0"/>
    <w:rsid w:val="213C022D"/>
    <w:rsid w:val="213EB2A6"/>
    <w:rsid w:val="21792C59"/>
    <w:rsid w:val="217D8290"/>
    <w:rsid w:val="21AF0F63"/>
    <w:rsid w:val="21B444FA"/>
    <w:rsid w:val="21C4F54F"/>
    <w:rsid w:val="21CD2676"/>
    <w:rsid w:val="21CED8B5"/>
    <w:rsid w:val="21D0718E"/>
    <w:rsid w:val="21D614C5"/>
    <w:rsid w:val="21D88BA8"/>
    <w:rsid w:val="21E9F2D5"/>
    <w:rsid w:val="221B03F4"/>
    <w:rsid w:val="2241E9A0"/>
    <w:rsid w:val="2247F2C1"/>
    <w:rsid w:val="224D7352"/>
    <w:rsid w:val="225D153B"/>
    <w:rsid w:val="225F842E"/>
    <w:rsid w:val="2270F150"/>
    <w:rsid w:val="227C968C"/>
    <w:rsid w:val="22904BE9"/>
    <w:rsid w:val="22A46242"/>
    <w:rsid w:val="22AF83B1"/>
    <w:rsid w:val="22B13C48"/>
    <w:rsid w:val="22C18D7B"/>
    <w:rsid w:val="22C2E7CD"/>
    <w:rsid w:val="22D94FFA"/>
    <w:rsid w:val="2312EC90"/>
    <w:rsid w:val="2332993E"/>
    <w:rsid w:val="2353033D"/>
    <w:rsid w:val="23636516"/>
    <w:rsid w:val="2368F6D7"/>
    <w:rsid w:val="2371CEB1"/>
    <w:rsid w:val="2397FA2C"/>
    <w:rsid w:val="23BA419A"/>
    <w:rsid w:val="23E3C322"/>
    <w:rsid w:val="241D5AFE"/>
    <w:rsid w:val="24349E58"/>
    <w:rsid w:val="2436EC1F"/>
    <w:rsid w:val="244EE58C"/>
    <w:rsid w:val="24616066"/>
    <w:rsid w:val="246B13FA"/>
    <w:rsid w:val="24710EBF"/>
    <w:rsid w:val="249F01BC"/>
    <w:rsid w:val="24ABFE84"/>
    <w:rsid w:val="24B5EBC6"/>
    <w:rsid w:val="24CB91D7"/>
    <w:rsid w:val="24D9174E"/>
    <w:rsid w:val="24DC8A14"/>
    <w:rsid w:val="24ED9C24"/>
    <w:rsid w:val="25081A04"/>
    <w:rsid w:val="2537CD17"/>
    <w:rsid w:val="254548C2"/>
    <w:rsid w:val="25893B8E"/>
    <w:rsid w:val="25E6F6A8"/>
    <w:rsid w:val="25E86A1B"/>
    <w:rsid w:val="260BAA12"/>
    <w:rsid w:val="2610C303"/>
    <w:rsid w:val="266D46A5"/>
    <w:rsid w:val="2682B774"/>
    <w:rsid w:val="26876F3C"/>
    <w:rsid w:val="268DA9E4"/>
    <w:rsid w:val="2699F7AB"/>
    <w:rsid w:val="269B353C"/>
    <w:rsid w:val="26B5DC14"/>
    <w:rsid w:val="26BFEF91"/>
    <w:rsid w:val="26DB2FF4"/>
    <w:rsid w:val="27142D36"/>
    <w:rsid w:val="27225450"/>
    <w:rsid w:val="274D2465"/>
    <w:rsid w:val="2767CA2E"/>
    <w:rsid w:val="2789209C"/>
    <w:rsid w:val="279AF2EB"/>
    <w:rsid w:val="27A0A940"/>
    <w:rsid w:val="27BDD3AD"/>
    <w:rsid w:val="27CB7663"/>
    <w:rsid w:val="28129861"/>
    <w:rsid w:val="282C68AD"/>
    <w:rsid w:val="28877303"/>
    <w:rsid w:val="2894204B"/>
    <w:rsid w:val="28A1965A"/>
    <w:rsid w:val="28B506D8"/>
    <w:rsid w:val="28C01A91"/>
    <w:rsid w:val="28C70065"/>
    <w:rsid w:val="291ADF9D"/>
    <w:rsid w:val="2926FB49"/>
    <w:rsid w:val="29968742"/>
    <w:rsid w:val="29AF0C94"/>
    <w:rsid w:val="29B3CC71"/>
    <w:rsid w:val="29C42E4A"/>
    <w:rsid w:val="2A063F91"/>
    <w:rsid w:val="2A25C0E2"/>
    <w:rsid w:val="2A2B7E41"/>
    <w:rsid w:val="2A55ED6D"/>
    <w:rsid w:val="2A690B6D"/>
    <w:rsid w:val="2AA3AF00"/>
    <w:rsid w:val="2AAB58A2"/>
    <w:rsid w:val="2ACE81FA"/>
    <w:rsid w:val="2AEC76A3"/>
    <w:rsid w:val="2B17D0DE"/>
    <w:rsid w:val="2B38E368"/>
    <w:rsid w:val="2B4A3923"/>
    <w:rsid w:val="2B4C1778"/>
    <w:rsid w:val="2B4EA0B3"/>
    <w:rsid w:val="2B55EC85"/>
    <w:rsid w:val="2B6DDF83"/>
    <w:rsid w:val="2B98964B"/>
    <w:rsid w:val="2BA864C9"/>
    <w:rsid w:val="2BAFF0CA"/>
    <w:rsid w:val="2BB55BCD"/>
    <w:rsid w:val="2C03888A"/>
    <w:rsid w:val="2C180667"/>
    <w:rsid w:val="2C5BE577"/>
    <w:rsid w:val="2C66BF84"/>
    <w:rsid w:val="2C694B1D"/>
    <w:rsid w:val="2CDC6DE5"/>
    <w:rsid w:val="2CF1A7C2"/>
    <w:rsid w:val="2CF851EC"/>
    <w:rsid w:val="2CF92797"/>
    <w:rsid w:val="2D03C62F"/>
    <w:rsid w:val="2D081C4D"/>
    <w:rsid w:val="2D0BBE4D"/>
    <w:rsid w:val="2D12BA4C"/>
    <w:rsid w:val="2D17D33D"/>
    <w:rsid w:val="2D1D909C"/>
    <w:rsid w:val="2D25FA57"/>
    <w:rsid w:val="2D2C3E0F"/>
    <w:rsid w:val="2D3AA691"/>
    <w:rsid w:val="2D3D59EE"/>
    <w:rsid w:val="2D55EB4B"/>
    <w:rsid w:val="2D7C148F"/>
    <w:rsid w:val="2D89C7AE"/>
    <w:rsid w:val="2D9020FE"/>
    <w:rsid w:val="2DCC0291"/>
    <w:rsid w:val="2E2CC86D"/>
    <w:rsid w:val="2E40B30E"/>
    <w:rsid w:val="2E45E140"/>
    <w:rsid w:val="2E5D46F3"/>
    <w:rsid w:val="2E62F5EB"/>
    <w:rsid w:val="2E73D7AE"/>
    <w:rsid w:val="2E8818F0"/>
    <w:rsid w:val="2EB0ACD8"/>
    <w:rsid w:val="2ED228D0"/>
    <w:rsid w:val="2EFC9D17"/>
    <w:rsid w:val="2EFFD13B"/>
    <w:rsid w:val="2F10F484"/>
    <w:rsid w:val="2F324AF2"/>
    <w:rsid w:val="2F484394"/>
    <w:rsid w:val="2F583A17"/>
    <w:rsid w:val="2F6F983F"/>
    <w:rsid w:val="2F9C95C1"/>
    <w:rsid w:val="2FB622C5"/>
    <w:rsid w:val="2FD59303"/>
    <w:rsid w:val="2FE2D846"/>
    <w:rsid w:val="2FE3BA1D"/>
    <w:rsid w:val="2FFAD1B3"/>
    <w:rsid w:val="3009E598"/>
    <w:rsid w:val="3016676E"/>
    <w:rsid w:val="302A4245"/>
    <w:rsid w:val="303BC119"/>
    <w:rsid w:val="304ACCAB"/>
    <w:rsid w:val="305A4DA5"/>
    <w:rsid w:val="3060E1A7"/>
    <w:rsid w:val="30644CB9"/>
    <w:rsid w:val="307EBFB1"/>
    <w:rsid w:val="30ABBD33"/>
    <w:rsid w:val="30BEC90A"/>
    <w:rsid w:val="30E12AB7"/>
    <w:rsid w:val="30E3EFA6"/>
    <w:rsid w:val="30EDCE7A"/>
    <w:rsid w:val="31159812"/>
    <w:rsid w:val="311E2A5D"/>
    <w:rsid w:val="31327CD9"/>
    <w:rsid w:val="313D32F5"/>
    <w:rsid w:val="315A0C93"/>
    <w:rsid w:val="316CAF1A"/>
    <w:rsid w:val="31A556BA"/>
    <w:rsid w:val="31B6EE52"/>
    <w:rsid w:val="31BCAF2A"/>
    <w:rsid w:val="31DE7D1C"/>
    <w:rsid w:val="31E86116"/>
    <w:rsid w:val="31F138AD"/>
    <w:rsid w:val="32245D4D"/>
    <w:rsid w:val="32288095"/>
    <w:rsid w:val="324C0A4F"/>
    <w:rsid w:val="3257ED0F"/>
    <w:rsid w:val="32859417"/>
    <w:rsid w:val="3290D589"/>
    <w:rsid w:val="33067112"/>
    <w:rsid w:val="3339AAE2"/>
    <w:rsid w:val="334D0756"/>
    <w:rsid w:val="33504389"/>
    <w:rsid w:val="3354E9E1"/>
    <w:rsid w:val="336021B7"/>
    <w:rsid w:val="338480EE"/>
    <w:rsid w:val="339A3BA5"/>
    <w:rsid w:val="33B04789"/>
    <w:rsid w:val="33B0DB65"/>
    <w:rsid w:val="33EFCD04"/>
    <w:rsid w:val="33FDA8BD"/>
    <w:rsid w:val="34101793"/>
    <w:rsid w:val="343CCD2B"/>
    <w:rsid w:val="3448FDAF"/>
    <w:rsid w:val="345D647D"/>
    <w:rsid w:val="34947545"/>
    <w:rsid w:val="34CF24AD"/>
    <w:rsid w:val="34E3B725"/>
    <w:rsid w:val="351168C5"/>
    <w:rsid w:val="352D40A0"/>
    <w:rsid w:val="35352E26"/>
    <w:rsid w:val="3545B876"/>
    <w:rsid w:val="354DA5FC"/>
    <w:rsid w:val="354EA026"/>
    <w:rsid w:val="3567CC33"/>
    <w:rsid w:val="3574C0CA"/>
    <w:rsid w:val="3599FF7A"/>
    <w:rsid w:val="35C72952"/>
    <w:rsid w:val="35E5A0A9"/>
    <w:rsid w:val="35E76024"/>
    <w:rsid w:val="35E9EE77"/>
    <w:rsid w:val="35F69DD1"/>
    <w:rsid w:val="364A274B"/>
    <w:rsid w:val="365ED0CA"/>
    <w:rsid w:val="36769349"/>
    <w:rsid w:val="36B1EF0D"/>
    <w:rsid w:val="36B6C16E"/>
    <w:rsid w:val="36DB74A9"/>
    <w:rsid w:val="36E188D7"/>
    <w:rsid w:val="36E9765D"/>
    <w:rsid w:val="36F0468C"/>
    <w:rsid w:val="370487CE"/>
    <w:rsid w:val="370BDCE1"/>
    <w:rsid w:val="375CBEC8"/>
    <w:rsid w:val="37B8CD4D"/>
    <w:rsid w:val="38033FB9"/>
    <w:rsid w:val="3825045F"/>
    <w:rsid w:val="3832D84F"/>
    <w:rsid w:val="384F78A6"/>
    <w:rsid w:val="385512E4"/>
    <w:rsid w:val="3896F8D0"/>
    <w:rsid w:val="38A86482"/>
    <w:rsid w:val="38BB780D"/>
    <w:rsid w:val="39C81F11"/>
    <w:rsid w:val="39CB16B8"/>
    <w:rsid w:val="39CEB598"/>
    <w:rsid w:val="39DCBB9D"/>
    <w:rsid w:val="39F42B36"/>
    <w:rsid w:val="3A0AD4F0"/>
    <w:rsid w:val="3A2D4A18"/>
    <w:rsid w:val="3A4EECEC"/>
    <w:rsid w:val="3A602B5A"/>
    <w:rsid w:val="3A6E3779"/>
    <w:rsid w:val="3A9DAB78"/>
    <w:rsid w:val="3AA5B14C"/>
    <w:rsid w:val="3AB0968C"/>
    <w:rsid w:val="3AB72336"/>
    <w:rsid w:val="3AD50573"/>
    <w:rsid w:val="3B16ACFB"/>
    <w:rsid w:val="3B2A3A6C"/>
    <w:rsid w:val="3B2A831B"/>
    <w:rsid w:val="3B6952EC"/>
    <w:rsid w:val="3B826101"/>
    <w:rsid w:val="3BA2657B"/>
    <w:rsid w:val="3BA88C7C"/>
    <w:rsid w:val="3BB4F9FA"/>
    <w:rsid w:val="3BCF62E0"/>
    <w:rsid w:val="3C1459CF"/>
    <w:rsid w:val="3C1A3E6C"/>
    <w:rsid w:val="3C1A80ED"/>
    <w:rsid w:val="3C2CC54E"/>
    <w:rsid w:val="3C3FBF9D"/>
    <w:rsid w:val="3C433D19"/>
    <w:rsid w:val="3C5270DF"/>
    <w:rsid w:val="3C814245"/>
    <w:rsid w:val="3C9767CE"/>
    <w:rsid w:val="3CA616C1"/>
    <w:rsid w:val="3CABB42E"/>
    <w:rsid w:val="3CD43454"/>
    <w:rsid w:val="3CEDC575"/>
    <w:rsid w:val="3CFE7AE2"/>
    <w:rsid w:val="3D50CA5B"/>
    <w:rsid w:val="3D718818"/>
    <w:rsid w:val="3D77B353"/>
    <w:rsid w:val="3DAEEBC5"/>
    <w:rsid w:val="3E2AA2ED"/>
    <w:rsid w:val="3E84614A"/>
    <w:rsid w:val="3E965B12"/>
    <w:rsid w:val="3EA537BE"/>
    <w:rsid w:val="3EB09271"/>
    <w:rsid w:val="3ECD9E2E"/>
    <w:rsid w:val="3EF48842"/>
    <w:rsid w:val="3EF9FE26"/>
    <w:rsid w:val="3F05E91E"/>
    <w:rsid w:val="3F329295"/>
    <w:rsid w:val="3F87A0C6"/>
    <w:rsid w:val="3F88D5AE"/>
    <w:rsid w:val="3F9E090A"/>
    <w:rsid w:val="3FA0452C"/>
    <w:rsid w:val="3FBD536D"/>
    <w:rsid w:val="3FC87D51"/>
    <w:rsid w:val="3FCDEC34"/>
    <w:rsid w:val="3FF4A759"/>
    <w:rsid w:val="400CF8AE"/>
    <w:rsid w:val="40791A55"/>
    <w:rsid w:val="40BD72EB"/>
    <w:rsid w:val="40D15667"/>
    <w:rsid w:val="40F6348D"/>
    <w:rsid w:val="41585E9D"/>
    <w:rsid w:val="41779D6D"/>
    <w:rsid w:val="417EAEC4"/>
    <w:rsid w:val="4183D99B"/>
    <w:rsid w:val="41B9AEB4"/>
    <w:rsid w:val="41D79851"/>
    <w:rsid w:val="41D93005"/>
    <w:rsid w:val="422919EA"/>
    <w:rsid w:val="425EC7C5"/>
    <w:rsid w:val="4273D350"/>
    <w:rsid w:val="42A9773F"/>
    <w:rsid w:val="42AF65C8"/>
    <w:rsid w:val="42B44150"/>
    <w:rsid w:val="42DEBC65"/>
    <w:rsid w:val="42E5C7C1"/>
    <w:rsid w:val="431C7836"/>
    <w:rsid w:val="4340DB8A"/>
    <w:rsid w:val="434BD29D"/>
    <w:rsid w:val="435C7F18"/>
    <w:rsid w:val="435D800C"/>
    <w:rsid w:val="436C7846"/>
    <w:rsid w:val="4380F076"/>
    <w:rsid w:val="43A34FF9"/>
    <w:rsid w:val="43CFA4F0"/>
    <w:rsid w:val="43F911C4"/>
    <w:rsid w:val="442B6C12"/>
    <w:rsid w:val="444575CD"/>
    <w:rsid w:val="44C4338F"/>
    <w:rsid w:val="44E90A11"/>
    <w:rsid w:val="44FC847D"/>
    <w:rsid w:val="44FE9932"/>
    <w:rsid w:val="45098F25"/>
    <w:rsid w:val="451AB68B"/>
    <w:rsid w:val="455546E5"/>
    <w:rsid w:val="459C9FF1"/>
    <w:rsid w:val="45A653AB"/>
    <w:rsid w:val="45AA2D9A"/>
    <w:rsid w:val="45AF2B42"/>
    <w:rsid w:val="45B866B3"/>
    <w:rsid w:val="45DD7F43"/>
    <w:rsid w:val="463FF790"/>
    <w:rsid w:val="46544453"/>
    <w:rsid w:val="466E0AA3"/>
    <w:rsid w:val="466ED989"/>
    <w:rsid w:val="467EEDC9"/>
    <w:rsid w:val="46A458C4"/>
    <w:rsid w:val="46B00C3A"/>
    <w:rsid w:val="46EDAD90"/>
    <w:rsid w:val="46F78C64"/>
    <w:rsid w:val="47109C4C"/>
    <w:rsid w:val="4728F3A6"/>
    <w:rsid w:val="47817A42"/>
    <w:rsid w:val="47890226"/>
    <w:rsid w:val="4799B793"/>
    <w:rsid w:val="47B67C52"/>
    <w:rsid w:val="47C66D14"/>
    <w:rsid w:val="47F8EEA9"/>
    <w:rsid w:val="47FA7148"/>
    <w:rsid w:val="4820F5EC"/>
    <w:rsid w:val="48975EC9"/>
    <w:rsid w:val="48B885D6"/>
    <w:rsid w:val="48BBA5FD"/>
    <w:rsid w:val="48D3D23B"/>
    <w:rsid w:val="49102EFC"/>
    <w:rsid w:val="4924513A"/>
    <w:rsid w:val="495A8E61"/>
    <w:rsid w:val="4962D90A"/>
    <w:rsid w:val="49B25F49"/>
    <w:rsid w:val="49CBF5E4"/>
    <w:rsid w:val="4A07F21B"/>
    <w:rsid w:val="4A2D45FB"/>
    <w:rsid w:val="4A683011"/>
    <w:rsid w:val="4A9E332F"/>
    <w:rsid w:val="4A9F3A6C"/>
    <w:rsid w:val="4AA05331"/>
    <w:rsid w:val="4B03B2AC"/>
    <w:rsid w:val="4B1D3FB0"/>
    <w:rsid w:val="4B54431B"/>
    <w:rsid w:val="4B664919"/>
    <w:rsid w:val="4B73F920"/>
    <w:rsid w:val="4B7EEAD1"/>
    <w:rsid w:val="4BC5E496"/>
    <w:rsid w:val="4C2564A8"/>
    <w:rsid w:val="4C305114"/>
    <w:rsid w:val="4C54EB65"/>
    <w:rsid w:val="4C6B7F16"/>
    <w:rsid w:val="4C780A13"/>
    <w:rsid w:val="4C791150"/>
    <w:rsid w:val="4C7A7216"/>
    <w:rsid w:val="4CC0B8B8"/>
    <w:rsid w:val="4CD01B3F"/>
    <w:rsid w:val="4D0BD6C5"/>
    <w:rsid w:val="4D2B1595"/>
    <w:rsid w:val="4D2B53FF"/>
    <w:rsid w:val="4D4B4E9B"/>
    <w:rsid w:val="4D559954"/>
    <w:rsid w:val="4D659ADB"/>
    <w:rsid w:val="4D6EDBAB"/>
    <w:rsid w:val="4D72BDF8"/>
    <w:rsid w:val="4D77D6E9"/>
    <w:rsid w:val="4DC14DE9"/>
    <w:rsid w:val="4E24992B"/>
    <w:rsid w:val="4E274B78"/>
    <w:rsid w:val="4E5AB118"/>
    <w:rsid w:val="4E69E6E5"/>
    <w:rsid w:val="4E78F47F"/>
    <w:rsid w:val="4E901260"/>
    <w:rsid w:val="4E9B0DA0"/>
    <w:rsid w:val="4EABA92A"/>
    <w:rsid w:val="4EDAF97F"/>
    <w:rsid w:val="4F12BC3E"/>
    <w:rsid w:val="4F50DCAA"/>
    <w:rsid w:val="4F761926"/>
    <w:rsid w:val="4FB2EBAB"/>
    <w:rsid w:val="4FB8F231"/>
    <w:rsid w:val="4FBB6124"/>
    <w:rsid w:val="4FD87382"/>
    <w:rsid w:val="4FE01BBC"/>
    <w:rsid w:val="4FF7BDE5"/>
    <w:rsid w:val="4FFC996D"/>
    <w:rsid w:val="505A3254"/>
    <w:rsid w:val="5064D053"/>
    <w:rsid w:val="507A1C89"/>
    <w:rsid w:val="507A7C3C"/>
    <w:rsid w:val="508933A7"/>
    <w:rsid w:val="508F6FF5"/>
    <w:rsid w:val="50DEC35D"/>
    <w:rsid w:val="50E1C76A"/>
    <w:rsid w:val="51159018"/>
    <w:rsid w:val="5123F8D5"/>
    <w:rsid w:val="514DD377"/>
    <w:rsid w:val="517EC5CB"/>
    <w:rsid w:val="51811703"/>
    <w:rsid w:val="5185C218"/>
    <w:rsid w:val="51A3D550"/>
    <w:rsid w:val="51AEECD0"/>
    <w:rsid w:val="51B50BF2"/>
    <w:rsid w:val="51C5EDB5"/>
    <w:rsid w:val="51ED1C26"/>
    <w:rsid w:val="51FBE5EF"/>
    <w:rsid w:val="5218FA07"/>
    <w:rsid w:val="5243C028"/>
    <w:rsid w:val="5251E742"/>
    <w:rsid w:val="526A4A32"/>
    <w:rsid w:val="528460F9"/>
    <w:rsid w:val="52ACDD02"/>
    <w:rsid w:val="52B7F0BB"/>
    <w:rsid w:val="52EEABC8"/>
    <w:rsid w:val="53217080"/>
    <w:rsid w:val="5334EE4D"/>
    <w:rsid w:val="533EB4F7"/>
    <w:rsid w:val="5349667D"/>
    <w:rsid w:val="534CE7BA"/>
    <w:rsid w:val="534D2FBB"/>
    <w:rsid w:val="535F98FC"/>
    <w:rsid w:val="538035C1"/>
    <w:rsid w:val="539970D8"/>
    <w:rsid w:val="53B2F7AE"/>
    <w:rsid w:val="53BB5AEE"/>
    <w:rsid w:val="53C01AE3"/>
    <w:rsid w:val="53FDD33A"/>
    <w:rsid w:val="5410AA57"/>
    <w:rsid w:val="54193E19"/>
    <w:rsid w:val="5440294C"/>
    <w:rsid w:val="5450EB9D"/>
    <w:rsid w:val="546AC8EA"/>
    <w:rsid w:val="54BEC521"/>
    <w:rsid w:val="54E94999"/>
    <w:rsid w:val="550BEFA1"/>
    <w:rsid w:val="557B0DCE"/>
    <w:rsid w:val="559A13D5"/>
    <w:rsid w:val="55B87C61"/>
    <w:rsid w:val="55D23B3B"/>
    <w:rsid w:val="55D7AA1E"/>
    <w:rsid w:val="563423C5"/>
    <w:rsid w:val="56393CB6"/>
    <w:rsid w:val="565601FB"/>
    <w:rsid w:val="56D5A56E"/>
    <w:rsid w:val="5702F16C"/>
    <w:rsid w:val="572B4CB2"/>
    <w:rsid w:val="572D5142"/>
    <w:rsid w:val="575BF569"/>
    <w:rsid w:val="57622D9A"/>
    <w:rsid w:val="576BFAFA"/>
    <w:rsid w:val="57815B57"/>
    <w:rsid w:val="5799C297"/>
    <w:rsid w:val="57BBE09D"/>
    <w:rsid w:val="57C9C5EE"/>
    <w:rsid w:val="57E368B1"/>
    <w:rsid w:val="57E68B4C"/>
    <w:rsid w:val="57EDE0E5"/>
    <w:rsid w:val="5821BDC0"/>
    <w:rsid w:val="582B823B"/>
    <w:rsid w:val="58389A4B"/>
    <w:rsid w:val="583A7E68"/>
    <w:rsid w:val="585C8A9A"/>
    <w:rsid w:val="5860C42D"/>
    <w:rsid w:val="586885AF"/>
    <w:rsid w:val="587430E0"/>
    <w:rsid w:val="58AA8EBC"/>
    <w:rsid w:val="58E65822"/>
    <w:rsid w:val="58EC1581"/>
    <w:rsid w:val="58FAD13F"/>
    <w:rsid w:val="590AC0EE"/>
    <w:rsid w:val="59126CF6"/>
    <w:rsid w:val="591B9821"/>
    <w:rsid w:val="59214CA7"/>
    <w:rsid w:val="5935E7F8"/>
    <w:rsid w:val="5973D833"/>
    <w:rsid w:val="598AAE60"/>
    <w:rsid w:val="599196F5"/>
    <w:rsid w:val="5997DD2C"/>
    <w:rsid w:val="59ADF8EF"/>
    <w:rsid w:val="59BCC4D3"/>
    <w:rsid w:val="59C7B7C9"/>
    <w:rsid w:val="59F04311"/>
    <w:rsid w:val="59F14876"/>
    <w:rsid w:val="59F16A8F"/>
    <w:rsid w:val="5A1D1403"/>
    <w:rsid w:val="5A20AB07"/>
    <w:rsid w:val="5AD89DA7"/>
    <w:rsid w:val="5AF4D4C2"/>
    <w:rsid w:val="5B1018EB"/>
    <w:rsid w:val="5B5D85AC"/>
    <w:rsid w:val="5B8A86C7"/>
    <w:rsid w:val="5B9F580B"/>
    <w:rsid w:val="5BB23F02"/>
    <w:rsid w:val="5BBB581F"/>
    <w:rsid w:val="5C13B546"/>
    <w:rsid w:val="5C77C88D"/>
    <w:rsid w:val="5CC3C9AA"/>
    <w:rsid w:val="5CD6BBBF"/>
    <w:rsid w:val="5CE6C6F3"/>
    <w:rsid w:val="5D20CB9F"/>
    <w:rsid w:val="5D2BDF4D"/>
    <w:rsid w:val="5D4B3FE6"/>
    <w:rsid w:val="5D73E5C6"/>
    <w:rsid w:val="5DC9D55D"/>
    <w:rsid w:val="5DD548A8"/>
    <w:rsid w:val="5DD9259D"/>
    <w:rsid w:val="5DE194F2"/>
    <w:rsid w:val="5DE8B20D"/>
    <w:rsid w:val="5E02AC93"/>
    <w:rsid w:val="5E0C4B19"/>
    <w:rsid w:val="5E3336EC"/>
    <w:rsid w:val="5E628297"/>
    <w:rsid w:val="5EA4515D"/>
    <w:rsid w:val="5EB7E7B6"/>
    <w:rsid w:val="5ED47708"/>
    <w:rsid w:val="5EF442D8"/>
    <w:rsid w:val="5EFAA283"/>
    <w:rsid w:val="5F03646B"/>
    <w:rsid w:val="5F1559FE"/>
    <w:rsid w:val="5F35C71F"/>
    <w:rsid w:val="5F7B2B95"/>
    <w:rsid w:val="5FF34873"/>
    <w:rsid w:val="5FF5411B"/>
    <w:rsid w:val="5FF5CB9C"/>
    <w:rsid w:val="5FFB6A6C"/>
    <w:rsid w:val="60240E4A"/>
    <w:rsid w:val="6024D0DA"/>
    <w:rsid w:val="603703E5"/>
    <w:rsid w:val="60568394"/>
    <w:rsid w:val="605FFA6E"/>
    <w:rsid w:val="60676F8F"/>
    <w:rsid w:val="6077DC11"/>
    <w:rsid w:val="607D466A"/>
    <w:rsid w:val="60953FD7"/>
    <w:rsid w:val="60A5B38C"/>
    <w:rsid w:val="60A8F856"/>
    <w:rsid w:val="60BEE613"/>
    <w:rsid w:val="60E4F48D"/>
    <w:rsid w:val="60E94AAB"/>
    <w:rsid w:val="60EB4FC7"/>
    <w:rsid w:val="6116482D"/>
    <w:rsid w:val="6135C97E"/>
    <w:rsid w:val="6136B6E8"/>
    <w:rsid w:val="6153B31B"/>
    <w:rsid w:val="61883C9E"/>
    <w:rsid w:val="61A7BDEF"/>
    <w:rsid w:val="61C48334"/>
    <w:rsid w:val="61DFE9D7"/>
    <w:rsid w:val="61ECC5F1"/>
    <w:rsid w:val="6216F654"/>
    <w:rsid w:val="621CEB9C"/>
    <w:rsid w:val="62448A3F"/>
    <w:rsid w:val="629CF614"/>
    <w:rsid w:val="62C7E526"/>
    <w:rsid w:val="62C8DEEE"/>
    <w:rsid w:val="62C9F396"/>
    <w:rsid w:val="62E7477A"/>
    <w:rsid w:val="6306B90F"/>
    <w:rsid w:val="6320023B"/>
    <w:rsid w:val="634C00A6"/>
    <w:rsid w:val="635F9A88"/>
    <w:rsid w:val="636F58C5"/>
    <w:rsid w:val="63CC4921"/>
    <w:rsid w:val="63D124A9"/>
    <w:rsid w:val="63F28A50"/>
    <w:rsid w:val="63F31F85"/>
    <w:rsid w:val="642242A1"/>
    <w:rsid w:val="6427A4EB"/>
    <w:rsid w:val="64484A94"/>
    <w:rsid w:val="648AE5BE"/>
    <w:rsid w:val="648C5395"/>
    <w:rsid w:val="6494B759"/>
    <w:rsid w:val="6499D04A"/>
    <w:rsid w:val="64B6D739"/>
    <w:rsid w:val="64CFFD02"/>
    <w:rsid w:val="64D5EFA2"/>
    <w:rsid w:val="64DE0F84"/>
    <w:rsid w:val="64F46A3C"/>
    <w:rsid w:val="650438BA"/>
    <w:rsid w:val="6506ABCA"/>
    <w:rsid w:val="650EFDF7"/>
    <w:rsid w:val="652B460C"/>
    <w:rsid w:val="65B0DDCC"/>
    <w:rsid w:val="65BAB0FC"/>
    <w:rsid w:val="65BC05F1"/>
    <w:rsid w:val="65C2B01B"/>
    <w:rsid w:val="65CAA41C"/>
    <w:rsid w:val="65E7C80B"/>
    <w:rsid w:val="65F380AF"/>
    <w:rsid w:val="660CA5B3"/>
    <w:rsid w:val="665EC3BD"/>
    <w:rsid w:val="666355FB"/>
    <w:rsid w:val="666A60AE"/>
    <w:rsid w:val="66A38A58"/>
    <w:rsid w:val="66C9538A"/>
    <w:rsid w:val="66F64CD6"/>
    <w:rsid w:val="671EDDBB"/>
    <w:rsid w:val="6751E62B"/>
    <w:rsid w:val="675788E2"/>
    <w:rsid w:val="67628280"/>
    <w:rsid w:val="6795DCD5"/>
    <w:rsid w:val="67A38D96"/>
    <w:rsid w:val="67E649C6"/>
    <w:rsid w:val="68067C51"/>
    <w:rsid w:val="681A869A"/>
    <w:rsid w:val="6850AF39"/>
    <w:rsid w:val="685BA52C"/>
    <w:rsid w:val="68601DCC"/>
    <w:rsid w:val="6865ECB3"/>
    <w:rsid w:val="686CC875"/>
    <w:rsid w:val="68A09C1B"/>
    <w:rsid w:val="68A2F027"/>
    <w:rsid w:val="68B69AEC"/>
    <w:rsid w:val="68BF7283"/>
    <w:rsid w:val="68D3295E"/>
    <w:rsid w:val="68E7B028"/>
    <w:rsid w:val="68F30F3B"/>
    <w:rsid w:val="68F76275"/>
    <w:rsid w:val="69014149"/>
    <w:rsid w:val="69556856"/>
    <w:rsid w:val="6974D5E8"/>
    <w:rsid w:val="69D103D0"/>
    <w:rsid w:val="69F72F4B"/>
    <w:rsid w:val="6A081BC8"/>
    <w:rsid w:val="6A0E51D5"/>
    <w:rsid w:val="6A583103"/>
    <w:rsid w:val="6A6923BC"/>
    <w:rsid w:val="6A6B5FDE"/>
    <w:rsid w:val="6A76AFA8"/>
    <w:rsid w:val="6A81BC69"/>
    <w:rsid w:val="6A998F46"/>
    <w:rsid w:val="6A9B8589"/>
    <w:rsid w:val="6ADB2E58"/>
    <w:rsid w:val="6AF5808D"/>
    <w:rsid w:val="6B05BBDC"/>
    <w:rsid w:val="6B09CD66"/>
    <w:rsid w:val="6B109491"/>
    <w:rsid w:val="6B18831B"/>
    <w:rsid w:val="6B1CE1FE"/>
    <w:rsid w:val="6B24958A"/>
    <w:rsid w:val="6B2CE23C"/>
    <w:rsid w:val="6B57FF0E"/>
    <w:rsid w:val="6B7D435C"/>
    <w:rsid w:val="6B84B723"/>
    <w:rsid w:val="6BAAD856"/>
    <w:rsid w:val="6BECA97A"/>
    <w:rsid w:val="6C3DB231"/>
    <w:rsid w:val="6C624503"/>
    <w:rsid w:val="6C68703E"/>
    <w:rsid w:val="6C8C9629"/>
    <w:rsid w:val="6CABC01C"/>
    <w:rsid w:val="6CB23305"/>
    <w:rsid w:val="6CB2FE9E"/>
    <w:rsid w:val="6CC23454"/>
    <w:rsid w:val="6CC3162B"/>
    <w:rsid w:val="6D0CAF56"/>
    <w:rsid w:val="6D135F3B"/>
    <w:rsid w:val="6D1E0BEB"/>
    <w:rsid w:val="6D1F6CB1"/>
    <w:rsid w:val="6D45B8A3"/>
    <w:rsid w:val="6D5B3617"/>
    <w:rsid w:val="6DC59E87"/>
    <w:rsid w:val="6E7DEAAD"/>
    <w:rsid w:val="6E820DFA"/>
    <w:rsid w:val="6ED100D8"/>
    <w:rsid w:val="6EF0160C"/>
    <w:rsid w:val="6F25560B"/>
    <w:rsid w:val="6F3B16D0"/>
    <w:rsid w:val="6F45C268"/>
    <w:rsid w:val="6F520104"/>
    <w:rsid w:val="6F54575E"/>
    <w:rsid w:val="6F54CC0C"/>
    <w:rsid w:val="6F64469F"/>
    <w:rsid w:val="6F7FF41A"/>
    <w:rsid w:val="6FB6CBCD"/>
    <w:rsid w:val="6FD48428"/>
    <w:rsid w:val="6FDB1BB4"/>
    <w:rsid w:val="6FEA800A"/>
    <w:rsid w:val="7012CEBF"/>
    <w:rsid w:val="708072DA"/>
    <w:rsid w:val="708A8338"/>
    <w:rsid w:val="70A44481"/>
    <w:rsid w:val="70AA6B9F"/>
    <w:rsid w:val="70C4D3FF"/>
    <w:rsid w:val="70F1D181"/>
    <w:rsid w:val="70F1EC90"/>
    <w:rsid w:val="70FE92AC"/>
    <w:rsid w:val="714C954D"/>
    <w:rsid w:val="71616812"/>
    <w:rsid w:val="7180D850"/>
    <w:rsid w:val="71B8C8C8"/>
    <w:rsid w:val="71BBFCEC"/>
    <w:rsid w:val="71C2A716"/>
    <w:rsid w:val="71C4054A"/>
    <w:rsid w:val="71F04386"/>
    <w:rsid w:val="7216E9D5"/>
    <w:rsid w:val="722D0F86"/>
    <w:rsid w:val="7237D4C3"/>
    <w:rsid w:val="724187B6"/>
    <w:rsid w:val="72458623"/>
    <w:rsid w:val="725488F5"/>
    <w:rsid w:val="726E7E60"/>
    <w:rsid w:val="727CCBB2"/>
    <w:rsid w:val="72DBED6A"/>
    <w:rsid w:val="72DCE844"/>
    <w:rsid w:val="72E72D79"/>
    <w:rsid w:val="732A8989"/>
    <w:rsid w:val="73437FC0"/>
    <w:rsid w:val="7349D3EC"/>
    <w:rsid w:val="736F918B"/>
    <w:rsid w:val="7382ECD9"/>
    <w:rsid w:val="73929FAC"/>
    <w:rsid w:val="739EECED"/>
    <w:rsid w:val="73DB49AE"/>
    <w:rsid w:val="73DB4DCB"/>
    <w:rsid w:val="73F1FFDB"/>
    <w:rsid w:val="742DF3BC"/>
    <w:rsid w:val="742F0E15"/>
    <w:rsid w:val="7430D964"/>
    <w:rsid w:val="7457EFB5"/>
    <w:rsid w:val="74AC49DA"/>
    <w:rsid w:val="74C1A5A0"/>
    <w:rsid w:val="74F02ABB"/>
    <w:rsid w:val="75019A4F"/>
    <w:rsid w:val="7504606D"/>
    <w:rsid w:val="75128787"/>
    <w:rsid w:val="751F21E1"/>
    <w:rsid w:val="7549686F"/>
    <w:rsid w:val="754DFBF6"/>
    <w:rsid w:val="754FE288"/>
    <w:rsid w:val="7558190E"/>
    <w:rsid w:val="755CC3BD"/>
    <w:rsid w:val="759B938E"/>
    <w:rsid w:val="75A0C925"/>
    <w:rsid w:val="75CCA413"/>
    <w:rsid w:val="75F43864"/>
    <w:rsid w:val="7613C44D"/>
    <w:rsid w:val="76244FD9"/>
    <w:rsid w:val="763B6758"/>
    <w:rsid w:val="7640C1CF"/>
    <w:rsid w:val="765A4ED3"/>
    <w:rsid w:val="76870454"/>
    <w:rsid w:val="76928722"/>
    <w:rsid w:val="76CD5C09"/>
    <w:rsid w:val="76E16878"/>
    <w:rsid w:val="76E76359"/>
    <w:rsid w:val="76EEB277"/>
    <w:rsid w:val="76F6A5F2"/>
    <w:rsid w:val="7707F550"/>
    <w:rsid w:val="77200617"/>
    <w:rsid w:val="77248D88"/>
    <w:rsid w:val="7730BB84"/>
    <w:rsid w:val="77720E74"/>
    <w:rsid w:val="778409D9"/>
    <w:rsid w:val="77AF8ACD"/>
    <w:rsid w:val="77B17BD9"/>
    <w:rsid w:val="782E0DE4"/>
    <w:rsid w:val="7892B380"/>
    <w:rsid w:val="78B8B380"/>
    <w:rsid w:val="78CBB015"/>
    <w:rsid w:val="78DB0693"/>
    <w:rsid w:val="78F32F43"/>
    <w:rsid w:val="790E6CF5"/>
    <w:rsid w:val="795E553B"/>
    <w:rsid w:val="796BD16C"/>
    <w:rsid w:val="796E405F"/>
    <w:rsid w:val="799979D7"/>
    <w:rsid w:val="79B0D96E"/>
    <w:rsid w:val="79D1D547"/>
    <w:rsid w:val="79E3B60D"/>
    <w:rsid w:val="79EBECF7"/>
    <w:rsid w:val="79F46F97"/>
    <w:rsid w:val="79FD472E"/>
    <w:rsid w:val="79FF8350"/>
    <w:rsid w:val="7A27A134"/>
    <w:rsid w:val="7A27BB75"/>
    <w:rsid w:val="7A2D2A58"/>
    <w:rsid w:val="7A41FB9C"/>
    <w:rsid w:val="7A5375E6"/>
    <w:rsid w:val="7A7D62B9"/>
    <w:rsid w:val="7A930B12"/>
    <w:rsid w:val="7A9AF898"/>
    <w:rsid w:val="7AC2D897"/>
    <w:rsid w:val="7AD3715E"/>
    <w:rsid w:val="7AE88523"/>
    <w:rsid w:val="7AED29BD"/>
    <w:rsid w:val="7B1582A5"/>
    <w:rsid w:val="7B3503F6"/>
    <w:rsid w:val="7B5014E3"/>
    <w:rsid w:val="7B51A1FD"/>
    <w:rsid w:val="7B5DB2D0"/>
    <w:rsid w:val="7B60D2E4"/>
    <w:rsid w:val="7B6AE700"/>
    <w:rsid w:val="7B6DA5A8"/>
    <w:rsid w:val="7B70C163"/>
    <w:rsid w:val="7B7350BB"/>
    <w:rsid w:val="7B815AD3"/>
    <w:rsid w:val="7B9D9245"/>
    <w:rsid w:val="7BA0F655"/>
    <w:rsid w:val="7BA60DBB"/>
    <w:rsid w:val="7BB7ADD4"/>
    <w:rsid w:val="7BD16CAE"/>
    <w:rsid w:val="7BD51A55"/>
    <w:rsid w:val="7C43861C"/>
    <w:rsid w:val="7C4518E6"/>
    <w:rsid w:val="7C85553A"/>
    <w:rsid w:val="7C8B8C32"/>
    <w:rsid w:val="7C97ABD4"/>
    <w:rsid w:val="7CB196EA"/>
    <w:rsid w:val="7CBB8073"/>
    <w:rsid w:val="7CEA4098"/>
    <w:rsid w:val="7CEC999B"/>
    <w:rsid w:val="7CEF5989"/>
    <w:rsid w:val="7D02C5EA"/>
    <w:rsid w:val="7D2DA64E"/>
    <w:rsid w:val="7D2DB00D"/>
    <w:rsid w:val="7D601A20"/>
    <w:rsid w:val="7D893958"/>
    <w:rsid w:val="7D907465"/>
    <w:rsid w:val="7DC5D74D"/>
    <w:rsid w:val="7DDA977E"/>
    <w:rsid w:val="7E1E298A"/>
    <w:rsid w:val="7E1E5356"/>
    <w:rsid w:val="7E24EAAF"/>
    <w:rsid w:val="7E3A91F3"/>
    <w:rsid w:val="7E4F19E9"/>
    <w:rsid w:val="7E5BBC0D"/>
    <w:rsid w:val="7E5CF95B"/>
    <w:rsid w:val="7E72DF47"/>
    <w:rsid w:val="7E8A92CE"/>
    <w:rsid w:val="7E97DCCD"/>
    <w:rsid w:val="7EB34AED"/>
    <w:rsid w:val="7EB85525"/>
    <w:rsid w:val="7EC9306D"/>
    <w:rsid w:val="7EDC9CCE"/>
    <w:rsid w:val="7EE158A2"/>
    <w:rsid w:val="7EEB1237"/>
    <w:rsid w:val="7F0120E5"/>
    <w:rsid w:val="7F038D7A"/>
    <w:rsid w:val="7F3B24DE"/>
    <w:rsid w:val="7F494BF8"/>
    <w:rsid w:val="7FA019B4"/>
    <w:rsid w:val="7FB01844"/>
    <w:rsid w:val="7FB183DF"/>
  </w:rsids>
  <m:mathPr>
    <m:mathFont m:val="Cambria Math"/>
    <m:brkBin m:val="before"/>
    <m:brkBinSub m:val="--"/>
    <m:smallFrac m:val="0"/>
    <m:dispDef/>
    <m:lMargin m:val="0"/>
    <m:rMargin m:val="0"/>
    <m:defJc m:val="centerGroup"/>
    <m:wrapIndent m:val="1440"/>
    <m:intLim m:val="subSup"/>
    <m:naryLim m:val="undOvr"/>
  </m:mathPr>
  <w:themeFontLang w:val="fr-CD"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A10E7"/>
  <w15:docId w15:val="{A01ABB5A-0C4B-43C5-A39D-A9302490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1B8"/>
    <w:pPr>
      <w:spacing w:after="200" w:line="240" w:lineRule="auto"/>
    </w:pPr>
    <w:rPr>
      <w:rFonts w:ascii="Calibri" w:eastAsia="Calibri" w:hAnsi="Calibri" w:cs="Times New Roman"/>
      <w:lang w:val="fr-FR"/>
    </w:rPr>
  </w:style>
  <w:style w:type="paragraph" w:styleId="Titre1">
    <w:name w:val="heading 1"/>
    <w:basedOn w:val="Paragraphedeliste"/>
    <w:next w:val="Normal"/>
    <w:link w:val="Titre1Car"/>
    <w:uiPriority w:val="9"/>
    <w:qFormat/>
    <w:rsid w:val="00082E85"/>
    <w:pPr>
      <w:numPr>
        <w:numId w:val="1"/>
      </w:numPr>
      <w:spacing w:after="120" w:line="240" w:lineRule="auto"/>
      <w:ind w:left="357" w:hanging="357"/>
      <w:contextualSpacing w:val="0"/>
      <w:jc w:val="both"/>
      <w:outlineLvl w:val="0"/>
    </w:pPr>
    <w:rPr>
      <w:b/>
      <w:bCs/>
      <w:sz w:val="24"/>
      <w:lang w:eastAsia="fr-FR"/>
    </w:rPr>
  </w:style>
  <w:style w:type="paragraph" w:styleId="Titre2">
    <w:name w:val="heading 2"/>
    <w:basedOn w:val="Paragraphedeliste"/>
    <w:next w:val="Normal"/>
    <w:link w:val="Titre2Car"/>
    <w:uiPriority w:val="9"/>
    <w:unhideWhenUsed/>
    <w:qFormat/>
    <w:rsid w:val="000E7FF0"/>
    <w:pPr>
      <w:numPr>
        <w:ilvl w:val="1"/>
        <w:numId w:val="1"/>
      </w:numPr>
      <w:spacing w:after="120" w:line="240" w:lineRule="auto"/>
      <w:ind w:left="720"/>
      <w:jc w:val="both"/>
      <w:outlineLvl w:val="1"/>
    </w:pPr>
    <w:rPr>
      <w:b/>
      <w:bCs/>
      <w:lang w:eastAsia="fr-FR"/>
    </w:rPr>
  </w:style>
  <w:style w:type="paragraph" w:styleId="Titre3">
    <w:name w:val="heading 3"/>
    <w:basedOn w:val="Normal"/>
    <w:next w:val="Normal"/>
    <w:link w:val="Titre3Car"/>
    <w:uiPriority w:val="9"/>
    <w:unhideWhenUsed/>
    <w:qFormat/>
    <w:rsid w:val="00A7529C"/>
    <w:pPr>
      <w:spacing w:before="240" w:after="120"/>
      <w:jc w:val="both"/>
      <w:outlineLvl w:val="2"/>
    </w:pPr>
    <w:rPr>
      <w:rFonts w:ascii="Avenir Next LT Pro" w:hAnsi="Avenir Next LT Pro" w:cstheme="minorHAnsi"/>
      <w:b/>
      <w:bCs/>
      <w:color w:val="404040" w:themeColor="text1" w:themeTint="BF"/>
      <w:u w:val="single"/>
      <w:lang w:val="fr-CH"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2E85"/>
    <w:rPr>
      <w:rFonts w:ascii="Calibri" w:eastAsia="Calibri" w:hAnsi="Calibri" w:cs="Times New Roman"/>
      <w:b/>
      <w:bCs/>
      <w:sz w:val="24"/>
      <w:lang w:val="fr-FR" w:eastAsia="fr-FR"/>
    </w:rPr>
  </w:style>
  <w:style w:type="character" w:customStyle="1" w:styleId="Titre2Car">
    <w:name w:val="Titre 2 Car"/>
    <w:basedOn w:val="Policepardfaut"/>
    <w:link w:val="Titre2"/>
    <w:uiPriority w:val="9"/>
    <w:rsid w:val="000E7FF0"/>
    <w:rPr>
      <w:rFonts w:ascii="Calibri" w:eastAsia="Calibri" w:hAnsi="Calibri" w:cs="Times New Roman"/>
      <w:b/>
      <w:bCs/>
      <w:lang w:val="fr-FR" w:eastAsia="fr-FR"/>
    </w:rPr>
  </w:style>
  <w:style w:type="paragraph" w:styleId="Paragraphedeliste">
    <w:name w:val="List Paragraph"/>
    <w:aliases w:val="References,Bullets,Liste couleur - Accent 11,Liste couleur - Accent 111,Paragraphe  revu,List Paragraph (numbered (a)),Numbered List Paragraph,Liste 1,List Paragraph1,List Bullet Mary,Dot pt,Bullet Points,No Spacing1,Indicator Text,1"/>
    <w:basedOn w:val="Normal"/>
    <w:link w:val="ParagraphedelisteCar"/>
    <w:uiPriority w:val="34"/>
    <w:qFormat/>
    <w:rsid w:val="008C0055"/>
    <w:pPr>
      <w:spacing w:line="276" w:lineRule="auto"/>
      <w:ind w:left="720"/>
      <w:contextualSpacing/>
    </w:pPr>
  </w:style>
  <w:style w:type="character" w:customStyle="1" w:styleId="ParagraphedelisteCar">
    <w:name w:val="Paragraphe de liste Car"/>
    <w:aliases w:val="References Car,Bullets Car,Liste couleur - Accent 11 Car,Liste couleur - Accent 111 Car,Paragraphe  revu Car,List Paragraph (numbered (a)) Car,Numbered List Paragraph Car,Liste 1 Car,List Paragraph1 Car,List Bullet Mary Car,1 Car"/>
    <w:link w:val="Paragraphedeliste"/>
    <w:uiPriority w:val="34"/>
    <w:qFormat/>
    <w:rsid w:val="008C0055"/>
    <w:rPr>
      <w:rFonts w:ascii="Calibri" w:eastAsia="Calibri" w:hAnsi="Calibri" w:cs="Times New Roman"/>
      <w:lang w:val="fr-FR"/>
    </w:rPr>
  </w:style>
  <w:style w:type="paragraph" w:styleId="Notedebasdepage">
    <w:name w:val="footnote text"/>
    <w:aliases w:val="ft,Footnote Text Char Char Char Char Char Char Char Char Char Char,Footnote Text Char Char Char Char Char Char Char Char Char Char Char Char,Footnote Text2,ft2,Footnote Text Char Char Char Char Char Char Char Char Char Char2,Car,f,fn"/>
    <w:basedOn w:val="Normal"/>
    <w:link w:val="NotedebasdepageCar"/>
    <w:uiPriority w:val="99"/>
    <w:unhideWhenUsed/>
    <w:qFormat/>
    <w:rsid w:val="00C56AAA"/>
    <w:pPr>
      <w:spacing w:after="0"/>
    </w:pPr>
    <w:rPr>
      <w:rFonts w:asciiTheme="minorHAnsi" w:eastAsiaTheme="minorEastAsia" w:hAnsiTheme="minorHAnsi" w:cstheme="minorBidi"/>
      <w:sz w:val="20"/>
      <w:szCs w:val="20"/>
      <w:lang w:eastAsia="fr-FR"/>
    </w:rPr>
  </w:style>
  <w:style w:type="character" w:customStyle="1" w:styleId="NotedebasdepageCar">
    <w:name w:val="Note de bas de page Car"/>
    <w:aliases w:val="ft Car,Footnote Text Char Char Char Char Char Char Char Char Char Char Car,Footnote Text Char Char Char Char Char Char Char Char Char Char Char Char Car,Footnote Text2 Car,ft2 Car,Car Car,f Car,fn Car"/>
    <w:basedOn w:val="Policepardfaut"/>
    <w:link w:val="Notedebasdepage"/>
    <w:uiPriority w:val="99"/>
    <w:rsid w:val="00C56AAA"/>
    <w:rPr>
      <w:rFonts w:eastAsiaTheme="minorEastAsia"/>
      <w:sz w:val="20"/>
      <w:szCs w:val="20"/>
      <w:lang w:val="fr-FR" w:eastAsia="fr-FR"/>
    </w:rPr>
  </w:style>
  <w:style w:type="character" w:styleId="Appelnotedebasdep">
    <w:name w:val="footnote reference"/>
    <w:aliases w:val="ftref,Footnote Reference Char Char Char,Carattere Char Carattere Carattere Char Carattere Char Carattere Char Char Char1 Char,Carattere Carattere Char Char Char Carattere Char,16 Poin,16 Point,Superscript 6 Point,heading1"/>
    <w:basedOn w:val="Policepardfaut"/>
    <w:link w:val="16PointChar"/>
    <w:uiPriority w:val="99"/>
    <w:unhideWhenUsed/>
    <w:qFormat/>
    <w:rsid w:val="00C56AAA"/>
    <w:rPr>
      <w:vertAlign w:val="superscript"/>
    </w:rPr>
  </w:style>
  <w:style w:type="paragraph" w:styleId="En-tte">
    <w:name w:val="header"/>
    <w:basedOn w:val="Normal"/>
    <w:link w:val="En-tteCar"/>
    <w:uiPriority w:val="99"/>
    <w:unhideWhenUsed/>
    <w:rsid w:val="00C56AAA"/>
    <w:pPr>
      <w:tabs>
        <w:tab w:val="center" w:pos="4536"/>
        <w:tab w:val="right" w:pos="9072"/>
      </w:tabs>
      <w:spacing w:after="0"/>
    </w:pPr>
  </w:style>
  <w:style w:type="character" w:customStyle="1" w:styleId="En-tteCar">
    <w:name w:val="En-tête Car"/>
    <w:basedOn w:val="Policepardfaut"/>
    <w:link w:val="En-tte"/>
    <w:uiPriority w:val="99"/>
    <w:rsid w:val="00C56AAA"/>
    <w:rPr>
      <w:rFonts w:ascii="Calibri" w:eastAsia="Calibri" w:hAnsi="Calibri" w:cs="Times New Roman"/>
      <w:lang w:val="fr-FR"/>
    </w:rPr>
  </w:style>
  <w:style w:type="paragraph" w:styleId="Pieddepage">
    <w:name w:val="footer"/>
    <w:basedOn w:val="Normal"/>
    <w:link w:val="PieddepageCar"/>
    <w:uiPriority w:val="99"/>
    <w:unhideWhenUsed/>
    <w:rsid w:val="00C56AAA"/>
    <w:pPr>
      <w:tabs>
        <w:tab w:val="center" w:pos="4536"/>
        <w:tab w:val="right" w:pos="9072"/>
      </w:tabs>
      <w:spacing w:after="0"/>
    </w:pPr>
  </w:style>
  <w:style w:type="character" w:customStyle="1" w:styleId="PieddepageCar">
    <w:name w:val="Pied de page Car"/>
    <w:basedOn w:val="Policepardfaut"/>
    <w:link w:val="Pieddepage"/>
    <w:uiPriority w:val="99"/>
    <w:rsid w:val="00C56AAA"/>
    <w:rPr>
      <w:rFonts w:ascii="Calibri" w:eastAsia="Calibri" w:hAnsi="Calibri" w:cs="Times New Roman"/>
      <w:lang w:val="fr-FR"/>
    </w:rPr>
  </w:style>
  <w:style w:type="table" w:styleId="Grilledutableau">
    <w:name w:val="Table Grid"/>
    <w:basedOn w:val="TableauNormal"/>
    <w:uiPriority w:val="39"/>
    <w:rsid w:val="00495AA4"/>
    <w:pPr>
      <w:spacing w:after="0" w:line="240" w:lineRule="auto"/>
    </w:pPr>
    <w:rPr>
      <w:rFonts w:eastAsiaTheme="minorEastAsi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73CB9"/>
    <w:pPr>
      <w:spacing w:after="0" w:line="240" w:lineRule="auto"/>
    </w:pPr>
    <w:rPr>
      <w:rFonts w:ascii="Calibri" w:eastAsia="Calibri" w:hAnsi="Calibri" w:cs="Times New Roman"/>
      <w:lang w:val="fr-FR"/>
    </w:rPr>
  </w:style>
  <w:style w:type="character" w:styleId="Numrodepage">
    <w:name w:val="page number"/>
    <w:rsid w:val="00EF239D"/>
  </w:style>
  <w:style w:type="character" w:styleId="Lienhypertexte">
    <w:name w:val="Hyperlink"/>
    <w:basedOn w:val="Policepardfaut"/>
    <w:uiPriority w:val="99"/>
    <w:unhideWhenUsed/>
    <w:rsid w:val="00C422C5"/>
    <w:rPr>
      <w:color w:val="6B9F25" w:themeColor="hyperlink"/>
      <w:u w:val="single"/>
    </w:rPr>
  </w:style>
  <w:style w:type="character" w:styleId="Mentionnonrsolue">
    <w:name w:val="Unresolved Mention"/>
    <w:basedOn w:val="Policepardfaut"/>
    <w:uiPriority w:val="99"/>
    <w:semiHidden/>
    <w:unhideWhenUsed/>
    <w:rsid w:val="00C422C5"/>
    <w:rPr>
      <w:color w:val="605E5C"/>
      <w:shd w:val="clear" w:color="auto" w:fill="E1DFDD"/>
    </w:rPr>
  </w:style>
  <w:style w:type="character" w:styleId="Marquedecommentaire">
    <w:name w:val="annotation reference"/>
    <w:basedOn w:val="Policepardfaut"/>
    <w:uiPriority w:val="99"/>
    <w:unhideWhenUsed/>
    <w:rsid w:val="005D3FC8"/>
    <w:rPr>
      <w:sz w:val="16"/>
      <w:szCs w:val="16"/>
    </w:rPr>
  </w:style>
  <w:style w:type="paragraph" w:styleId="Commentaire">
    <w:name w:val="annotation text"/>
    <w:basedOn w:val="Normal"/>
    <w:link w:val="CommentaireCar"/>
    <w:uiPriority w:val="99"/>
    <w:unhideWhenUsed/>
    <w:rsid w:val="005D3FC8"/>
    <w:rPr>
      <w:sz w:val="20"/>
      <w:szCs w:val="20"/>
    </w:rPr>
  </w:style>
  <w:style w:type="character" w:customStyle="1" w:styleId="CommentaireCar">
    <w:name w:val="Commentaire Car"/>
    <w:basedOn w:val="Policepardfaut"/>
    <w:link w:val="Commentaire"/>
    <w:uiPriority w:val="99"/>
    <w:rsid w:val="005D3FC8"/>
    <w:rPr>
      <w:rFonts w:ascii="Calibri" w:eastAsia="Calibri" w:hAnsi="Calibri" w:cs="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5D3FC8"/>
    <w:rPr>
      <w:b/>
      <w:bCs/>
    </w:rPr>
  </w:style>
  <w:style w:type="character" w:customStyle="1" w:styleId="ObjetducommentaireCar">
    <w:name w:val="Objet du commentaire Car"/>
    <w:basedOn w:val="CommentaireCar"/>
    <w:link w:val="Objetducommentaire"/>
    <w:uiPriority w:val="99"/>
    <w:semiHidden/>
    <w:rsid w:val="005D3FC8"/>
    <w:rPr>
      <w:rFonts w:ascii="Calibri" w:eastAsia="Calibri" w:hAnsi="Calibri" w:cs="Times New Roman"/>
      <w:b/>
      <w:bCs/>
      <w:sz w:val="20"/>
      <w:szCs w:val="20"/>
      <w:lang w:val="fr-FR"/>
    </w:rPr>
  </w:style>
  <w:style w:type="paragraph" w:styleId="Titre">
    <w:name w:val="Title"/>
    <w:basedOn w:val="Normal"/>
    <w:link w:val="TitreCar"/>
    <w:qFormat/>
    <w:rsid w:val="00E80E17"/>
    <w:pPr>
      <w:spacing w:after="0"/>
      <w:jc w:val="center"/>
    </w:pPr>
    <w:rPr>
      <w:rFonts w:ascii="Times New Roman" w:eastAsia="Times New Roman" w:hAnsi="Times New Roman"/>
      <w:b/>
      <w:sz w:val="28"/>
      <w:szCs w:val="20"/>
      <w:lang w:val="en-US"/>
    </w:rPr>
  </w:style>
  <w:style w:type="character" w:customStyle="1" w:styleId="TitreCar">
    <w:name w:val="Titre Car"/>
    <w:basedOn w:val="Policepardfaut"/>
    <w:link w:val="Titre"/>
    <w:rsid w:val="00E80E17"/>
    <w:rPr>
      <w:rFonts w:ascii="Times New Roman" w:eastAsia="Times New Roman" w:hAnsi="Times New Roman" w:cs="Times New Roman"/>
      <w:b/>
      <w:sz w:val="28"/>
      <w:szCs w:val="20"/>
      <w:lang w:val="en-US"/>
    </w:rPr>
  </w:style>
  <w:style w:type="table" w:customStyle="1" w:styleId="TableauGrille4-Accentuation13">
    <w:name w:val="Tableau Grille 4 - Accentuation 13"/>
    <w:basedOn w:val="TableauNormal"/>
    <w:uiPriority w:val="49"/>
    <w:rsid w:val="00481D19"/>
    <w:pPr>
      <w:spacing w:after="0" w:line="240" w:lineRule="auto"/>
    </w:pPr>
    <w:rPr>
      <w:lang w:val="fr-FR"/>
    </w:r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En-ttedetabledesmatires">
    <w:name w:val="TOC Heading"/>
    <w:basedOn w:val="Titre1"/>
    <w:next w:val="Normal"/>
    <w:uiPriority w:val="39"/>
    <w:unhideWhenUsed/>
    <w:qFormat/>
    <w:rsid w:val="0068302F"/>
    <w:pPr>
      <w:keepNext/>
      <w:keepLines/>
      <w:numPr>
        <w:numId w:val="0"/>
      </w:numPr>
      <w:spacing w:before="240" w:line="259" w:lineRule="auto"/>
      <w:jc w:val="left"/>
      <w:outlineLvl w:val="9"/>
    </w:pPr>
    <w:rPr>
      <w:rFonts w:asciiTheme="majorHAnsi" w:eastAsiaTheme="majorEastAsia" w:hAnsiTheme="majorHAnsi" w:cstheme="majorBidi"/>
      <w:b w:val="0"/>
      <w:bCs w:val="0"/>
      <w:color w:val="3E762A" w:themeColor="accent1" w:themeShade="BF"/>
      <w:sz w:val="32"/>
      <w:szCs w:val="32"/>
      <w:lang w:val="en-US" w:eastAsia="en-US"/>
    </w:rPr>
  </w:style>
  <w:style w:type="paragraph" w:styleId="TM1">
    <w:name w:val="toc 1"/>
    <w:basedOn w:val="Normal"/>
    <w:next w:val="Normal"/>
    <w:autoRedefine/>
    <w:uiPriority w:val="39"/>
    <w:unhideWhenUsed/>
    <w:rsid w:val="00451976"/>
    <w:pPr>
      <w:tabs>
        <w:tab w:val="left" w:pos="660"/>
        <w:tab w:val="right" w:leader="dot" w:pos="9060"/>
      </w:tabs>
      <w:spacing w:before="160" w:after="60"/>
    </w:pPr>
    <w:rPr>
      <w:b/>
    </w:rPr>
  </w:style>
  <w:style w:type="character" w:customStyle="1" w:styleId="hgkelc">
    <w:name w:val="hgkelc"/>
    <w:basedOn w:val="Policepardfaut"/>
    <w:rsid w:val="00C46030"/>
  </w:style>
  <w:style w:type="character" w:customStyle="1" w:styleId="Titre3Car">
    <w:name w:val="Titre 3 Car"/>
    <w:basedOn w:val="Policepardfaut"/>
    <w:link w:val="Titre3"/>
    <w:uiPriority w:val="9"/>
    <w:rsid w:val="00A7529C"/>
    <w:rPr>
      <w:rFonts w:ascii="Avenir Next LT Pro" w:eastAsia="Calibri" w:hAnsi="Avenir Next LT Pro" w:cstheme="minorHAnsi"/>
      <w:b/>
      <w:bCs/>
      <w:color w:val="404040" w:themeColor="text1" w:themeTint="BF"/>
      <w:u w:val="single"/>
      <w:lang w:val="fr-CH" w:eastAsia="fr-FR"/>
    </w:rPr>
  </w:style>
  <w:style w:type="paragraph" w:styleId="PrformatHTML">
    <w:name w:val="HTML Preformatted"/>
    <w:basedOn w:val="Normal"/>
    <w:link w:val="PrformatHTMLCar"/>
    <w:uiPriority w:val="99"/>
    <w:semiHidden/>
    <w:unhideWhenUsed/>
    <w:rsid w:val="00EC4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val="en-GB" w:eastAsia="en-GB"/>
    </w:rPr>
  </w:style>
  <w:style w:type="character" w:customStyle="1" w:styleId="PrformatHTMLCar">
    <w:name w:val="Préformaté HTML Car"/>
    <w:basedOn w:val="Policepardfaut"/>
    <w:link w:val="PrformatHTML"/>
    <w:uiPriority w:val="99"/>
    <w:semiHidden/>
    <w:rsid w:val="00EC4AE7"/>
    <w:rPr>
      <w:rFonts w:ascii="Courier New" w:eastAsia="Times New Roman" w:hAnsi="Courier New" w:cs="Courier New"/>
      <w:sz w:val="20"/>
      <w:szCs w:val="20"/>
      <w:lang w:val="en-GB" w:eastAsia="en-GB"/>
    </w:rPr>
  </w:style>
  <w:style w:type="character" w:customStyle="1" w:styleId="y2iqfc">
    <w:name w:val="y2iqfc"/>
    <w:basedOn w:val="Policepardfaut"/>
    <w:rsid w:val="00EC4AE7"/>
  </w:style>
  <w:style w:type="paragraph" w:styleId="NormalWeb">
    <w:name w:val="Normal (Web)"/>
    <w:aliases w:val=" webb,webb"/>
    <w:basedOn w:val="Normal"/>
    <w:uiPriority w:val="99"/>
    <w:unhideWhenUsed/>
    <w:rsid w:val="00240730"/>
    <w:pPr>
      <w:spacing w:before="100" w:beforeAutospacing="1" w:after="100" w:afterAutospacing="1"/>
    </w:pPr>
    <w:rPr>
      <w:rFonts w:ascii="Times New Roman" w:eastAsia="Times New Roman" w:hAnsi="Times New Roman"/>
      <w:sz w:val="24"/>
      <w:szCs w:val="24"/>
      <w:lang w:val="en-GB" w:eastAsia="en-GB"/>
    </w:rPr>
  </w:style>
  <w:style w:type="table" w:styleId="TableauGrille4-Accentuation1">
    <w:name w:val="Grid Table 4 Accent 1"/>
    <w:basedOn w:val="TableauNormal"/>
    <w:uiPriority w:val="49"/>
    <w:rsid w:val="00387603"/>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insideV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insideV w:val="nil"/>
        </w:tcBorders>
        <w:shd w:val="clear" w:color="auto" w:fill="549E39" w:themeFill="accent1"/>
      </w:tcPr>
    </w:tblStylePr>
    <w:tblStylePr w:type="lastRow">
      <w:rPr>
        <w:b/>
        <w:bCs/>
      </w:rPr>
      <w:tblPr/>
      <w:tcPr>
        <w:tcBorders>
          <w:top w:val="double" w:sz="4" w:space="0" w:color="549E39" w:themeColor="accent1"/>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TableauListe3-Accentuation1">
    <w:name w:val="List Table 3 Accent 1"/>
    <w:basedOn w:val="TableauNormal"/>
    <w:uiPriority w:val="48"/>
    <w:rsid w:val="00387603"/>
    <w:pPr>
      <w:spacing w:after="0" w:line="240" w:lineRule="auto"/>
    </w:pPr>
    <w:tblPr>
      <w:tblStyleRowBandSize w:val="1"/>
      <w:tblStyleColBandSize w:val="1"/>
      <w:tblBorders>
        <w:top w:val="single" w:sz="4" w:space="0" w:color="549E39" w:themeColor="accent1"/>
        <w:left w:val="single" w:sz="4" w:space="0" w:color="549E39" w:themeColor="accent1"/>
        <w:bottom w:val="single" w:sz="4" w:space="0" w:color="549E39" w:themeColor="accent1"/>
        <w:right w:val="single" w:sz="4" w:space="0" w:color="549E39" w:themeColor="accent1"/>
      </w:tblBorders>
    </w:tblPr>
    <w:tblStylePr w:type="firstRow">
      <w:rPr>
        <w:b/>
        <w:bCs/>
        <w:color w:val="FFFFFF" w:themeColor="background1"/>
      </w:rPr>
      <w:tblPr/>
      <w:tcPr>
        <w:shd w:val="clear" w:color="auto" w:fill="549E39" w:themeFill="accent1"/>
      </w:tcPr>
    </w:tblStylePr>
    <w:tblStylePr w:type="lastRow">
      <w:rPr>
        <w:b/>
        <w:bCs/>
      </w:rPr>
      <w:tblPr/>
      <w:tcPr>
        <w:tcBorders>
          <w:top w:val="double" w:sz="4" w:space="0" w:color="549E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E39" w:themeColor="accent1"/>
          <w:right w:val="single" w:sz="4" w:space="0" w:color="549E39" w:themeColor="accent1"/>
        </w:tcBorders>
      </w:tcPr>
    </w:tblStylePr>
    <w:tblStylePr w:type="band1Horz">
      <w:tblPr/>
      <w:tcPr>
        <w:tcBorders>
          <w:top w:val="single" w:sz="4" w:space="0" w:color="549E39" w:themeColor="accent1"/>
          <w:bottom w:val="single" w:sz="4" w:space="0" w:color="549E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E39" w:themeColor="accent1"/>
          <w:left w:val="nil"/>
        </w:tcBorders>
      </w:tcPr>
    </w:tblStylePr>
    <w:tblStylePr w:type="swCell">
      <w:tblPr/>
      <w:tcPr>
        <w:tcBorders>
          <w:top w:val="double" w:sz="4" w:space="0" w:color="549E39" w:themeColor="accent1"/>
          <w:right w:val="nil"/>
        </w:tcBorders>
      </w:tcPr>
    </w:tblStylePr>
  </w:style>
  <w:style w:type="character" w:styleId="lev">
    <w:name w:val="Strong"/>
    <w:basedOn w:val="Policepardfaut"/>
    <w:uiPriority w:val="22"/>
    <w:qFormat/>
    <w:rsid w:val="006D31F3"/>
    <w:rPr>
      <w:b/>
      <w:bCs/>
    </w:rPr>
  </w:style>
  <w:style w:type="character" w:customStyle="1" w:styleId="markedcontent">
    <w:name w:val="markedcontent"/>
    <w:basedOn w:val="Policepardfaut"/>
    <w:rsid w:val="001B245D"/>
  </w:style>
  <w:style w:type="character" w:customStyle="1" w:styleId="Corpsdutexte">
    <w:name w:val="Corps du texte_"/>
    <w:link w:val="Corpsdutexte1"/>
    <w:uiPriority w:val="99"/>
    <w:locked/>
    <w:rsid w:val="003135B7"/>
    <w:rPr>
      <w:sz w:val="23"/>
      <w:szCs w:val="23"/>
      <w:shd w:val="clear" w:color="auto" w:fill="FFFFFF"/>
    </w:rPr>
  </w:style>
  <w:style w:type="paragraph" w:customStyle="1" w:styleId="Corpsdutexte1">
    <w:name w:val="Corps du texte1"/>
    <w:basedOn w:val="Normal"/>
    <w:link w:val="Corpsdutexte"/>
    <w:uiPriority w:val="99"/>
    <w:rsid w:val="003135B7"/>
    <w:pPr>
      <w:widowControl w:val="0"/>
      <w:shd w:val="clear" w:color="auto" w:fill="FFFFFF"/>
      <w:spacing w:before="180" w:after="300" w:line="240" w:lineRule="atLeast"/>
      <w:ind w:hanging="360"/>
      <w:jc w:val="center"/>
    </w:pPr>
    <w:rPr>
      <w:rFonts w:asciiTheme="minorHAnsi" w:eastAsiaTheme="minorHAnsi" w:hAnsiTheme="minorHAnsi" w:cstheme="minorBidi"/>
      <w:sz w:val="23"/>
      <w:szCs w:val="23"/>
      <w:lang w:val="fr-CD"/>
    </w:rPr>
  </w:style>
  <w:style w:type="character" w:customStyle="1" w:styleId="En-tte5">
    <w:name w:val="En-tête #5_"/>
    <w:link w:val="En-tte50"/>
    <w:uiPriority w:val="99"/>
    <w:locked/>
    <w:rsid w:val="003135B7"/>
    <w:rPr>
      <w:b/>
      <w:bCs/>
      <w:shd w:val="clear" w:color="auto" w:fill="FFFFFF"/>
    </w:rPr>
  </w:style>
  <w:style w:type="paragraph" w:customStyle="1" w:styleId="En-tte50">
    <w:name w:val="En-tête #5"/>
    <w:basedOn w:val="Normal"/>
    <w:link w:val="En-tte5"/>
    <w:uiPriority w:val="99"/>
    <w:rsid w:val="003135B7"/>
    <w:pPr>
      <w:widowControl w:val="0"/>
      <w:shd w:val="clear" w:color="auto" w:fill="FFFFFF"/>
      <w:spacing w:before="480" w:after="180" w:line="240" w:lineRule="atLeast"/>
      <w:jc w:val="both"/>
      <w:outlineLvl w:val="4"/>
    </w:pPr>
    <w:rPr>
      <w:rFonts w:asciiTheme="minorHAnsi" w:eastAsiaTheme="minorHAnsi" w:hAnsiTheme="minorHAnsi" w:cstheme="minorBidi"/>
      <w:b/>
      <w:bCs/>
      <w:lang w:val="fr-CD"/>
    </w:rPr>
  </w:style>
  <w:style w:type="character" w:customStyle="1" w:styleId="Corpsdutexte5">
    <w:name w:val="Corps du texte (5)_"/>
    <w:link w:val="Corpsdutexte51"/>
    <w:uiPriority w:val="99"/>
    <w:locked/>
    <w:rsid w:val="003135B7"/>
    <w:rPr>
      <w:i/>
      <w:iCs/>
      <w:sz w:val="23"/>
      <w:szCs w:val="23"/>
      <w:shd w:val="clear" w:color="auto" w:fill="FFFFFF"/>
    </w:rPr>
  </w:style>
  <w:style w:type="paragraph" w:customStyle="1" w:styleId="Corpsdutexte51">
    <w:name w:val="Corps du texte (5)1"/>
    <w:basedOn w:val="Normal"/>
    <w:link w:val="Corpsdutexte5"/>
    <w:uiPriority w:val="99"/>
    <w:rsid w:val="003135B7"/>
    <w:pPr>
      <w:widowControl w:val="0"/>
      <w:shd w:val="clear" w:color="auto" w:fill="FFFFFF"/>
      <w:spacing w:before="240" w:after="360" w:line="240" w:lineRule="atLeast"/>
      <w:ind w:hanging="360"/>
      <w:jc w:val="both"/>
    </w:pPr>
    <w:rPr>
      <w:rFonts w:asciiTheme="minorHAnsi" w:eastAsiaTheme="minorHAnsi" w:hAnsiTheme="minorHAnsi" w:cstheme="minorBidi"/>
      <w:i/>
      <w:iCs/>
      <w:sz w:val="23"/>
      <w:szCs w:val="23"/>
      <w:lang w:val="fr-CD"/>
    </w:rPr>
  </w:style>
  <w:style w:type="character" w:customStyle="1" w:styleId="Corpsdutexte9">
    <w:name w:val="Corps du texte (9)_"/>
    <w:link w:val="Corpsdutexte90"/>
    <w:uiPriority w:val="99"/>
    <w:locked/>
    <w:rsid w:val="003135B7"/>
    <w:rPr>
      <w:b/>
      <w:bCs/>
      <w:shd w:val="clear" w:color="auto" w:fill="FFFFFF"/>
    </w:rPr>
  </w:style>
  <w:style w:type="paragraph" w:customStyle="1" w:styleId="Corpsdutexte90">
    <w:name w:val="Corps du texte (9)"/>
    <w:basedOn w:val="Normal"/>
    <w:link w:val="Corpsdutexte9"/>
    <w:uiPriority w:val="99"/>
    <w:rsid w:val="003135B7"/>
    <w:pPr>
      <w:widowControl w:val="0"/>
      <w:shd w:val="clear" w:color="auto" w:fill="FFFFFF"/>
      <w:spacing w:after="0" w:line="240" w:lineRule="atLeast"/>
    </w:pPr>
    <w:rPr>
      <w:rFonts w:asciiTheme="minorHAnsi" w:eastAsiaTheme="minorHAnsi" w:hAnsiTheme="minorHAnsi" w:cstheme="minorBidi"/>
      <w:b/>
      <w:bCs/>
      <w:lang w:val="fr-CD"/>
    </w:rPr>
  </w:style>
  <w:style w:type="character" w:customStyle="1" w:styleId="Corpsdutexte5NonItalique3">
    <w:name w:val="Corps du texte (5) + Non Italique3"/>
    <w:uiPriority w:val="99"/>
    <w:rsid w:val="003135B7"/>
    <w:rPr>
      <w:i w:val="0"/>
      <w:iCs w:val="0"/>
      <w:sz w:val="23"/>
      <w:szCs w:val="23"/>
      <w:shd w:val="clear" w:color="auto" w:fill="FFFFFF"/>
    </w:rPr>
  </w:style>
  <w:style w:type="character" w:styleId="Lienhypertextesuivivisit">
    <w:name w:val="FollowedHyperlink"/>
    <w:basedOn w:val="Policepardfaut"/>
    <w:uiPriority w:val="99"/>
    <w:semiHidden/>
    <w:unhideWhenUsed/>
    <w:rsid w:val="00B046D3"/>
    <w:rPr>
      <w:color w:val="BA6906" w:themeColor="followedHyperlink"/>
      <w:u w:val="single"/>
    </w:rPr>
  </w:style>
  <w:style w:type="paragraph" w:customStyle="1" w:styleId="paragraph">
    <w:name w:val="paragraph"/>
    <w:basedOn w:val="Normal"/>
    <w:rsid w:val="00FF1FB6"/>
    <w:pPr>
      <w:spacing w:before="100" w:beforeAutospacing="1" w:after="100" w:afterAutospacing="1"/>
    </w:pPr>
    <w:rPr>
      <w:rFonts w:ascii="Times New Roman" w:eastAsia="Times New Roman" w:hAnsi="Times New Roman"/>
      <w:sz w:val="24"/>
      <w:szCs w:val="24"/>
      <w:lang w:val="en-GB" w:eastAsia="en-GB"/>
    </w:rPr>
  </w:style>
  <w:style w:type="character" w:customStyle="1" w:styleId="normaltextrun">
    <w:name w:val="normaltextrun"/>
    <w:basedOn w:val="Policepardfaut"/>
    <w:rsid w:val="00FF1FB6"/>
  </w:style>
  <w:style w:type="character" w:customStyle="1" w:styleId="eop">
    <w:name w:val="eop"/>
    <w:basedOn w:val="Policepardfaut"/>
    <w:rsid w:val="00FF1FB6"/>
  </w:style>
  <w:style w:type="paragraph" w:styleId="Lgende">
    <w:name w:val="caption"/>
    <w:basedOn w:val="Normal"/>
    <w:next w:val="Normal"/>
    <w:uiPriority w:val="35"/>
    <w:unhideWhenUsed/>
    <w:qFormat/>
    <w:rsid w:val="00AF06BF"/>
    <w:rPr>
      <w:rFonts w:ascii="Times New Roman" w:eastAsia="Times New Roman" w:hAnsi="Times New Roman"/>
      <w:i/>
      <w:iCs/>
      <w:color w:val="455F51" w:themeColor="text2"/>
      <w:sz w:val="18"/>
      <w:szCs w:val="18"/>
      <w:lang w:val="fr-CH" w:eastAsia="ko-KR"/>
    </w:rPr>
  </w:style>
  <w:style w:type="paragraph" w:customStyle="1" w:styleId="16PointChar">
    <w:name w:val="16 Point Char"/>
    <w:aliases w:val="Superscript 6 Point Char,ftref Char,BVI fnr Char,Footnote Reference Number Char,Normal + Font:9 Point Char,Superscript 3 Point Times Char"/>
    <w:basedOn w:val="Normal"/>
    <w:next w:val="Normal"/>
    <w:link w:val="Appelnotedebasdep"/>
    <w:uiPriority w:val="99"/>
    <w:rsid w:val="00A6341F"/>
    <w:pPr>
      <w:spacing w:after="160" w:line="240" w:lineRule="exact"/>
    </w:pPr>
    <w:rPr>
      <w:rFonts w:asciiTheme="minorHAnsi" w:eastAsiaTheme="minorHAnsi" w:hAnsiTheme="minorHAnsi" w:cstheme="minorBidi"/>
      <w:vertAlign w:val="superscript"/>
      <w:lang w:val="fr-CD"/>
    </w:rPr>
  </w:style>
  <w:style w:type="table" w:styleId="TableauListe4-Accentuation4">
    <w:name w:val="List Table 4 Accent 4"/>
    <w:basedOn w:val="TableauNormal"/>
    <w:uiPriority w:val="49"/>
    <w:rsid w:val="00A6341F"/>
    <w:pPr>
      <w:spacing w:after="0" w:line="240" w:lineRule="auto"/>
    </w:pPr>
    <w:rPr>
      <w:rFonts w:eastAsiaTheme="minorEastAsia"/>
      <w:lang w:val="fr-CH" w:eastAsia="ko-KR"/>
    </w:rPr>
    <w:tblPr>
      <w:tblStyleRowBandSize w:val="1"/>
      <w:tblStyleColBandSize w:val="1"/>
      <w:tblBorders>
        <w:top w:val="single" w:sz="4" w:space="0" w:color="2AFCCE" w:themeColor="accent4" w:themeTint="99"/>
        <w:left w:val="single" w:sz="4" w:space="0" w:color="2AFCCE" w:themeColor="accent4" w:themeTint="99"/>
        <w:bottom w:val="single" w:sz="4" w:space="0" w:color="2AFCCE" w:themeColor="accent4" w:themeTint="99"/>
        <w:right w:val="single" w:sz="4" w:space="0" w:color="2AFCCE" w:themeColor="accent4" w:themeTint="99"/>
        <w:insideH w:val="single" w:sz="4" w:space="0" w:color="2AFCCE" w:themeColor="accent4" w:themeTint="99"/>
      </w:tblBorders>
    </w:tblPr>
    <w:tblStylePr w:type="firstRow">
      <w:rPr>
        <w:b/>
        <w:bCs/>
        <w:color w:val="FFFFFF" w:themeColor="background1"/>
      </w:rPr>
      <w:tblPr/>
      <w:tcPr>
        <w:tcBorders>
          <w:top w:val="single" w:sz="4" w:space="0" w:color="029676" w:themeColor="accent4"/>
          <w:left w:val="single" w:sz="4" w:space="0" w:color="029676" w:themeColor="accent4"/>
          <w:bottom w:val="single" w:sz="4" w:space="0" w:color="029676" w:themeColor="accent4"/>
          <w:right w:val="single" w:sz="4" w:space="0" w:color="029676" w:themeColor="accent4"/>
          <w:insideH w:val="nil"/>
        </w:tcBorders>
        <w:shd w:val="clear" w:color="auto" w:fill="029676" w:themeFill="accent4"/>
      </w:tcPr>
    </w:tblStylePr>
    <w:tblStylePr w:type="lastRow">
      <w:rPr>
        <w:b/>
        <w:bCs/>
      </w:rPr>
      <w:tblPr/>
      <w:tcPr>
        <w:tcBorders>
          <w:top w:val="double" w:sz="4" w:space="0" w:color="2AFCCE" w:themeColor="accent4" w:themeTint="99"/>
        </w:tcBorders>
      </w:tc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table" w:styleId="TableauListe4-Accentuation6">
    <w:name w:val="List Table 4 Accent 6"/>
    <w:basedOn w:val="TableauNormal"/>
    <w:uiPriority w:val="49"/>
    <w:rsid w:val="00A6341F"/>
    <w:pPr>
      <w:spacing w:after="0" w:line="240" w:lineRule="auto"/>
    </w:pPr>
    <w:rPr>
      <w:lang w:val="en-GB"/>
    </w:rPr>
    <w:tblPr>
      <w:tblStyleRowBandSize w:val="1"/>
      <w:tblStyleColBandSize w:val="1"/>
      <w:tblBorders>
        <w:top w:val="single" w:sz="4" w:space="0" w:color="45CBF5" w:themeColor="accent6" w:themeTint="99"/>
        <w:left w:val="single" w:sz="4" w:space="0" w:color="45CBF5" w:themeColor="accent6" w:themeTint="99"/>
        <w:bottom w:val="single" w:sz="4" w:space="0" w:color="45CBF5" w:themeColor="accent6" w:themeTint="99"/>
        <w:right w:val="single" w:sz="4" w:space="0" w:color="45CBF5" w:themeColor="accent6" w:themeTint="99"/>
        <w:insideH w:val="single" w:sz="4" w:space="0" w:color="45CBF5" w:themeColor="accent6" w:themeTint="99"/>
      </w:tblBorders>
    </w:tblPr>
    <w:tblStylePr w:type="firstRow">
      <w:rPr>
        <w:b/>
        <w:bCs/>
        <w:color w:val="FFFFFF" w:themeColor="background1"/>
      </w:rPr>
      <w:tblPr/>
      <w:tcPr>
        <w:tcBorders>
          <w:top w:val="single" w:sz="4" w:space="0" w:color="0989B1" w:themeColor="accent6"/>
          <w:left w:val="single" w:sz="4" w:space="0" w:color="0989B1" w:themeColor="accent6"/>
          <w:bottom w:val="single" w:sz="4" w:space="0" w:color="0989B1" w:themeColor="accent6"/>
          <w:right w:val="single" w:sz="4" w:space="0" w:color="0989B1" w:themeColor="accent6"/>
          <w:insideH w:val="nil"/>
        </w:tcBorders>
        <w:shd w:val="clear" w:color="auto" w:fill="0989B1" w:themeFill="accent6"/>
      </w:tcPr>
    </w:tblStylePr>
    <w:tblStylePr w:type="lastRow">
      <w:rPr>
        <w:b/>
        <w:bCs/>
      </w:rPr>
      <w:tblPr/>
      <w:tcPr>
        <w:tcBorders>
          <w:top w:val="double" w:sz="4" w:space="0" w:color="45CBF5" w:themeColor="accent6" w:themeTint="99"/>
        </w:tcBorders>
      </w:tcPr>
    </w:tblStylePr>
    <w:tblStylePr w:type="firstCol">
      <w:rPr>
        <w:b/>
        <w:bCs/>
      </w:rPr>
    </w:tblStylePr>
    <w:tblStylePr w:type="lastCol">
      <w:rPr>
        <w:b/>
        <w:bCs/>
      </w:rPr>
    </w:tblStylePr>
    <w:tblStylePr w:type="band1Vert">
      <w:tblPr/>
      <w:tcPr>
        <w:shd w:val="clear" w:color="auto" w:fill="C1EDFC" w:themeFill="accent6" w:themeFillTint="33"/>
      </w:tcPr>
    </w:tblStylePr>
    <w:tblStylePr w:type="band1Horz">
      <w:tblPr/>
      <w:tcPr>
        <w:shd w:val="clear" w:color="auto" w:fill="C1EDFC" w:themeFill="accent6" w:themeFillTint="33"/>
      </w:tcPr>
    </w:tblStylePr>
  </w:style>
  <w:style w:type="table" w:styleId="TableauListe4-Accentuation5">
    <w:name w:val="List Table 4 Accent 5"/>
    <w:basedOn w:val="TableauNormal"/>
    <w:uiPriority w:val="49"/>
    <w:rsid w:val="00A6341F"/>
    <w:pPr>
      <w:spacing w:after="0" w:line="240" w:lineRule="auto"/>
    </w:pPr>
    <w:rPr>
      <w:rFonts w:eastAsiaTheme="minorEastAsia"/>
      <w:lang w:val="fr-CH" w:eastAsia="ko-KR"/>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tblBorders>
    </w:tblPr>
    <w:tblStylePr w:type="firstRow">
      <w:rPr>
        <w:b/>
        <w:bCs/>
        <w:color w:val="FFFFFF" w:themeColor="background1"/>
      </w:rPr>
      <w:tblPr/>
      <w:tcPr>
        <w:tcBorders>
          <w:top w:val="single" w:sz="4" w:space="0" w:color="4AB5C4" w:themeColor="accent5"/>
          <w:left w:val="single" w:sz="4" w:space="0" w:color="4AB5C4" w:themeColor="accent5"/>
          <w:bottom w:val="single" w:sz="4" w:space="0" w:color="4AB5C4" w:themeColor="accent5"/>
          <w:right w:val="single" w:sz="4" w:space="0" w:color="4AB5C4" w:themeColor="accent5"/>
          <w:insideH w:val="nil"/>
        </w:tcBorders>
        <w:shd w:val="clear" w:color="auto" w:fill="4AB5C4" w:themeFill="accent5"/>
      </w:tcPr>
    </w:tblStylePr>
    <w:tblStylePr w:type="lastRow">
      <w:rPr>
        <w:b/>
        <w:bCs/>
      </w:rPr>
      <w:tblPr/>
      <w:tcPr>
        <w:tcBorders>
          <w:top w:val="double" w:sz="4" w:space="0" w:color="92D2DB" w:themeColor="accent5" w:themeTint="99"/>
        </w:tcBorders>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character" w:styleId="Mention">
    <w:name w:val="Mention"/>
    <w:basedOn w:val="Policepardfaut"/>
    <w:uiPriority w:val="99"/>
    <w:unhideWhenUsed/>
    <w:rsid w:val="001E24D2"/>
    <w:rPr>
      <w:color w:val="2B579A"/>
      <w:shd w:val="clear" w:color="auto" w:fill="E1DFDD"/>
    </w:rPr>
  </w:style>
  <w:style w:type="paragraph" w:styleId="TM2">
    <w:name w:val="toc 2"/>
    <w:basedOn w:val="Normal"/>
    <w:next w:val="Normal"/>
    <w:autoRedefine/>
    <w:uiPriority w:val="39"/>
    <w:unhideWhenUsed/>
    <w:rsid w:val="00ED5DBB"/>
    <w:pPr>
      <w:spacing w:before="80" w:after="0"/>
      <w:ind w:left="221"/>
    </w:pPr>
  </w:style>
  <w:style w:type="paragraph" w:styleId="TM3">
    <w:name w:val="toc 3"/>
    <w:basedOn w:val="Normal"/>
    <w:next w:val="Normal"/>
    <w:autoRedefine/>
    <w:uiPriority w:val="39"/>
    <w:unhideWhenUsed/>
    <w:rsid w:val="00ED5DBB"/>
    <w:pPr>
      <w:spacing w:before="40" w:after="0"/>
      <w:ind w:left="442"/>
    </w:pPr>
  </w:style>
  <w:style w:type="paragraph" w:customStyle="1" w:styleId="msonormal0">
    <w:name w:val="msonormal"/>
    <w:basedOn w:val="Normal"/>
    <w:rsid w:val="00A35DC3"/>
    <w:pPr>
      <w:spacing w:before="100" w:beforeAutospacing="1" w:after="100" w:afterAutospacing="1"/>
    </w:pPr>
    <w:rPr>
      <w:rFonts w:ascii="Times New Roman" w:eastAsia="Times New Roman" w:hAnsi="Times New Roman"/>
      <w:sz w:val="24"/>
      <w:szCs w:val="24"/>
      <w:lang w:val="en-GB" w:eastAsia="en-GB"/>
    </w:rPr>
  </w:style>
  <w:style w:type="character" w:customStyle="1" w:styleId="ts-alignment-element">
    <w:name w:val="ts-alignment-element"/>
    <w:basedOn w:val="Policepardfaut"/>
    <w:rsid w:val="00AA131B"/>
  </w:style>
  <w:style w:type="character" w:customStyle="1" w:styleId="ts-alignment-element-highlighted">
    <w:name w:val="ts-alignment-element-highlighted"/>
    <w:basedOn w:val="Policepardfaut"/>
    <w:rsid w:val="00AA131B"/>
  </w:style>
  <w:style w:type="paragraph" w:customStyle="1" w:styleId="Default">
    <w:name w:val="Default"/>
    <w:rsid w:val="00344A86"/>
    <w:pPr>
      <w:autoSpaceDE w:val="0"/>
      <w:autoSpaceDN w:val="0"/>
      <w:adjustRightInd w:val="0"/>
      <w:spacing w:after="0" w:line="240" w:lineRule="auto"/>
    </w:pPr>
    <w:rPr>
      <w:rFonts w:ascii="Calibri" w:hAnsi="Calibri" w:cs="Calibri"/>
      <w:color w:val="000000"/>
      <w:sz w:val="24"/>
      <w:szCs w:val="24"/>
      <w:lang w:val="fr-CH"/>
    </w:rPr>
  </w:style>
  <w:style w:type="character" w:customStyle="1" w:styleId="ui-provider">
    <w:name w:val="ui-provider"/>
    <w:basedOn w:val="Policepardfaut"/>
    <w:rsid w:val="0012230A"/>
  </w:style>
  <w:style w:type="paragraph" w:styleId="Sansinterligne">
    <w:name w:val="No Spacing"/>
    <w:link w:val="SansinterligneCar"/>
    <w:uiPriority w:val="1"/>
    <w:qFormat/>
    <w:rsid w:val="00D46485"/>
    <w:pPr>
      <w:spacing w:after="0" w:line="240" w:lineRule="auto"/>
    </w:pPr>
    <w:rPr>
      <w:rFonts w:ascii="Calibri" w:eastAsia="Calibri" w:hAnsi="Calibri" w:cs="Times New Roman"/>
      <w:lang w:val="fr-FR"/>
    </w:rPr>
  </w:style>
  <w:style w:type="character" w:customStyle="1" w:styleId="SansinterligneCar">
    <w:name w:val="Sans interligne Car"/>
    <w:link w:val="Sansinterligne"/>
    <w:uiPriority w:val="1"/>
    <w:rsid w:val="00D46485"/>
    <w:rPr>
      <w:rFonts w:ascii="Calibri" w:eastAsia="Calibri" w:hAnsi="Calibri" w:cs="Times New Roman"/>
      <w:lang w:val="fr-FR"/>
    </w:rPr>
  </w:style>
  <w:style w:type="paragraph" w:customStyle="1" w:styleId="xl70">
    <w:name w:val="xl70"/>
    <w:basedOn w:val="Normal"/>
    <w:rsid w:val="006D6D09"/>
    <w:pPr>
      <w:spacing w:before="100" w:beforeAutospacing="1" w:after="100" w:afterAutospacing="1"/>
    </w:pPr>
    <w:rPr>
      <w:rFonts w:ascii="Times New Roman" w:eastAsia="Times New Roman" w:hAnsi="Times New Roman"/>
      <w:sz w:val="24"/>
      <w:szCs w:val="24"/>
      <w:lang w:eastAsia="fr-FR"/>
    </w:rPr>
  </w:style>
  <w:style w:type="paragraph" w:customStyle="1" w:styleId="xl71">
    <w:name w:val="xl71"/>
    <w:basedOn w:val="Normal"/>
    <w:rsid w:val="006D6D09"/>
    <w:pPr>
      <w:spacing w:before="100" w:beforeAutospacing="1" w:after="100" w:afterAutospacing="1"/>
    </w:pPr>
    <w:rPr>
      <w:rFonts w:ascii="Arial" w:eastAsia="Times New Roman" w:hAnsi="Arial" w:cs="Arial"/>
      <w:sz w:val="24"/>
      <w:szCs w:val="24"/>
      <w:lang w:eastAsia="fr-FR"/>
    </w:rPr>
  </w:style>
  <w:style w:type="paragraph" w:customStyle="1" w:styleId="xl72">
    <w:name w:val="xl72"/>
    <w:basedOn w:val="Normal"/>
    <w:rsid w:val="006D6D0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szCs w:val="24"/>
      <w:lang w:eastAsia="fr-FR"/>
    </w:rPr>
  </w:style>
  <w:style w:type="paragraph" w:customStyle="1" w:styleId="xl73">
    <w:name w:val="xl73"/>
    <w:basedOn w:val="Normal"/>
    <w:rsid w:val="006D6D09"/>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sz w:val="24"/>
      <w:szCs w:val="24"/>
      <w:lang w:eastAsia="fr-FR"/>
    </w:rPr>
  </w:style>
  <w:style w:type="paragraph" w:customStyle="1" w:styleId="xl74">
    <w:name w:val="xl74"/>
    <w:basedOn w:val="Normal"/>
    <w:rsid w:val="006D6D09"/>
    <w:pPr>
      <w:spacing w:before="100" w:beforeAutospacing="1" w:after="100" w:afterAutospacing="1"/>
      <w:jc w:val="center"/>
    </w:pPr>
    <w:rPr>
      <w:rFonts w:ascii="Times New Roman" w:eastAsia="Times New Roman" w:hAnsi="Times New Roman"/>
      <w:sz w:val="24"/>
      <w:szCs w:val="24"/>
      <w:lang w:eastAsia="fr-FR"/>
    </w:rPr>
  </w:style>
  <w:style w:type="paragraph" w:customStyle="1" w:styleId="xl75">
    <w:name w:val="xl75"/>
    <w:basedOn w:val="Normal"/>
    <w:rsid w:val="006D6D09"/>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76">
    <w:name w:val="xl76"/>
    <w:basedOn w:val="Normal"/>
    <w:rsid w:val="006D6D09"/>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77">
    <w:name w:val="xl77"/>
    <w:basedOn w:val="Normal"/>
    <w:rsid w:val="006D6D0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78">
    <w:name w:val="xl78"/>
    <w:basedOn w:val="Normal"/>
    <w:rsid w:val="006D6D0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79">
    <w:name w:val="xl79"/>
    <w:basedOn w:val="Normal"/>
    <w:rsid w:val="006D6D0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80">
    <w:name w:val="xl80"/>
    <w:basedOn w:val="Normal"/>
    <w:rsid w:val="006D6D09"/>
    <w:pPr>
      <w:pBdr>
        <w:left w:val="single" w:sz="4" w:space="0" w:color="auto"/>
        <w:bottom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81">
    <w:name w:val="xl81"/>
    <w:basedOn w:val="Normal"/>
    <w:rsid w:val="006D6D09"/>
    <w:pPr>
      <w:pBdr>
        <w:bottom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82">
    <w:name w:val="xl82"/>
    <w:basedOn w:val="Normal"/>
    <w:rsid w:val="006D6D09"/>
    <w:pPr>
      <w:spacing w:before="100" w:beforeAutospacing="1" w:after="100" w:afterAutospacing="1"/>
    </w:pPr>
    <w:rPr>
      <w:rFonts w:ascii="Arial" w:eastAsia="Times New Roman" w:hAnsi="Arial" w:cs="Arial"/>
      <w:sz w:val="26"/>
      <w:szCs w:val="26"/>
      <w:lang w:eastAsia="fr-FR"/>
    </w:rPr>
  </w:style>
  <w:style w:type="paragraph" w:customStyle="1" w:styleId="xl83">
    <w:name w:val="xl83"/>
    <w:basedOn w:val="Normal"/>
    <w:rsid w:val="006D6D09"/>
    <w:pPr>
      <w:pBdr>
        <w:bottom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84">
    <w:name w:val="xl84"/>
    <w:basedOn w:val="Normal"/>
    <w:rsid w:val="006D6D0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85">
    <w:name w:val="xl85"/>
    <w:basedOn w:val="Normal"/>
    <w:rsid w:val="006D6D09"/>
    <w:pPr>
      <w:spacing w:before="100" w:beforeAutospacing="1" w:after="100" w:afterAutospacing="1"/>
      <w:jc w:val="center"/>
    </w:pPr>
    <w:rPr>
      <w:rFonts w:ascii="Arial" w:eastAsia="Times New Roman" w:hAnsi="Arial" w:cs="Arial"/>
      <w:sz w:val="24"/>
      <w:szCs w:val="24"/>
      <w:lang w:eastAsia="fr-FR"/>
    </w:rPr>
  </w:style>
  <w:style w:type="paragraph" w:customStyle="1" w:styleId="xl86">
    <w:name w:val="xl86"/>
    <w:basedOn w:val="Normal"/>
    <w:rsid w:val="006D6D09"/>
    <w:pP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87">
    <w:name w:val="xl87"/>
    <w:basedOn w:val="Normal"/>
    <w:rsid w:val="006D6D09"/>
    <w:pPr>
      <w:pBdr>
        <w:right w:val="single" w:sz="8" w:space="0" w:color="auto"/>
      </w:pBdr>
      <w:shd w:val="clear" w:color="000000" w:fill="678A26"/>
      <w:spacing w:before="100" w:beforeAutospacing="1" w:after="100" w:afterAutospacing="1"/>
      <w:jc w:val="center"/>
      <w:textAlignment w:val="center"/>
    </w:pPr>
    <w:rPr>
      <w:rFonts w:eastAsia="Times New Roman" w:cs="Calibri"/>
      <w:color w:val="FFFFFF"/>
      <w:lang w:eastAsia="fr-FR"/>
    </w:rPr>
  </w:style>
  <w:style w:type="paragraph" w:customStyle="1" w:styleId="xl88">
    <w:name w:val="xl88"/>
    <w:basedOn w:val="Normal"/>
    <w:rsid w:val="006D6D09"/>
    <w:pPr>
      <w:pBdr>
        <w:bottom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89">
    <w:name w:val="xl89"/>
    <w:basedOn w:val="Normal"/>
    <w:rsid w:val="006D6D09"/>
    <w:pPr>
      <w:pBdr>
        <w:bottom w:val="single" w:sz="4" w:space="0" w:color="auto"/>
        <w:right w:val="single" w:sz="8" w:space="0" w:color="auto"/>
      </w:pBdr>
      <w:shd w:val="clear" w:color="000000" w:fill="DBEFD3"/>
      <w:spacing w:before="100" w:beforeAutospacing="1" w:after="100" w:afterAutospacing="1"/>
      <w:jc w:val="center"/>
      <w:textAlignment w:val="center"/>
    </w:pPr>
    <w:rPr>
      <w:rFonts w:eastAsia="Times New Roman" w:cs="Calibri"/>
      <w:sz w:val="26"/>
      <w:szCs w:val="26"/>
      <w:lang w:eastAsia="fr-FR"/>
    </w:rPr>
  </w:style>
  <w:style w:type="paragraph" w:customStyle="1" w:styleId="xl90">
    <w:name w:val="xl90"/>
    <w:basedOn w:val="Normal"/>
    <w:rsid w:val="006D6D09"/>
    <w:pPr>
      <w:pBdr>
        <w:bottom w:val="single" w:sz="8" w:space="0" w:color="auto"/>
        <w:right w:val="single" w:sz="8" w:space="0" w:color="auto"/>
      </w:pBdr>
      <w:shd w:val="clear" w:color="000000" w:fill="DBEFD3"/>
      <w:spacing w:before="100" w:beforeAutospacing="1" w:after="100" w:afterAutospacing="1"/>
      <w:jc w:val="center"/>
      <w:textAlignment w:val="center"/>
    </w:pPr>
    <w:rPr>
      <w:rFonts w:eastAsia="Times New Roman" w:cs="Calibri"/>
      <w:sz w:val="26"/>
      <w:szCs w:val="26"/>
      <w:lang w:eastAsia="fr-FR"/>
    </w:rPr>
  </w:style>
  <w:style w:type="paragraph" w:customStyle="1" w:styleId="xl91">
    <w:name w:val="xl91"/>
    <w:basedOn w:val="Normal"/>
    <w:rsid w:val="006D6D09"/>
    <w:pPr>
      <w:pBdr>
        <w:top w:val="single" w:sz="8" w:space="0" w:color="auto"/>
        <w:left w:val="single" w:sz="8"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92">
    <w:name w:val="xl92"/>
    <w:basedOn w:val="Normal"/>
    <w:rsid w:val="006D6D09"/>
    <w:pPr>
      <w:pBdr>
        <w:top w:val="single" w:sz="8"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93">
    <w:name w:val="xl93"/>
    <w:basedOn w:val="Normal"/>
    <w:rsid w:val="006D6D09"/>
    <w:pPr>
      <w:pBdr>
        <w:top w:val="single" w:sz="8" w:space="0" w:color="auto"/>
        <w:right w:val="single" w:sz="8"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94">
    <w:name w:val="xl94"/>
    <w:basedOn w:val="Normal"/>
    <w:rsid w:val="006D6D09"/>
    <w:pP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95">
    <w:name w:val="xl95"/>
    <w:basedOn w:val="Normal"/>
    <w:rsid w:val="006D6D09"/>
    <w:pPr>
      <w:pBdr>
        <w:left w:val="single" w:sz="8"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96">
    <w:name w:val="xl96"/>
    <w:basedOn w:val="Normal"/>
    <w:rsid w:val="006D6D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97">
    <w:name w:val="xl97"/>
    <w:basedOn w:val="Normal"/>
    <w:rsid w:val="006D6D09"/>
    <w:pPr>
      <w:pBdr>
        <w:top w:val="single" w:sz="8" w:space="0" w:color="auto"/>
        <w:left w:val="single" w:sz="8" w:space="0" w:color="auto"/>
        <w:right w:val="single" w:sz="4"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98">
    <w:name w:val="xl98"/>
    <w:basedOn w:val="Normal"/>
    <w:rsid w:val="006D6D09"/>
    <w:pPr>
      <w:pBdr>
        <w:top w:val="single" w:sz="8" w:space="0" w:color="auto"/>
        <w:left w:val="single" w:sz="4" w:space="0" w:color="auto"/>
        <w:right w:val="single" w:sz="4"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99">
    <w:name w:val="xl99"/>
    <w:basedOn w:val="Normal"/>
    <w:rsid w:val="006D6D09"/>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100">
    <w:name w:val="xl100"/>
    <w:basedOn w:val="Normal"/>
    <w:rsid w:val="006D6D09"/>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101">
    <w:name w:val="xl101"/>
    <w:basedOn w:val="Normal"/>
    <w:rsid w:val="006D6D09"/>
    <w:pPr>
      <w:pBdr>
        <w:top w:val="single" w:sz="8" w:space="0" w:color="auto"/>
        <w:left w:val="single" w:sz="4"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102">
    <w:name w:val="xl102"/>
    <w:basedOn w:val="Normal"/>
    <w:rsid w:val="006D6D09"/>
    <w:pPr>
      <w:pBdr>
        <w:top w:val="single" w:sz="8" w:space="0" w:color="auto"/>
        <w:left w:val="single" w:sz="4" w:space="0" w:color="auto"/>
        <w:bottom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103">
    <w:name w:val="xl103"/>
    <w:basedOn w:val="Normal"/>
    <w:rsid w:val="006D6D09"/>
    <w:pPr>
      <w:pBdr>
        <w:top w:val="single" w:sz="4" w:space="0" w:color="auto"/>
        <w:left w:val="single" w:sz="4" w:space="0" w:color="auto"/>
        <w:bottom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104">
    <w:name w:val="xl104"/>
    <w:basedOn w:val="Normal"/>
    <w:rsid w:val="006D6D09"/>
    <w:pPr>
      <w:pBdr>
        <w:top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105">
    <w:name w:val="xl105"/>
    <w:basedOn w:val="Normal"/>
    <w:rsid w:val="006D6D09"/>
    <w:pPr>
      <w:pBdr>
        <w:top w:val="single" w:sz="8" w:space="0" w:color="auto"/>
        <w:right w:val="single" w:sz="8"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106">
    <w:name w:val="xl106"/>
    <w:basedOn w:val="Normal"/>
    <w:rsid w:val="006D6D09"/>
    <w:pPr>
      <w:pBdr>
        <w:top w:val="single" w:sz="4" w:space="0" w:color="auto"/>
        <w:right w:val="single" w:sz="8"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107">
    <w:name w:val="xl107"/>
    <w:basedOn w:val="Normal"/>
    <w:rsid w:val="006D6D09"/>
    <w:pPr>
      <w:pBdr>
        <w:top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108">
    <w:name w:val="xl108"/>
    <w:basedOn w:val="Normal"/>
    <w:rsid w:val="006D6D09"/>
    <w:pPr>
      <w:pBdr>
        <w:left w:val="single" w:sz="8"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109">
    <w:name w:val="xl109"/>
    <w:basedOn w:val="Normal"/>
    <w:rsid w:val="006D6D09"/>
    <w:pPr>
      <w:pBdr>
        <w:left w:val="single" w:sz="8" w:space="0" w:color="auto"/>
        <w:bottom w:val="single" w:sz="4"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10">
    <w:name w:val="xl110"/>
    <w:basedOn w:val="Normal"/>
    <w:rsid w:val="006D6D09"/>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11">
    <w:name w:val="xl111"/>
    <w:basedOn w:val="Normal"/>
    <w:rsid w:val="006D6D09"/>
    <w:pPr>
      <w:pBdr>
        <w:left w:val="single" w:sz="8"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12">
    <w:name w:val="xl112"/>
    <w:basedOn w:val="Normal"/>
    <w:rsid w:val="006D6D09"/>
    <w:pPr>
      <w:pBdr>
        <w:top w:val="single" w:sz="8" w:space="0" w:color="auto"/>
        <w:left w:val="single" w:sz="8" w:space="0" w:color="auto"/>
        <w:right w:val="single" w:sz="4"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113">
    <w:name w:val="xl113"/>
    <w:basedOn w:val="Normal"/>
    <w:rsid w:val="006D6D09"/>
    <w:pPr>
      <w:pBdr>
        <w:left w:val="single" w:sz="8" w:space="0" w:color="auto"/>
        <w:bottom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14">
    <w:name w:val="xl114"/>
    <w:basedOn w:val="Normal"/>
    <w:rsid w:val="006D6D09"/>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15">
    <w:name w:val="xl115"/>
    <w:basedOn w:val="Normal"/>
    <w:rsid w:val="006D6D09"/>
    <w:pPr>
      <w:pBdr>
        <w:top w:val="single" w:sz="8" w:space="0" w:color="auto"/>
        <w:left w:val="single" w:sz="8"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16">
    <w:name w:val="xl116"/>
    <w:basedOn w:val="Normal"/>
    <w:rsid w:val="006D6D09"/>
    <w:pPr>
      <w:pBdr>
        <w:top w:val="single" w:sz="8" w:space="0" w:color="auto"/>
        <w:left w:val="single" w:sz="4"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17">
    <w:name w:val="xl117"/>
    <w:basedOn w:val="Normal"/>
    <w:rsid w:val="006D6D09"/>
    <w:pPr>
      <w:pBdr>
        <w:top w:val="single" w:sz="4" w:space="0" w:color="auto"/>
        <w:left w:val="single" w:sz="8" w:space="0" w:color="auto"/>
        <w:right w:val="single" w:sz="4"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118">
    <w:name w:val="xl118"/>
    <w:basedOn w:val="Normal"/>
    <w:rsid w:val="006D6D09"/>
    <w:pPr>
      <w:pBdr>
        <w:left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19">
    <w:name w:val="xl119"/>
    <w:basedOn w:val="Normal"/>
    <w:rsid w:val="006D6D09"/>
    <w:pPr>
      <w:pBdr>
        <w:right w:val="single" w:sz="8" w:space="0" w:color="auto"/>
      </w:pBdr>
      <w:shd w:val="clear" w:color="000000" w:fill="DBEFD3"/>
      <w:spacing w:before="100" w:beforeAutospacing="1" w:after="100" w:afterAutospacing="1"/>
      <w:jc w:val="center"/>
      <w:textAlignment w:val="center"/>
    </w:pPr>
    <w:rPr>
      <w:rFonts w:eastAsia="Times New Roman" w:cs="Calibri"/>
      <w:sz w:val="26"/>
      <w:szCs w:val="26"/>
      <w:lang w:eastAsia="fr-FR"/>
    </w:rPr>
  </w:style>
  <w:style w:type="paragraph" w:customStyle="1" w:styleId="xl120">
    <w:name w:val="xl120"/>
    <w:basedOn w:val="Normal"/>
    <w:rsid w:val="006D6D09"/>
    <w:pPr>
      <w:pBdr>
        <w:left w:val="single" w:sz="8"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21">
    <w:name w:val="xl121"/>
    <w:basedOn w:val="Normal"/>
    <w:rsid w:val="006D6D09"/>
    <w:pPr>
      <w:pBdr>
        <w:left w:val="single" w:sz="4"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22">
    <w:name w:val="xl122"/>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sz w:val="24"/>
      <w:szCs w:val="24"/>
      <w:lang w:eastAsia="fr-FR"/>
    </w:rPr>
  </w:style>
  <w:style w:type="paragraph" w:customStyle="1" w:styleId="xl123">
    <w:name w:val="xl123"/>
    <w:basedOn w:val="Normal"/>
    <w:rsid w:val="006D6D09"/>
    <w:pPr>
      <w:pBdr>
        <w:top w:val="single" w:sz="4" w:space="0" w:color="auto"/>
        <w:left w:val="single" w:sz="8"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24">
    <w:name w:val="xl124"/>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25">
    <w:name w:val="xl125"/>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pPr>
    <w:rPr>
      <w:rFonts w:ascii="Times New Roman" w:eastAsia="Times New Roman" w:hAnsi="Times New Roman"/>
      <w:sz w:val="24"/>
      <w:szCs w:val="24"/>
      <w:lang w:eastAsia="fr-FR"/>
    </w:rPr>
  </w:style>
  <w:style w:type="paragraph" w:customStyle="1" w:styleId="xl126">
    <w:name w:val="xl126"/>
    <w:basedOn w:val="Normal"/>
    <w:rsid w:val="006D6D09"/>
    <w:pPr>
      <w:pBdr>
        <w:top w:val="single" w:sz="8" w:space="0" w:color="auto"/>
        <w:left w:val="single" w:sz="4" w:space="0" w:color="auto"/>
        <w:bottom w:val="single" w:sz="4"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27">
    <w:name w:val="xl127"/>
    <w:basedOn w:val="Normal"/>
    <w:rsid w:val="006D6D09"/>
    <w:pPr>
      <w:pBdr>
        <w:left w:val="single" w:sz="4" w:space="0" w:color="auto"/>
        <w:bottom w:val="single" w:sz="4"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28">
    <w:name w:val="xl128"/>
    <w:basedOn w:val="Normal"/>
    <w:rsid w:val="006D6D09"/>
    <w:pPr>
      <w:pBdr>
        <w:top w:val="single" w:sz="4" w:space="0" w:color="auto"/>
        <w:bottom w:val="single" w:sz="4" w:space="0" w:color="auto"/>
        <w:right w:val="single" w:sz="8"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29">
    <w:name w:val="xl129"/>
    <w:basedOn w:val="Normal"/>
    <w:rsid w:val="006D6D09"/>
    <w:pPr>
      <w:pBdr>
        <w:top w:val="single" w:sz="4" w:space="0" w:color="auto"/>
        <w:left w:val="single" w:sz="8"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30">
    <w:name w:val="xl130"/>
    <w:basedOn w:val="Normal"/>
    <w:rsid w:val="006D6D09"/>
    <w:pPr>
      <w:pBdr>
        <w:top w:val="single" w:sz="8" w:space="0" w:color="auto"/>
        <w:left w:val="single" w:sz="8"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31">
    <w:name w:val="xl131"/>
    <w:basedOn w:val="Normal"/>
    <w:rsid w:val="006D6D09"/>
    <w:pPr>
      <w:pBdr>
        <w:top w:val="single" w:sz="8" w:space="0" w:color="auto"/>
        <w:bottom w:val="single" w:sz="4" w:space="0" w:color="auto"/>
        <w:right w:val="single" w:sz="8"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32">
    <w:name w:val="xl132"/>
    <w:basedOn w:val="Normal"/>
    <w:rsid w:val="006D6D09"/>
    <w:pPr>
      <w:pBdr>
        <w:top w:val="single" w:sz="4" w:space="0" w:color="auto"/>
        <w:left w:val="single" w:sz="8" w:space="0" w:color="auto"/>
        <w:bottom w:val="single" w:sz="8" w:space="0" w:color="auto"/>
        <w:right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33">
    <w:name w:val="xl133"/>
    <w:basedOn w:val="Normal"/>
    <w:rsid w:val="006D6D09"/>
    <w:pPr>
      <w:pBdr>
        <w:top w:val="single" w:sz="4" w:space="0" w:color="auto"/>
        <w:bottom w:val="single" w:sz="8" w:space="0" w:color="auto"/>
        <w:right w:val="single" w:sz="8"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34">
    <w:name w:val="xl134"/>
    <w:basedOn w:val="Normal"/>
    <w:rsid w:val="006D6D09"/>
    <w:pPr>
      <w:pBdr>
        <w:left w:val="single" w:sz="8"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35">
    <w:name w:val="xl135"/>
    <w:basedOn w:val="Normal"/>
    <w:rsid w:val="006D6D09"/>
    <w:pPr>
      <w:pBdr>
        <w:bottom w:val="single" w:sz="4" w:space="0" w:color="auto"/>
        <w:right w:val="single" w:sz="8"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36">
    <w:name w:val="xl136"/>
    <w:basedOn w:val="Normal"/>
    <w:rsid w:val="006D6D09"/>
    <w:pPr>
      <w:pBdr>
        <w:top w:val="single" w:sz="4" w:space="0" w:color="auto"/>
        <w:right w:val="single" w:sz="8"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37">
    <w:name w:val="xl137"/>
    <w:basedOn w:val="Normal"/>
    <w:rsid w:val="006D6D09"/>
    <w:pPr>
      <w:pBdr>
        <w:top w:val="single" w:sz="4" w:space="0" w:color="auto"/>
        <w:left w:val="single" w:sz="8" w:space="0" w:color="auto"/>
        <w:right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38">
    <w:name w:val="xl138"/>
    <w:basedOn w:val="Normal"/>
    <w:rsid w:val="006D6D09"/>
    <w:pPr>
      <w:pBdr>
        <w:top w:val="single" w:sz="8" w:space="0" w:color="auto"/>
        <w:left w:val="single" w:sz="8" w:space="0" w:color="auto"/>
        <w:bottom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39">
    <w:name w:val="xl139"/>
    <w:basedOn w:val="Normal"/>
    <w:rsid w:val="006D6D09"/>
    <w:pPr>
      <w:pBdr>
        <w:top w:val="single" w:sz="8" w:space="0" w:color="auto"/>
        <w:left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40">
    <w:name w:val="xl140"/>
    <w:basedOn w:val="Normal"/>
    <w:rsid w:val="006D6D09"/>
    <w:pPr>
      <w:pBdr>
        <w:top w:val="single" w:sz="8" w:space="0" w:color="auto"/>
        <w:bottom w:val="single" w:sz="4" w:space="0" w:color="auto"/>
        <w:right w:val="single" w:sz="8" w:space="0" w:color="auto"/>
      </w:pBdr>
      <w:shd w:val="clear" w:color="000000" w:fill="DBEFD3"/>
      <w:spacing w:before="100" w:beforeAutospacing="1" w:after="100" w:afterAutospacing="1"/>
      <w:jc w:val="center"/>
      <w:textAlignment w:val="center"/>
    </w:pPr>
    <w:rPr>
      <w:rFonts w:eastAsia="Times New Roman" w:cs="Calibri"/>
      <w:sz w:val="26"/>
      <w:szCs w:val="26"/>
      <w:lang w:eastAsia="fr-FR"/>
    </w:rPr>
  </w:style>
  <w:style w:type="paragraph" w:customStyle="1" w:styleId="xl141">
    <w:name w:val="xl141"/>
    <w:basedOn w:val="Normal"/>
    <w:rsid w:val="006D6D09"/>
    <w:pPr>
      <w:pBdr>
        <w:bottom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42">
    <w:name w:val="xl142"/>
    <w:basedOn w:val="Normal"/>
    <w:rsid w:val="006D6D09"/>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43">
    <w:name w:val="xl143"/>
    <w:basedOn w:val="Normal"/>
    <w:rsid w:val="006D6D09"/>
    <w:pPr>
      <w:pBdr>
        <w:top w:val="single" w:sz="4" w:space="0" w:color="auto"/>
        <w:left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44">
    <w:name w:val="xl144"/>
    <w:basedOn w:val="Normal"/>
    <w:rsid w:val="006D6D09"/>
    <w:pPr>
      <w:pBdr>
        <w:top w:val="single" w:sz="8" w:space="0" w:color="auto"/>
        <w:left w:val="single" w:sz="4" w:space="0" w:color="auto"/>
        <w:bottom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45">
    <w:name w:val="xl145"/>
    <w:basedOn w:val="Normal"/>
    <w:rsid w:val="006D6D09"/>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146">
    <w:name w:val="xl146"/>
    <w:basedOn w:val="Normal"/>
    <w:rsid w:val="006D6D09"/>
    <w:pPr>
      <w:pBdr>
        <w:top w:val="single" w:sz="4" w:space="0" w:color="auto"/>
        <w:left w:val="single" w:sz="4" w:space="0" w:color="auto"/>
        <w:bottom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147">
    <w:name w:val="xl147"/>
    <w:basedOn w:val="Normal"/>
    <w:rsid w:val="006D6D09"/>
    <w:pPr>
      <w:pBdr>
        <w:left w:val="single" w:sz="4" w:space="0" w:color="auto"/>
        <w:bottom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48">
    <w:name w:val="xl148"/>
    <w:basedOn w:val="Normal"/>
    <w:rsid w:val="006D6D09"/>
    <w:pPr>
      <w:pBdr>
        <w:top w:val="single" w:sz="4" w:space="0" w:color="auto"/>
        <w:lef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149">
    <w:name w:val="xl149"/>
    <w:basedOn w:val="Normal"/>
    <w:rsid w:val="006D6D09"/>
    <w:pPr>
      <w:pBdr>
        <w:lef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50">
    <w:name w:val="xl150"/>
    <w:basedOn w:val="Normal"/>
    <w:rsid w:val="006D6D09"/>
    <w:pPr>
      <w:pBdr>
        <w:left w:val="single" w:sz="4" w:space="0" w:color="auto"/>
        <w:bottom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51">
    <w:name w:val="xl151"/>
    <w:basedOn w:val="Normal"/>
    <w:rsid w:val="006D6D09"/>
    <w:pPr>
      <w:pBdr>
        <w:top w:val="single" w:sz="8" w:space="0" w:color="auto"/>
        <w:left w:val="single" w:sz="4" w:space="0" w:color="auto"/>
        <w:bottom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52">
    <w:name w:val="xl152"/>
    <w:basedOn w:val="Normal"/>
    <w:rsid w:val="006D6D09"/>
    <w:pPr>
      <w:pBdr>
        <w:top w:val="single" w:sz="4" w:space="0" w:color="auto"/>
        <w:left w:val="single" w:sz="4" w:space="0" w:color="auto"/>
        <w:bottom w:val="single" w:sz="8"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53">
    <w:name w:val="xl153"/>
    <w:basedOn w:val="Normal"/>
    <w:rsid w:val="006D6D09"/>
    <w:pPr>
      <w:pBdr>
        <w:left w:val="single" w:sz="4" w:space="0" w:color="auto"/>
        <w:bottom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54">
    <w:name w:val="xl154"/>
    <w:basedOn w:val="Normal"/>
    <w:rsid w:val="006D6D09"/>
    <w:pPr>
      <w:pBdr>
        <w:top w:val="single" w:sz="8" w:space="0" w:color="auto"/>
        <w:lef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55">
    <w:name w:val="xl155"/>
    <w:basedOn w:val="Normal"/>
    <w:rsid w:val="006D6D09"/>
    <w:pPr>
      <w:pBdr>
        <w:left w:val="single" w:sz="8" w:space="0" w:color="auto"/>
        <w:right w:val="single" w:sz="4"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156">
    <w:name w:val="xl156"/>
    <w:basedOn w:val="Normal"/>
    <w:rsid w:val="006D6D09"/>
    <w:pPr>
      <w:pBdr>
        <w:top w:val="single" w:sz="8" w:space="0" w:color="auto"/>
        <w:left w:val="single" w:sz="8" w:space="0" w:color="auto"/>
        <w:bottom w:val="single" w:sz="4"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57">
    <w:name w:val="xl157"/>
    <w:basedOn w:val="Normal"/>
    <w:rsid w:val="006D6D09"/>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sz w:val="24"/>
      <w:szCs w:val="24"/>
      <w:lang w:eastAsia="fr-FR"/>
    </w:rPr>
  </w:style>
  <w:style w:type="paragraph" w:customStyle="1" w:styleId="xl158">
    <w:name w:val="xl158"/>
    <w:basedOn w:val="Normal"/>
    <w:rsid w:val="006D6D09"/>
    <w:pPr>
      <w:pBdr>
        <w:top w:val="single" w:sz="4" w:space="0" w:color="auto"/>
        <w:left w:val="single" w:sz="4" w:space="0" w:color="auto"/>
        <w:bottom w:val="single" w:sz="8" w:space="0" w:color="auto"/>
      </w:pBdr>
      <w:spacing w:before="100" w:beforeAutospacing="1" w:after="100" w:afterAutospacing="1"/>
    </w:pPr>
    <w:rPr>
      <w:rFonts w:ascii="Arial" w:eastAsia="Times New Roman" w:hAnsi="Arial" w:cs="Arial"/>
      <w:sz w:val="24"/>
      <w:szCs w:val="24"/>
      <w:lang w:eastAsia="fr-FR"/>
    </w:rPr>
  </w:style>
  <w:style w:type="paragraph" w:customStyle="1" w:styleId="xl159">
    <w:name w:val="xl159"/>
    <w:basedOn w:val="Normal"/>
    <w:rsid w:val="006D6D09"/>
    <w:pPr>
      <w:pBdr>
        <w:top w:val="single" w:sz="8" w:space="0" w:color="auto"/>
        <w:left w:val="single" w:sz="4" w:space="0" w:color="auto"/>
        <w:bottom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60">
    <w:name w:val="xl160"/>
    <w:basedOn w:val="Normal"/>
    <w:rsid w:val="006D6D09"/>
    <w:pPr>
      <w:pBdr>
        <w:top w:val="single" w:sz="8" w:space="0" w:color="auto"/>
        <w:left w:val="single" w:sz="8"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61">
    <w:name w:val="xl161"/>
    <w:basedOn w:val="Normal"/>
    <w:rsid w:val="006D6D09"/>
    <w:pPr>
      <w:pBdr>
        <w:top w:val="single" w:sz="8" w:space="0" w:color="auto"/>
        <w:left w:val="single" w:sz="4"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62">
    <w:name w:val="xl162"/>
    <w:basedOn w:val="Normal"/>
    <w:rsid w:val="006D6D09"/>
    <w:pPr>
      <w:pBdr>
        <w:top w:val="single" w:sz="8" w:space="0" w:color="auto"/>
        <w:left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sz w:val="24"/>
      <w:szCs w:val="24"/>
      <w:lang w:eastAsia="fr-FR"/>
    </w:rPr>
  </w:style>
  <w:style w:type="paragraph" w:customStyle="1" w:styleId="xl163">
    <w:name w:val="xl163"/>
    <w:basedOn w:val="Normal"/>
    <w:rsid w:val="006D6D09"/>
    <w:pPr>
      <w:pBdr>
        <w:top w:val="single" w:sz="4" w:space="0" w:color="auto"/>
        <w:left w:val="single" w:sz="8"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64">
    <w:name w:val="xl164"/>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sz w:val="24"/>
      <w:szCs w:val="24"/>
      <w:lang w:eastAsia="fr-FR"/>
    </w:rPr>
  </w:style>
  <w:style w:type="paragraph" w:customStyle="1" w:styleId="xl165">
    <w:name w:val="xl165"/>
    <w:basedOn w:val="Normal"/>
    <w:rsid w:val="006D6D09"/>
    <w:pPr>
      <w:pBdr>
        <w:left w:val="single" w:sz="4" w:space="0" w:color="auto"/>
        <w:bottom w:val="single" w:sz="4" w:space="0" w:color="auto"/>
      </w:pBdr>
      <w:spacing w:before="100" w:beforeAutospacing="1" w:after="100" w:afterAutospacing="1"/>
    </w:pPr>
    <w:rPr>
      <w:rFonts w:ascii="Arial" w:eastAsia="Times New Roman" w:hAnsi="Arial" w:cs="Arial"/>
      <w:sz w:val="24"/>
      <w:szCs w:val="24"/>
      <w:lang w:eastAsia="fr-FR"/>
    </w:rPr>
  </w:style>
  <w:style w:type="paragraph" w:customStyle="1" w:styleId="xl166">
    <w:name w:val="xl166"/>
    <w:basedOn w:val="Normal"/>
    <w:rsid w:val="006D6D09"/>
    <w:pPr>
      <w:pBdr>
        <w:top w:val="single" w:sz="8" w:space="0" w:color="auto"/>
        <w:right w:val="single" w:sz="8" w:space="0" w:color="auto"/>
      </w:pBdr>
      <w:shd w:val="clear" w:color="000000" w:fill="DBEFD3"/>
      <w:spacing w:before="100" w:beforeAutospacing="1" w:after="100" w:afterAutospacing="1"/>
      <w:jc w:val="center"/>
      <w:textAlignment w:val="center"/>
    </w:pPr>
    <w:rPr>
      <w:rFonts w:eastAsia="Times New Roman" w:cs="Calibri"/>
      <w:sz w:val="26"/>
      <w:szCs w:val="26"/>
      <w:lang w:eastAsia="fr-FR"/>
    </w:rPr>
  </w:style>
  <w:style w:type="paragraph" w:customStyle="1" w:styleId="xl167">
    <w:name w:val="xl167"/>
    <w:basedOn w:val="Normal"/>
    <w:rsid w:val="006D6D09"/>
    <w:pPr>
      <w:pBdr>
        <w:left w:val="single" w:sz="8" w:space="0" w:color="auto"/>
        <w:bottom w:val="single" w:sz="8" w:space="0" w:color="auto"/>
        <w:right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68">
    <w:name w:val="xl168"/>
    <w:basedOn w:val="Normal"/>
    <w:rsid w:val="006D6D09"/>
    <w:pPr>
      <w:pBdr>
        <w:left w:val="single" w:sz="4" w:space="0" w:color="auto"/>
        <w:bottom w:val="single" w:sz="8" w:space="0" w:color="auto"/>
      </w:pBdr>
      <w:spacing w:before="100" w:beforeAutospacing="1" w:after="100" w:afterAutospacing="1"/>
    </w:pPr>
    <w:rPr>
      <w:rFonts w:ascii="Arial" w:eastAsia="Times New Roman" w:hAnsi="Arial" w:cs="Arial"/>
      <w:sz w:val="24"/>
      <w:szCs w:val="24"/>
      <w:lang w:eastAsia="fr-FR"/>
    </w:rPr>
  </w:style>
  <w:style w:type="paragraph" w:customStyle="1" w:styleId="xl169">
    <w:name w:val="xl169"/>
    <w:basedOn w:val="Normal"/>
    <w:rsid w:val="006D6D09"/>
    <w:pPr>
      <w:pBdr>
        <w:top w:val="single" w:sz="4" w:space="0" w:color="auto"/>
        <w:left w:val="single" w:sz="8" w:space="0" w:color="auto"/>
        <w:bottom w:val="single" w:sz="8"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70">
    <w:name w:val="xl170"/>
    <w:basedOn w:val="Normal"/>
    <w:rsid w:val="006D6D09"/>
    <w:pPr>
      <w:pBdr>
        <w:top w:val="single" w:sz="4" w:space="0" w:color="auto"/>
        <w:left w:val="single" w:sz="4" w:space="0" w:color="auto"/>
        <w:bottom w:val="single" w:sz="8"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71">
    <w:name w:val="xl171"/>
    <w:basedOn w:val="Normal"/>
    <w:rsid w:val="006D6D09"/>
    <w:pPr>
      <w:pBdr>
        <w:top w:val="single" w:sz="4" w:space="0" w:color="auto"/>
        <w:left w:val="single" w:sz="4" w:space="0" w:color="auto"/>
        <w:bottom w:val="single" w:sz="8" w:space="0" w:color="auto"/>
        <w:right w:val="single" w:sz="4" w:space="0" w:color="auto"/>
      </w:pBdr>
      <w:shd w:val="clear" w:color="000000" w:fill="FEFDD7"/>
      <w:spacing w:before="100" w:beforeAutospacing="1" w:after="100" w:afterAutospacing="1"/>
      <w:textAlignment w:val="center"/>
    </w:pPr>
    <w:rPr>
      <w:rFonts w:eastAsia="Times New Roman" w:cs="Calibri"/>
      <w:sz w:val="24"/>
      <w:szCs w:val="24"/>
      <w:lang w:eastAsia="fr-FR"/>
    </w:rPr>
  </w:style>
  <w:style w:type="paragraph" w:customStyle="1" w:styleId="xl172">
    <w:name w:val="xl172"/>
    <w:basedOn w:val="Normal"/>
    <w:rsid w:val="006D6D09"/>
    <w:pPr>
      <w:pBdr>
        <w:top w:val="single" w:sz="4" w:space="0" w:color="auto"/>
        <w:bottom w:val="single" w:sz="4" w:space="0" w:color="auto"/>
        <w:right w:val="single" w:sz="8" w:space="0" w:color="auto"/>
      </w:pBdr>
      <w:shd w:val="clear" w:color="000000" w:fill="FEFDD7"/>
      <w:spacing w:before="100" w:beforeAutospacing="1" w:after="100" w:afterAutospacing="1"/>
      <w:jc w:val="center"/>
    </w:pPr>
    <w:rPr>
      <w:rFonts w:eastAsia="Times New Roman" w:cs="Calibri"/>
      <w:sz w:val="24"/>
      <w:szCs w:val="24"/>
      <w:lang w:eastAsia="fr-FR"/>
    </w:rPr>
  </w:style>
  <w:style w:type="paragraph" w:customStyle="1" w:styleId="xl173">
    <w:name w:val="xl173"/>
    <w:basedOn w:val="Normal"/>
    <w:rsid w:val="006D6D09"/>
    <w:pPr>
      <w:pBdr>
        <w:top w:val="single" w:sz="4" w:space="0" w:color="auto"/>
        <w:bottom w:val="single" w:sz="8" w:space="0" w:color="auto"/>
        <w:right w:val="single" w:sz="8" w:space="0" w:color="auto"/>
      </w:pBdr>
      <w:shd w:val="clear" w:color="000000" w:fill="FEFDD7"/>
      <w:spacing w:before="100" w:beforeAutospacing="1" w:after="100" w:afterAutospacing="1"/>
      <w:jc w:val="center"/>
    </w:pPr>
    <w:rPr>
      <w:rFonts w:eastAsia="Times New Roman" w:cs="Calibri"/>
      <w:sz w:val="24"/>
      <w:szCs w:val="24"/>
      <w:lang w:eastAsia="fr-FR"/>
    </w:rPr>
  </w:style>
  <w:style w:type="paragraph" w:customStyle="1" w:styleId="xl174">
    <w:name w:val="xl174"/>
    <w:basedOn w:val="Normal"/>
    <w:rsid w:val="006D6D09"/>
    <w:pPr>
      <w:pBdr>
        <w:top w:val="single" w:sz="4" w:space="0" w:color="auto"/>
        <w:left w:val="single" w:sz="4" w:space="0" w:color="auto"/>
        <w:bottom w:val="single" w:sz="8" w:space="0" w:color="auto"/>
        <w:right w:val="single" w:sz="8"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75">
    <w:name w:val="xl175"/>
    <w:basedOn w:val="Normal"/>
    <w:rsid w:val="006D6D09"/>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176">
    <w:name w:val="xl176"/>
    <w:basedOn w:val="Normal"/>
    <w:rsid w:val="006D6D09"/>
    <w:pPr>
      <w:pBdr>
        <w:top w:val="single" w:sz="4" w:space="0" w:color="auto"/>
        <w:left w:val="single" w:sz="4"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177">
    <w:name w:val="xl177"/>
    <w:basedOn w:val="Normal"/>
    <w:rsid w:val="006D6D09"/>
    <w:pPr>
      <w:pBdr>
        <w:top w:val="single" w:sz="8" w:space="0" w:color="auto"/>
        <w:left w:val="single" w:sz="4" w:space="0" w:color="auto"/>
        <w:bottom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78">
    <w:name w:val="xl178"/>
    <w:basedOn w:val="Normal"/>
    <w:rsid w:val="006D6D09"/>
    <w:pPr>
      <w:pBdr>
        <w:top w:val="single" w:sz="4" w:space="0" w:color="auto"/>
        <w:left w:val="single" w:sz="4" w:space="0" w:color="auto"/>
        <w:bottom w:val="single" w:sz="8" w:space="0" w:color="auto"/>
      </w:pBdr>
      <w:spacing w:before="100" w:beforeAutospacing="1" w:after="100" w:afterAutospacing="1"/>
      <w:jc w:val="center"/>
      <w:textAlignment w:val="center"/>
    </w:pPr>
    <w:rPr>
      <w:rFonts w:eastAsia="Times New Roman" w:cs="Calibri"/>
      <w:sz w:val="24"/>
      <w:szCs w:val="24"/>
      <w:lang w:eastAsia="fr-FR"/>
    </w:rPr>
  </w:style>
  <w:style w:type="paragraph" w:customStyle="1" w:styleId="xl179">
    <w:name w:val="xl179"/>
    <w:basedOn w:val="Normal"/>
    <w:rsid w:val="006D6D09"/>
    <w:pPr>
      <w:pBdr>
        <w:left w:val="single" w:sz="4" w:space="0" w:color="auto"/>
        <w:bottom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80">
    <w:name w:val="xl180"/>
    <w:basedOn w:val="Normal"/>
    <w:rsid w:val="006D6D09"/>
    <w:pPr>
      <w:pBdr>
        <w:bottom w:val="single" w:sz="4"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81">
    <w:name w:val="xl181"/>
    <w:basedOn w:val="Normal"/>
    <w:rsid w:val="006D6D09"/>
    <w:pPr>
      <w:pBdr>
        <w:top w:val="single" w:sz="4" w:space="0" w:color="auto"/>
        <w:bottom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82">
    <w:name w:val="xl182"/>
    <w:basedOn w:val="Normal"/>
    <w:rsid w:val="006D6D09"/>
    <w:pPr>
      <w:pBdr>
        <w:top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83">
    <w:name w:val="xl183"/>
    <w:basedOn w:val="Normal"/>
    <w:rsid w:val="006D6D09"/>
    <w:pPr>
      <w:pBdr>
        <w:top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84">
    <w:name w:val="xl184"/>
    <w:basedOn w:val="Normal"/>
    <w:rsid w:val="006D6D09"/>
    <w:pPr>
      <w:pBdr>
        <w:top w:val="single" w:sz="8" w:space="0" w:color="auto"/>
        <w:bottom w:val="single" w:sz="4" w:space="0" w:color="auto"/>
        <w:right w:val="single" w:sz="4" w:space="0" w:color="auto"/>
      </w:pBdr>
      <w:shd w:val="clear" w:color="000000" w:fill="DBEFD3"/>
      <w:spacing w:before="100" w:beforeAutospacing="1" w:after="100" w:afterAutospacing="1"/>
      <w:jc w:val="center"/>
      <w:textAlignment w:val="center"/>
    </w:pPr>
    <w:rPr>
      <w:rFonts w:eastAsia="Times New Roman" w:cs="Calibri"/>
      <w:b/>
      <w:bCs/>
      <w:sz w:val="26"/>
      <w:szCs w:val="26"/>
      <w:lang w:eastAsia="fr-FR"/>
    </w:rPr>
  </w:style>
  <w:style w:type="paragraph" w:customStyle="1" w:styleId="xl185">
    <w:name w:val="xl185"/>
    <w:basedOn w:val="Normal"/>
    <w:rsid w:val="006D6D09"/>
    <w:pPr>
      <w:pBdr>
        <w:top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sz w:val="24"/>
      <w:szCs w:val="24"/>
      <w:lang w:eastAsia="fr-FR"/>
    </w:rPr>
  </w:style>
  <w:style w:type="paragraph" w:customStyle="1" w:styleId="xl186">
    <w:name w:val="xl186"/>
    <w:basedOn w:val="Normal"/>
    <w:rsid w:val="006D6D09"/>
    <w:pPr>
      <w:pBdr>
        <w:top w:val="single" w:sz="4" w:space="0" w:color="auto"/>
        <w:bottom w:val="single" w:sz="8" w:space="0" w:color="auto"/>
        <w:right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87">
    <w:name w:val="xl187"/>
    <w:basedOn w:val="Normal"/>
    <w:rsid w:val="006D6D09"/>
    <w:pPr>
      <w:pBdr>
        <w:top w:val="single" w:sz="4" w:space="0" w:color="auto"/>
        <w:right w:val="single" w:sz="4" w:space="0" w:color="auto"/>
      </w:pBdr>
      <w:spacing w:before="100" w:beforeAutospacing="1" w:after="100" w:afterAutospacing="1"/>
      <w:textAlignment w:val="center"/>
    </w:pPr>
    <w:rPr>
      <w:rFonts w:eastAsia="Times New Roman" w:cs="Calibri"/>
      <w:b/>
      <w:bCs/>
      <w:sz w:val="24"/>
      <w:szCs w:val="24"/>
      <w:lang w:eastAsia="fr-FR"/>
    </w:rPr>
  </w:style>
  <w:style w:type="paragraph" w:customStyle="1" w:styleId="xl188">
    <w:name w:val="xl188"/>
    <w:basedOn w:val="Normal"/>
    <w:rsid w:val="006D6D09"/>
    <w:pPr>
      <w:pBdr>
        <w:left w:val="single" w:sz="8" w:space="0" w:color="auto"/>
        <w:bottom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189">
    <w:name w:val="xl189"/>
    <w:basedOn w:val="Normal"/>
    <w:rsid w:val="006D6D09"/>
    <w:pPr>
      <w:pBdr>
        <w:bottom w:val="single" w:sz="8"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190">
    <w:name w:val="xl190"/>
    <w:basedOn w:val="Normal"/>
    <w:rsid w:val="006D6D09"/>
    <w:pPr>
      <w:pBdr>
        <w:right w:val="single" w:sz="8" w:space="0" w:color="auto"/>
      </w:pBdr>
      <w:shd w:val="clear" w:color="000000" w:fill="678A26"/>
      <w:spacing w:before="100" w:beforeAutospacing="1" w:after="100" w:afterAutospacing="1"/>
      <w:textAlignment w:val="center"/>
    </w:pPr>
    <w:rPr>
      <w:rFonts w:eastAsia="Times New Roman" w:cs="Calibri"/>
      <w:b/>
      <w:bCs/>
      <w:color w:val="FFFFFF"/>
      <w:lang w:eastAsia="fr-FR"/>
    </w:rPr>
  </w:style>
  <w:style w:type="paragraph" w:customStyle="1" w:styleId="xl191">
    <w:name w:val="xl191"/>
    <w:basedOn w:val="Normal"/>
    <w:rsid w:val="006D6D09"/>
    <w:pPr>
      <w:pBdr>
        <w:left w:val="single" w:sz="8" w:space="0" w:color="auto"/>
        <w:bottom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92">
    <w:name w:val="xl192"/>
    <w:basedOn w:val="Normal"/>
    <w:rsid w:val="006D6D09"/>
    <w:pPr>
      <w:pBdr>
        <w:bottom w:val="single" w:sz="4" w:space="0" w:color="auto"/>
        <w:right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193">
    <w:name w:val="xl193"/>
    <w:basedOn w:val="Normal"/>
    <w:rsid w:val="006D6D09"/>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194">
    <w:name w:val="xl194"/>
    <w:basedOn w:val="Normal"/>
    <w:rsid w:val="006D6D09"/>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195">
    <w:name w:val="xl195"/>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96">
    <w:name w:val="xl196"/>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197">
    <w:name w:val="xl197"/>
    <w:basedOn w:val="Normal"/>
    <w:rsid w:val="006D6D09"/>
    <w:pPr>
      <w:shd w:val="clear" w:color="000000" w:fill="678A26"/>
      <w:spacing w:before="100" w:beforeAutospacing="1" w:after="100" w:afterAutospacing="1"/>
      <w:jc w:val="center"/>
      <w:textAlignment w:val="center"/>
    </w:pPr>
    <w:rPr>
      <w:rFonts w:eastAsia="Times New Roman" w:cs="Calibri"/>
      <w:b/>
      <w:bCs/>
      <w:color w:val="FFFFFF"/>
      <w:lang w:eastAsia="fr-FR"/>
    </w:rPr>
  </w:style>
  <w:style w:type="paragraph" w:customStyle="1" w:styleId="xl198">
    <w:name w:val="xl198"/>
    <w:basedOn w:val="Normal"/>
    <w:rsid w:val="006D6D09"/>
    <w:pPr>
      <w:pBdr>
        <w:top w:val="single" w:sz="8" w:space="0" w:color="auto"/>
      </w:pBdr>
      <w:shd w:val="clear" w:color="000000" w:fill="678A26"/>
      <w:spacing w:before="100" w:beforeAutospacing="1" w:after="100" w:afterAutospacing="1"/>
      <w:jc w:val="center"/>
      <w:textAlignment w:val="center"/>
    </w:pPr>
    <w:rPr>
      <w:rFonts w:eastAsia="Times New Roman" w:cs="Calibri"/>
      <w:b/>
      <w:bCs/>
      <w:color w:val="FFFFFF"/>
      <w:lang w:eastAsia="fr-FR"/>
    </w:rPr>
  </w:style>
  <w:style w:type="paragraph" w:customStyle="1" w:styleId="xl199">
    <w:name w:val="xl199"/>
    <w:basedOn w:val="Normal"/>
    <w:rsid w:val="006D6D09"/>
    <w:pPr>
      <w:pBdr>
        <w:top w:val="single" w:sz="8" w:space="0" w:color="auto"/>
        <w:left w:val="single" w:sz="4" w:space="0" w:color="auto"/>
        <w:right w:val="single" w:sz="4" w:space="0" w:color="auto"/>
      </w:pBdr>
      <w:shd w:val="clear" w:color="000000" w:fill="678A26"/>
      <w:spacing w:before="100" w:beforeAutospacing="1" w:after="100" w:afterAutospacing="1"/>
      <w:jc w:val="center"/>
      <w:textAlignment w:val="center"/>
    </w:pPr>
    <w:rPr>
      <w:rFonts w:eastAsia="Times New Roman" w:cs="Calibri"/>
      <w:b/>
      <w:bCs/>
      <w:color w:val="FFFFFF"/>
      <w:lang w:eastAsia="fr-FR"/>
    </w:rPr>
  </w:style>
  <w:style w:type="paragraph" w:customStyle="1" w:styleId="xl200">
    <w:name w:val="xl200"/>
    <w:basedOn w:val="Normal"/>
    <w:rsid w:val="006D6D09"/>
    <w:pPr>
      <w:pBdr>
        <w:top w:val="single" w:sz="8" w:space="0" w:color="auto"/>
        <w:left w:val="single" w:sz="4"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201">
    <w:name w:val="xl201"/>
    <w:basedOn w:val="Normal"/>
    <w:rsid w:val="006D6D09"/>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202">
    <w:name w:val="xl202"/>
    <w:basedOn w:val="Normal"/>
    <w:rsid w:val="006D6D09"/>
    <w:pPr>
      <w:pBdr>
        <w:top w:val="single" w:sz="4" w:space="0" w:color="auto"/>
        <w:left w:val="single" w:sz="4" w:space="0" w:color="auto"/>
        <w:bottom w:val="single" w:sz="8"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203">
    <w:name w:val="xl203"/>
    <w:basedOn w:val="Normal"/>
    <w:rsid w:val="006D6D09"/>
    <w:pPr>
      <w:pBdr>
        <w:top w:val="single" w:sz="4" w:space="0" w:color="auto"/>
        <w:bottom w:val="single" w:sz="4" w:space="0" w:color="auto"/>
        <w:right w:val="single" w:sz="4" w:space="0" w:color="auto"/>
      </w:pBdr>
      <w:shd w:val="clear" w:color="000000" w:fill="FEFDD7"/>
      <w:spacing w:before="100" w:beforeAutospacing="1" w:after="100" w:afterAutospacing="1"/>
      <w:jc w:val="center"/>
      <w:textAlignment w:val="center"/>
    </w:pPr>
    <w:rPr>
      <w:rFonts w:eastAsia="Times New Roman" w:cs="Calibri"/>
      <w:sz w:val="24"/>
      <w:szCs w:val="24"/>
      <w:lang w:eastAsia="fr-FR"/>
    </w:rPr>
  </w:style>
  <w:style w:type="paragraph" w:customStyle="1" w:styleId="xl204">
    <w:name w:val="xl204"/>
    <w:basedOn w:val="Normal"/>
    <w:rsid w:val="006D6D09"/>
    <w:pPr>
      <w:pBdr>
        <w:top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sz w:val="24"/>
      <w:szCs w:val="24"/>
      <w:lang w:eastAsia="fr-FR"/>
    </w:rPr>
  </w:style>
  <w:style w:type="paragraph" w:customStyle="1" w:styleId="xl205">
    <w:name w:val="xl205"/>
    <w:basedOn w:val="Normal"/>
    <w:rsid w:val="006D6D09"/>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06">
    <w:name w:val="xl206"/>
    <w:basedOn w:val="Normal"/>
    <w:rsid w:val="006D6D0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07">
    <w:name w:val="xl207"/>
    <w:basedOn w:val="Normal"/>
    <w:rsid w:val="006D6D09"/>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08">
    <w:name w:val="xl208"/>
    <w:basedOn w:val="Normal"/>
    <w:rsid w:val="006D6D09"/>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209">
    <w:name w:val="xl209"/>
    <w:basedOn w:val="Normal"/>
    <w:rsid w:val="006D6D09"/>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10">
    <w:name w:val="xl210"/>
    <w:basedOn w:val="Normal"/>
    <w:rsid w:val="006D6D09"/>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11">
    <w:name w:val="xl211"/>
    <w:basedOn w:val="Normal"/>
    <w:rsid w:val="006D6D09"/>
    <w:pPr>
      <w:pBdr>
        <w:top w:val="single" w:sz="4" w:space="0" w:color="auto"/>
        <w:lef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12">
    <w:name w:val="xl212"/>
    <w:basedOn w:val="Normal"/>
    <w:rsid w:val="006D6D09"/>
    <w:pPr>
      <w:pBdr>
        <w:top w:val="single" w:sz="4" w:space="0" w:color="auto"/>
        <w:left w:val="single" w:sz="4" w:space="0" w:color="auto"/>
        <w:right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213">
    <w:name w:val="xl213"/>
    <w:basedOn w:val="Normal"/>
    <w:rsid w:val="006D6D09"/>
    <w:pPr>
      <w:pBdr>
        <w:top w:val="single" w:sz="8" w:space="0" w:color="auto"/>
        <w:left w:val="single" w:sz="8"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14">
    <w:name w:val="xl214"/>
    <w:basedOn w:val="Normal"/>
    <w:rsid w:val="006D6D09"/>
    <w:pPr>
      <w:pBdr>
        <w:top w:val="single" w:sz="8" w:space="0" w:color="auto"/>
        <w:left w:val="single" w:sz="4"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15">
    <w:name w:val="xl215"/>
    <w:basedOn w:val="Normal"/>
    <w:rsid w:val="006D6D09"/>
    <w:pPr>
      <w:pBdr>
        <w:top w:val="single" w:sz="8" w:space="0" w:color="auto"/>
        <w:left w:val="single" w:sz="4" w:space="0" w:color="auto"/>
        <w:bottom w:val="single" w:sz="4" w:space="0" w:color="auto"/>
        <w:right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16">
    <w:name w:val="xl216"/>
    <w:basedOn w:val="Normal"/>
    <w:rsid w:val="006D6D09"/>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17">
    <w:name w:val="xl217"/>
    <w:basedOn w:val="Normal"/>
    <w:rsid w:val="006D6D09"/>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18">
    <w:name w:val="xl218"/>
    <w:basedOn w:val="Normal"/>
    <w:rsid w:val="006D6D09"/>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cs="Calibri"/>
      <w:sz w:val="24"/>
      <w:szCs w:val="24"/>
      <w:lang w:eastAsia="fr-FR"/>
    </w:rPr>
  </w:style>
  <w:style w:type="paragraph" w:customStyle="1" w:styleId="xl219">
    <w:name w:val="xl219"/>
    <w:basedOn w:val="Normal"/>
    <w:rsid w:val="006D6D09"/>
    <w:pPr>
      <w:pBdr>
        <w:left w:val="single" w:sz="8"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20">
    <w:name w:val="xl220"/>
    <w:basedOn w:val="Normal"/>
    <w:rsid w:val="006D6D09"/>
    <w:pPr>
      <w:pBdr>
        <w:left w:val="single" w:sz="4"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21">
    <w:name w:val="xl221"/>
    <w:basedOn w:val="Normal"/>
    <w:rsid w:val="006D6D09"/>
    <w:pPr>
      <w:pBdr>
        <w:left w:val="single" w:sz="4" w:space="0" w:color="auto"/>
        <w:bottom w:val="single" w:sz="4" w:space="0" w:color="auto"/>
        <w:right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22">
    <w:name w:val="xl222"/>
    <w:basedOn w:val="Normal"/>
    <w:rsid w:val="006D6D09"/>
    <w:pPr>
      <w:pBdr>
        <w:left w:val="single" w:sz="4" w:space="0" w:color="auto"/>
        <w:bottom w:val="single" w:sz="8" w:space="0" w:color="auto"/>
        <w:right w:val="single" w:sz="4" w:space="0" w:color="auto"/>
      </w:pBdr>
      <w:spacing w:before="100" w:beforeAutospacing="1" w:after="100" w:afterAutospacing="1"/>
      <w:textAlignment w:val="center"/>
    </w:pPr>
    <w:rPr>
      <w:rFonts w:eastAsia="Times New Roman" w:cs="Calibri"/>
      <w:sz w:val="24"/>
      <w:szCs w:val="24"/>
      <w:lang w:eastAsia="fr-FR"/>
    </w:rPr>
  </w:style>
  <w:style w:type="paragraph" w:customStyle="1" w:styleId="xl223">
    <w:name w:val="xl223"/>
    <w:basedOn w:val="Normal"/>
    <w:rsid w:val="006D6D09"/>
    <w:pPr>
      <w:pBdr>
        <w:top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24">
    <w:name w:val="xl224"/>
    <w:basedOn w:val="Normal"/>
    <w:rsid w:val="006D6D09"/>
    <w:pPr>
      <w:pBdr>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25">
    <w:name w:val="xl225"/>
    <w:basedOn w:val="Normal"/>
    <w:rsid w:val="006D6D09"/>
    <w:pPr>
      <w:pBdr>
        <w:bottom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26">
    <w:name w:val="xl226"/>
    <w:basedOn w:val="Normal"/>
    <w:rsid w:val="006D6D09"/>
    <w:pPr>
      <w:pBdr>
        <w:top w:val="single" w:sz="8" w:space="0" w:color="auto"/>
        <w:left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16"/>
      <w:szCs w:val="16"/>
      <w:lang w:eastAsia="fr-FR"/>
    </w:rPr>
  </w:style>
  <w:style w:type="paragraph" w:customStyle="1" w:styleId="xl227">
    <w:name w:val="xl227"/>
    <w:basedOn w:val="Normal"/>
    <w:rsid w:val="006D6D09"/>
    <w:pPr>
      <w:pBdr>
        <w:left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16"/>
      <w:szCs w:val="16"/>
      <w:lang w:eastAsia="fr-FR"/>
    </w:rPr>
  </w:style>
  <w:style w:type="paragraph" w:customStyle="1" w:styleId="xl228">
    <w:name w:val="xl228"/>
    <w:basedOn w:val="Normal"/>
    <w:rsid w:val="006D6D09"/>
    <w:pPr>
      <w:pBdr>
        <w:left w:val="single" w:sz="8" w:space="0" w:color="auto"/>
        <w:bottom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16"/>
      <w:szCs w:val="16"/>
      <w:lang w:eastAsia="fr-FR"/>
    </w:rPr>
  </w:style>
  <w:style w:type="paragraph" w:customStyle="1" w:styleId="xl229">
    <w:name w:val="xl229"/>
    <w:basedOn w:val="Normal"/>
    <w:rsid w:val="006D6D09"/>
    <w:pPr>
      <w:pBdr>
        <w:top w:val="single" w:sz="8" w:space="0" w:color="auto"/>
        <w:left w:val="single" w:sz="4"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16"/>
      <w:szCs w:val="16"/>
      <w:lang w:eastAsia="fr-FR"/>
    </w:rPr>
  </w:style>
  <w:style w:type="paragraph" w:customStyle="1" w:styleId="xl230">
    <w:name w:val="xl230"/>
    <w:basedOn w:val="Normal"/>
    <w:rsid w:val="006D6D09"/>
    <w:pPr>
      <w:pBdr>
        <w:left w:val="single" w:sz="4"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16"/>
      <w:szCs w:val="16"/>
      <w:lang w:eastAsia="fr-FR"/>
    </w:rPr>
  </w:style>
  <w:style w:type="paragraph" w:customStyle="1" w:styleId="xl231">
    <w:name w:val="xl231"/>
    <w:basedOn w:val="Normal"/>
    <w:rsid w:val="006D6D09"/>
    <w:pPr>
      <w:pBdr>
        <w:left w:val="single" w:sz="4" w:space="0" w:color="auto"/>
        <w:bottom w:val="single" w:sz="8" w:space="0" w:color="auto"/>
        <w:right w:val="single" w:sz="4" w:space="0" w:color="auto"/>
      </w:pBdr>
      <w:shd w:val="clear" w:color="000000" w:fill="3F752B"/>
      <w:spacing w:before="100" w:beforeAutospacing="1" w:after="100" w:afterAutospacing="1"/>
      <w:jc w:val="center"/>
      <w:textAlignment w:val="top"/>
    </w:pPr>
    <w:rPr>
      <w:rFonts w:eastAsia="Times New Roman" w:cs="Calibri"/>
      <w:b/>
      <w:bCs/>
      <w:color w:val="FFFFFF"/>
      <w:sz w:val="16"/>
      <w:szCs w:val="16"/>
      <w:lang w:eastAsia="fr-FR"/>
    </w:rPr>
  </w:style>
  <w:style w:type="paragraph" w:customStyle="1" w:styleId="xl232">
    <w:name w:val="xl232"/>
    <w:basedOn w:val="Normal"/>
    <w:rsid w:val="006D6D09"/>
    <w:pPr>
      <w:pBdr>
        <w:top w:val="single" w:sz="8" w:space="0" w:color="auto"/>
        <w:left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33">
    <w:name w:val="xl233"/>
    <w:basedOn w:val="Normal"/>
    <w:rsid w:val="006D6D09"/>
    <w:pPr>
      <w:pBdr>
        <w:left w:val="single" w:sz="4"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34">
    <w:name w:val="xl234"/>
    <w:basedOn w:val="Normal"/>
    <w:rsid w:val="006D6D09"/>
    <w:pPr>
      <w:pBdr>
        <w:left w:val="single" w:sz="4" w:space="0" w:color="auto"/>
        <w:bottom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35">
    <w:name w:val="xl235"/>
    <w:basedOn w:val="Normal"/>
    <w:rsid w:val="006D6D09"/>
    <w:pPr>
      <w:pBdr>
        <w:top w:val="single" w:sz="8" w:space="0" w:color="auto"/>
        <w:lef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36">
    <w:name w:val="xl236"/>
    <w:basedOn w:val="Normal"/>
    <w:rsid w:val="006D6D09"/>
    <w:pPr>
      <w:pBdr>
        <w:lef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37">
    <w:name w:val="xl237"/>
    <w:basedOn w:val="Normal"/>
    <w:rsid w:val="006D6D09"/>
    <w:pPr>
      <w:pBdr>
        <w:left w:val="single" w:sz="4" w:space="0" w:color="auto"/>
        <w:bottom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38">
    <w:name w:val="xl238"/>
    <w:basedOn w:val="Normal"/>
    <w:rsid w:val="006D6D09"/>
    <w:pPr>
      <w:pBdr>
        <w:top w:val="single" w:sz="4" w:space="0" w:color="auto"/>
        <w:lef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39">
    <w:name w:val="xl239"/>
    <w:basedOn w:val="Normal"/>
    <w:rsid w:val="006D6D09"/>
    <w:pPr>
      <w:pBdr>
        <w:top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40">
    <w:name w:val="xl240"/>
    <w:basedOn w:val="Normal"/>
    <w:rsid w:val="006D6D09"/>
    <w:pPr>
      <w:pBdr>
        <w:top w:val="single" w:sz="8" w:space="0" w:color="auto"/>
        <w:right w:val="single" w:sz="8" w:space="0" w:color="auto"/>
      </w:pBdr>
      <w:shd w:val="clear" w:color="000000" w:fill="3F752B"/>
      <w:spacing w:before="100" w:beforeAutospacing="1" w:after="100" w:afterAutospacing="1"/>
      <w:jc w:val="center"/>
      <w:textAlignment w:val="center"/>
    </w:pPr>
    <w:rPr>
      <w:rFonts w:eastAsia="Times New Roman" w:cs="Calibri"/>
      <w:color w:val="FFFFFF"/>
      <w:sz w:val="24"/>
      <w:szCs w:val="24"/>
      <w:lang w:eastAsia="fr-FR"/>
    </w:rPr>
  </w:style>
  <w:style w:type="paragraph" w:customStyle="1" w:styleId="xl241">
    <w:name w:val="xl241"/>
    <w:basedOn w:val="Normal"/>
    <w:rsid w:val="006D6D09"/>
    <w:pPr>
      <w:pBdr>
        <w:right w:val="single" w:sz="8" w:space="0" w:color="auto"/>
      </w:pBdr>
      <w:shd w:val="clear" w:color="000000" w:fill="3F752B"/>
      <w:spacing w:before="100" w:beforeAutospacing="1" w:after="100" w:afterAutospacing="1"/>
      <w:jc w:val="center"/>
      <w:textAlignment w:val="center"/>
    </w:pPr>
    <w:rPr>
      <w:rFonts w:eastAsia="Times New Roman" w:cs="Calibri"/>
      <w:color w:val="FFFFFF"/>
      <w:sz w:val="24"/>
      <w:szCs w:val="24"/>
      <w:lang w:eastAsia="fr-FR"/>
    </w:rPr>
  </w:style>
  <w:style w:type="paragraph" w:customStyle="1" w:styleId="xl242">
    <w:name w:val="xl242"/>
    <w:basedOn w:val="Normal"/>
    <w:rsid w:val="006D6D09"/>
    <w:pPr>
      <w:pBdr>
        <w:bottom w:val="single" w:sz="8" w:space="0" w:color="auto"/>
        <w:right w:val="single" w:sz="8" w:space="0" w:color="auto"/>
      </w:pBdr>
      <w:shd w:val="clear" w:color="000000" w:fill="3F752B"/>
      <w:spacing w:before="100" w:beforeAutospacing="1" w:after="100" w:afterAutospacing="1"/>
      <w:jc w:val="center"/>
      <w:textAlignment w:val="center"/>
    </w:pPr>
    <w:rPr>
      <w:rFonts w:eastAsia="Times New Roman" w:cs="Calibri"/>
      <w:color w:val="FFFFFF"/>
      <w:sz w:val="24"/>
      <w:szCs w:val="24"/>
      <w:lang w:eastAsia="fr-FR"/>
    </w:rPr>
  </w:style>
  <w:style w:type="paragraph" w:customStyle="1" w:styleId="xl243">
    <w:name w:val="xl243"/>
    <w:basedOn w:val="Normal"/>
    <w:rsid w:val="006D6D09"/>
    <w:pPr>
      <w:pBdr>
        <w:left w:val="single" w:sz="8" w:space="0" w:color="auto"/>
      </w:pBdr>
      <w:shd w:val="clear" w:color="000000" w:fill="DBEFD3"/>
      <w:spacing w:before="100" w:beforeAutospacing="1" w:after="100" w:afterAutospacing="1"/>
      <w:jc w:val="right"/>
      <w:textAlignment w:val="center"/>
    </w:pPr>
    <w:rPr>
      <w:rFonts w:eastAsia="Times New Roman" w:cs="Calibri"/>
      <w:b/>
      <w:bCs/>
      <w:sz w:val="26"/>
      <w:szCs w:val="26"/>
      <w:lang w:eastAsia="fr-FR"/>
    </w:rPr>
  </w:style>
  <w:style w:type="paragraph" w:customStyle="1" w:styleId="xl244">
    <w:name w:val="xl244"/>
    <w:basedOn w:val="Normal"/>
    <w:rsid w:val="006D6D09"/>
    <w:pPr>
      <w:shd w:val="clear" w:color="000000" w:fill="DBEFD3"/>
      <w:spacing w:before="100" w:beforeAutospacing="1" w:after="100" w:afterAutospacing="1"/>
      <w:jc w:val="right"/>
      <w:textAlignment w:val="center"/>
    </w:pPr>
    <w:rPr>
      <w:rFonts w:eastAsia="Times New Roman" w:cs="Calibri"/>
      <w:b/>
      <w:bCs/>
      <w:sz w:val="26"/>
      <w:szCs w:val="26"/>
      <w:lang w:eastAsia="fr-FR"/>
    </w:rPr>
  </w:style>
  <w:style w:type="paragraph" w:customStyle="1" w:styleId="xl245">
    <w:name w:val="xl245"/>
    <w:basedOn w:val="Normal"/>
    <w:rsid w:val="006D6D09"/>
    <w:pPr>
      <w:pBdr>
        <w:top w:val="single" w:sz="4" w:space="0" w:color="auto"/>
        <w:right w:val="single" w:sz="8"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46">
    <w:name w:val="xl246"/>
    <w:basedOn w:val="Normal"/>
    <w:rsid w:val="006D6D09"/>
    <w:pPr>
      <w:pBdr>
        <w:top w:val="single" w:sz="8" w:space="0" w:color="auto"/>
        <w:left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47">
    <w:name w:val="xl247"/>
    <w:basedOn w:val="Normal"/>
    <w:rsid w:val="006D6D09"/>
    <w:pPr>
      <w:pBdr>
        <w:left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48">
    <w:name w:val="xl248"/>
    <w:basedOn w:val="Normal"/>
    <w:rsid w:val="006D6D09"/>
    <w:pPr>
      <w:pBdr>
        <w:left w:val="single" w:sz="8" w:space="0" w:color="auto"/>
        <w:bottom w:val="single" w:sz="8" w:space="0" w:color="auto"/>
        <w:right w:val="single" w:sz="4" w:space="0" w:color="auto"/>
      </w:pBdr>
      <w:shd w:val="clear" w:color="000000" w:fill="3F752B"/>
      <w:spacing w:before="100" w:beforeAutospacing="1" w:after="100" w:afterAutospacing="1"/>
      <w:jc w:val="center"/>
      <w:textAlignment w:val="center"/>
    </w:pPr>
    <w:rPr>
      <w:rFonts w:eastAsia="Times New Roman" w:cs="Calibri"/>
      <w:b/>
      <w:bCs/>
      <w:color w:val="FFFFFF"/>
      <w:sz w:val="24"/>
      <w:szCs w:val="24"/>
      <w:lang w:eastAsia="fr-FR"/>
    </w:rPr>
  </w:style>
  <w:style w:type="paragraph" w:customStyle="1" w:styleId="xl249">
    <w:name w:val="xl249"/>
    <w:basedOn w:val="Normal"/>
    <w:rsid w:val="006D6D09"/>
    <w:pPr>
      <w:pBdr>
        <w:top w:val="single" w:sz="8" w:space="0" w:color="auto"/>
        <w:left w:val="single" w:sz="8" w:space="0" w:color="auto"/>
        <w:bottom w:val="single" w:sz="4" w:space="0" w:color="auto"/>
      </w:pBdr>
      <w:shd w:val="clear" w:color="000000" w:fill="3F752B"/>
      <w:spacing w:before="100" w:beforeAutospacing="1" w:after="100" w:afterAutospacing="1"/>
    </w:pPr>
    <w:rPr>
      <w:rFonts w:eastAsia="Times New Roman" w:cs="Calibri"/>
      <w:b/>
      <w:bCs/>
      <w:color w:val="FFFFFF"/>
      <w:sz w:val="24"/>
      <w:szCs w:val="24"/>
      <w:lang w:eastAsia="fr-FR"/>
    </w:rPr>
  </w:style>
  <w:style w:type="paragraph" w:customStyle="1" w:styleId="xl250">
    <w:name w:val="xl250"/>
    <w:basedOn w:val="Normal"/>
    <w:rsid w:val="006D6D09"/>
    <w:pPr>
      <w:pBdr>
        <w:top w:val="single" w:sz="8" w:space="0" w:color="auto"/>
        <w:bottom w:val="single" w:sz="4" w:space="0" w:color="auto"/>
      </w:pBdr>
      <w:shd w:val="clear" w:color="000000" w:fill="3F752B"/>
      <w:spacing w:before="100" w:beforeAutospacing="1" w:after="100" w:afterAutospacing="1"/>
    </w:pPr>
    <w:rPr>
      <w:rFonts w:eastAsia="Times New Roman" w:cs="Calibri"/>
      <w:b/>
      <w:bCs/>
      <w:color w:val="FFFFFF"/>
      <w:sz w:val="24"/>
      <w:szCs w:val="24"/>
      <w:lang w:eastAsia="fr-FR"/>
    </w:rPr>
  </w:style>
  <w:style w:type="paragraph" w:customStyle="1" w:styleId="xl251">
    <w:name w:val="xl251"/>
    <w:basedOn w:val="Normal"/>
    <w:rsid w:val="006D6D09"/>
    <w:pPr>
      <w:pBdr>
        <w:top w:val="single" w:sz="8" w:space="0" w:color="auto"/>
        <w:bottom w:val="single" w:sz="4" w:space="0" w:color="auto"/>
        <w:right w:val="single" w:sz="8" w:space="0" w:color="auto"/>
      </w:pBdr>
      <w:shd w:val="clear" w:color="000000" w:fill="3F752B"/>
      <w:spacing w:before="100" w:beforeAutospacing="1" w:after="100" w:afterAutospacing="1"/>
    </w:pPr>
    <w:rPr>
      <w:rFonts w:eastAsia="Times New Roman" w:cs="Calibri"/>
      <w:b/>
      <w:bCs/>
      <w:color w:val="FFFFFF"/>
      <w:sz w:val="24"/>
      <w:szCs w:val="24"/>
      <w:lang w:eastAsia="fr-FR"/>
    </w:rPr>
  </w:style>
  <w:style w:type="paragraph" w:customStyle="1" w:styleId="xl252">
    <w:name w:val="xl252"/>
    <w:basedOn w:val="Normal"/>
    <w:rsid w:val="006D6D09"/>
    <w:pPr>
      <w:pBdr>
        <w:top w:val="single" w:sz="4" w:space="0" w:color="auto"/>
        <w:left w:val="single" w:sz="8"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53">
    <w:name w:val="xl253"/>
    <w:basedOn w:val="Normal"/>
    <w:rsid w:val="006D6D09"/>
    <w:pPr>
      <w:pBdr>
        <w:top w:val="single" w:sz="4" w:space="0" w:color="auto"/>
        <w:left w:val="single" w:sz="4" w:space="0" w:color="auto"/>
        <w:bottom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54">
    <w:name w:val="xl254"/>
    <w:basedOn w:val="Normal"/>
    <w:rsid w:val="006D6D09"/>
    <w:pPr>
      <w:pBdr>
        <w:top w:val="single" w:sz="4" w:space="0" w:color="auto"/>
        <w:left w:val="single" w:sz="4" w:space="0" w:color="auto"/>
        <w:bottom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55">
    <w:name w:val="xl255"/>
    <w:basedOn w:val="Normal"/>
    <w:rsid w:val="006D6D09"/>
    <w:pPr>
      <w:pBdr>
        <w:top w:val="single" w:sz="4" w:space="0" w:color="auto"/>
        <w:left w:val="single" w:sz="8" w:space="0" w:color="auto"/>
        <w:bottom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56">
    <w:name w:val="xl256"/>
    <w:basedOn w:val="Normal"/>
    <w:rsid w:val="006D6D09"/>
    <w:pPr>
      <w:pBdr>
        <w:top w:val="single" w:sz="4" w:space="0" w:color="auto"/>
        <w:left w:val="single" w:sz="4" w:space="0" w:color="auto"/>
        <w:bottom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57">
    <w:name w:val="xl257"/>
    <w:basedOn w:val="Normal"/>
    <w:rsid w:val="006D6D09"/>
    <w:pPr>
      <w:pBdr>
        <w:top w:val="single" w:sz="4" w:space="0" w:color="auto"/>
        <w:left w:val="single" w:sz="4" w:space="0" w:color="auto"/>
        <w:bottom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58">
    <w:name w:val="xl258"/>
    <w:basedOn w:val="Normal"/>
    <w:rsid w:val="006D6D09"/>
    <w:pPr>
      <w:pBdr>
        <w:top w:val="single" w:sz="8" w:space="0" w:color="auto"/>
        <w:left w:val="single" w:sz="8"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18"/>
      <w:szCs w:val="18"/>
      <w:lang w:eastAsia="fr-FR"/>
    </w:rPr>
  </w:style>
  <w:style w:type="paragraph" w:customStyle="1" w:styleId="xl259">
    <w:name w:val="xl259"/>
    <w:basedOn w:val="Normal"/>
    <w:rsid w:val="006D6D09"/>
    <w:pPr>
      <w:pBdr>
        <w:top w:val="single" w:sz="8" w:space="0" w:color="auto"/>
        <w:left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18"/>
      <w:szCs w:val="18"/>
      <w:lang w:eastAsia="fr-FR"/>
    </w:rPr>
  </w:style>
  <w:style w:type="paragraph" w:customStyle="1" w:styleId="xl260">
    <w:name w:val="xl260"/>
    <w:basedOn w:val="Normal"/>
    <w:rsid w:val="006D6D09"/>
    <w:pPr>
      <w:pBdr>
        <w:top w:val="single" w:sz="8" w:space="0" w:color="auto"/>
        <w:left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61">
    <w:name w:val="xl261"/>
    <w:basedOn w:val="Normal"/>
    <w:rsid w:val="006D6D09"/>
    <w:pPr>
      <w:pBdr>
        <w:top w:val="single" w:sz="8" w:space="0" w:color="auto"/>
        <w:left w:val="single" w:sz="4" w:space="0" w:color="auto"/>
        <w:bottom w:val="single" w:sz="4"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62">
    <w:name w:val="xl262"/>
    <w:basedOn w:val="Normal"/>
    <w:rsid w:val="006D6D09"/>
    <w:pPr>
      <w:pBdr>
        <w:top w:val="single" w:sz="8" w:space="0" w:color="auto"/>
        <w:left w:val="single" w:sz="8" w:space="0" w:color="auto"/>
        <w:right w:val="single" w:sz="4" w:space="0" w:color="auto"/>
      </w:pBdr>
      <w:shd w:val="clear" w:color="000000" w:fill="DBEFD3"/>
      <w:spacing w:before="100" w:beforeAutospacing="1" w:after="100" w:afterAutospacing="1"/>
      <w:textAlignment w:val="center"/>
    </w:pPr>
    <w:rPr>
      <w:rFonts w:eastAsia="Times New Roman" w:cs="Calibri"/>
      <w:b/>
      <w:bCs/>
      <w:color w:val="231F20"/>
      <w:sz w:val="26"/>
      <w:szCs w:val="26"/>
      <w:lang w:eastAsia="fr-FR"/>
    </w:rPr>
  </w:style>
  <w:style w:type="paragraph" w:customStyle="1" w:styleId="xl263">
    <w:name w:val="xl263"/>
    <w:basedOn w:val="Normal"/>
    <w:rsid w:val="006D6D09"/>
    <w:pPr>
      <w:pBdr>
        <w:top w:val="single" w:sz="8" w:space="0" w:color="auto"/>
        <w:left w:val="single" w:sz="4" w:space="0" w:color="auto"/>
        <w:right w:val="single" w:sz="4" w:space="0" w:color="auto"/>
      </w:pBdr>
      <w:shd w:val="clear" w:color="000000" w:fill="DBEFD3"/>
      <w:spacing w:before="100" w:beforeAutospacing="1" w:after="100" w:afterAutospacing="1"/>
      <w:textAlignment w:val="center"/>
    </w:pPr>
    <w:rPr>
      <w:rFonts w:eastAsia="Times New Roman" w:cs="Calibri"/>
      <w:b/>
      <w:bCs/>
      <w:color w:val="231F20"/>
      <w:sz w:val="26"/>
      <w:szCs w:val="26"/>
      <w:lang w:eastAsia="fr-FR"/>
    </w:rPr>
  </w:style>
  <w:style w:type="paragraph" w:customStyle="1" w:styleId="xl264">
    <w:name w:val="xl264"/>
    <w:basedOn w:val="Normal"/>
    <w:rsid w:val="006D6D09"/>
    <w:pPr>
      <w:pBdr>
        <w:top w:val="single" w:sz="8" w:space="0" w:color="auto"/>
        <w:left w:val="single" w:sz="4" w:space="0" w:color="auto"/>
      </w:pBdr>
      <w:shd w:val="clear" w:color="000000" w:fill="DBEFD3"/>
      <w:spacing w:before="100" w:beforeAutospacing="1" w:after="100" w:afterAutospacing="1"/>
      <w:textAlignment w:val="center"/>
    </w:pPr>
    <w:rPr>
      <w:rFonts w:eastAsia="Times New Roman" w:cs="Calibri"/>
      <w:b/>
      <w:bCs/>
      <w:color w:val="231F20"/>
      <w:sz w:val="26"/>
      <w:szCs w:val="26"/>
      <w:lang w:eastAsia="fr-FR"/>
    </w:rPr>
  </w:style>
  <w:style w:type="paragraph" w:customStyle="1" w:styleId="xl265">
    <w:name w:val="xl265"/>
    <w:basedOn w:val="Normal"/>
    <w:rsid w:val="006D6D09"/>
    <w:pPr>
      <w:pBdr>
        <w:top w:val="single" w:sz="4" w:space="0" w:color="auto"/>
        <w:left w:val="single" w:sz="8" w:space="0" w:color="auto"/>
        <w:bottom w:val="single" w:sz="8"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18"/>
      <w:szCs w:val="18"/>
      <w:lang w:eastAsia="fr-FR"/>
    </w:rPr>
  </w:style>
  <w:style w:type="paragraph" w:customStyle="1" w:styleId="xl266">
    <w:name w:val="xl266"/>
    <w:basedOn w:val="Normal"/>
    <w:rsid w:val="006D6D09"/>
    <w:pPr>
      <w:pBdr>
        <w:top w:val="single" w:sz="4" w:space="0" w:color="auto"/>
        <w:left w:val="single" w:sz="4" w:space="0" w:color="auto"/>
        <w:bottom w:val="single" w:sz="8" w:space="0" w:color="auto"/>
        <w:right w:val="single" w:sz="4" w:space="0" w:color="auto"/>
      </w:pBdr>
      <w:shd w:val="clear" w:color="000000" w:fill="FEFDD7"/>
      <w:spacing w:before="100" w:beforeAutospacing="1" w:after="100" w:afterAutospacing="1"/>
      <w:textAlignment w:val="top"/>
    </w:pPr>
    <w:rPr>
      <w:rFonts w:eastAsia="Times New Roman" w:cs="Calibri"/>
      <w:b/>
      <w:bCs/>
      <w:color w:val="231F20"/>
      <w:sz w:val="18"/>
      <w:szCs w:val="18"/>
      <w:lang w:eastAsia="fr-FR"/>
    </w:rPr>
  </w:style>
  <w:style w:type="paragraph" w:customStyle="1" w:styleId="xl267">
    <w:name w:val="xl267"/>
    <w:basedOn w:val="Normal"/>
    <w:rsid w:val="006D6D09"/>
    <w:pPr>
      <w:pBdr>
        <w:top w:val="single" w:sz="4" w:space="0" w:color="auto"/>
        <w:left w:val="single" w:sz="4" w:space="0" w:color="auto"/>
        <w:bottom w:val="single" w:sz="8"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68">
    <w:name w:val="xl268"/>
    <w:basedOn w:val="Normal"/>
    <w:rsid w:val="006D6D09"/>
    <w:pPr>
      <w:pBdr>
        <w:top w:val="single" w:sz="4" w:space="0" w:color="auto"/>
        <w:left w:val="single" w:sz="4" w:space="0" w:color="auto"/>
        <w:bottom w:val="single" w:sz="8"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69">
    <w:name w:val="xl269"/>
    <w:basedOn w:val="Normal"/>
    <w:rsid w:val="006D6D09"/>
    <w:pPr>
      <w:pBdr>
        <w:top w:val="single" w:sz="4" w:space="0" w:color="auto"/>
        <w:left w:val="single" w:sz="4" w:space="0" w:color="auto"/>
        <w:bottom w:val="single" w:sz="8" w:space="0" w:color="auto"/>
        <w:right w:val="single" w:sz="4" w:space="0" w:color="auto"/>
      </w:pBdr>
      <w:shd w:val="clear" w:color="000000" w:fill="FEFDD7"/>
      <w:spacing w:before="100" w:beforeAutospacing="1" w:after="100" w:afterAutospacing="1"/>
      <w:textAlignment w:val="top"/>
    </w:pPr>
    <w:rPr>
      <w:rFonts w:eastAsia="Times New Roman" w:cs="Calibri"/>
      <w:color w:val="231F20"/>
      <w:sz w:val="18"/>
      <w:szCs w:val="18"/>
      <w:lang w:eastAsia="fr-FR"/>
    </w:rPr>
  </w:style>
  <w:style w:type="paragraph" w:customStyle="1" w:styleId="xl270">
    <w:name w:val="xl270"/>
    <w:basedOn w:val="Normal"/>
    <w:rsid w:val="006D6D09"/>
    <w:pPr>
      <w:pBdr>
        <w:left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71">
    <w:name w:val="xl271"/>
    <w:basedOn w:val="Normal"/>
    <w:rsid w:val="006D6D09"/>
    <w:pPr>
      <w:pBdr>
        <w:left w:val="single" w:sz="4" w:space="0" w:color="auto"/>
        <w:bottom w:val="single" w:sz="4"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72">
    <w:name w:val="xl272"/>
    <w:basedOn w:val="Normal"/>
    <w:rsid w:val="006D6D09"/>
    <w:pPr>
      <w:pBdr>
        <w:left w:val="single" w:sz="8"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18"/>
      <w:szCs w:val="18"/>
      <w:lang w:eastAsia="fr-FR"/>
    </w:rPr>
  </w:style>
  <w:style w:type="paragraph" w:customStyle="1" w:styleId="xl273">
    <w:name w:val="xl273"/>
    <w:basedOn w:val="Normal"/>
    <w:rsid w:val="006D6D09"/>
    <w:pPr>
      <w:pBdr>
        <w:left w:val="single" w:sz="4" w:space="0" w:color="auto"/>
        <w:bottom w:val="single" w:sz="4" w:space="0" w:color="auto"/>
        <w:right w:val="single" w:sz="4" w:space="0" w:color="auto"/>
      </w:pBdr>
      <w:shd w:val="clear" w:color="000000" w:fill="FEFDD7"/>
      <w:spacing w:before="100" w:beforeAutospacing="1" w:after="100" w:afterAutospacing="1"/>
      <w:textAlignment w:val="top"/>
    </w:pPr>
    <w:rPr>
      <w:rFonts w:eastAsia="Times New Roman" w:cs="Calibri"/>
      <w:color w:val="231F20"/>
      <w:sz w:val="18"/>
      <w:szCs w:val="18"/>
      <w:lang w:eastAsia="fr-FR"/>
    </w:rPr>
  </w:style>
  <w:style w:type="paragraph" w:customStyle="1" w:styleId="xl274">
    <w:name w:val="xl274"/>
    <w:basedOn w:val="Normal"/>
    <w:rsid w:val="006D6D09"/>
    <w:pPr>
      <w:pBdr>
        <w:top w:val="single" w:sz="4" w:space="0" w:color="auto"/>
        <w:left w:val="single" w:sz="8"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18"/>
      <w:szCs w:val="18"/>
      <w:lang w:eastAsia="fr-FR"/>
    </w:rPr>
  </w:style>
  <w:style w:type="paragraph" w:customStyle="1" w:styleId="xl275">
    <w:name w:val="xl275"/>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textAlignment w:val="top"/>
    </w:pPr>
    <w:rPr>
      <w:rFonts w:eastAsia="Times New Roman" w:cs="Calibri"/>
      <w:color w:val="231F20"/>
      <w:sz w:val="18"/>
      <w:szCs w:val="18"/>
      <w:lang w:eastAsia="fr-FR"/>
    </w:rPr>
  </w:style>
  <w:style w:type="paragraph" w:customStyle="1" w:styleId="xl276">
    <w:name w:val="xl276"/>
    <w:basedOn w:val="Normal"/>
    <w:rsid w:val="006D6D09"/>
    <w:pPr>
      <w:pBdr>
        <w:top w:val="single" w:sz="4" w:space="0" w:color="auto"/>
        <w:left w:val="single" w:sz="4" w:space="0" w:color="auto"/>
        <w:bottom w:val="single" w:sz="4"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77">
    <w:name w:val="xl277"/>
    <w:basedOn w:val="Normal"/>
    <w:rsid w:val="006D6D09"/>
    <w:pPr>
      <w:pBdr>
        <w:top w:val="single" w:sz="4" w:space="0" w:color="auto"/>
        <w:left w:val="single" w:sz="4" w:space="0" w:color="auto"/>
        <w:bottom w:val="single" w:sz="4" w:space="0" w:color="auto"/>
      </w:pBdr>
      <w:shd w:val="clear" w:color="000000" w:fill="FEFDD7"/>
      <w:spacing w:before="100" w:beforeAutospacing="1" w:after="100" w:afterAutospacing="1"/>
      <w:textAlignment w:val="center"/>
    </w:pPr>
    <w:rPr>
      <w:rFonts w:eastAsia="Times New Roman" w:cs="Calibri"/>
      <w:b/>
      <w:bCs/>
      <w:color w:val="231F20"/>
      <w:sz w:val="24"/>
      <w:szCs w:val="24"/>
      <w:lang w:eastAsia="fr-FR"/>
    </w:rPr>
  </w:style>
  <w:style w:type="paragraph" w:customStyle="1" w:styleId="xl278">
    <w:name w:val="xl278"/>
    <w:basedOn w:val="Normal"/>
    <w:rsid w:val="006D6D09"/>
    <w:pPr>
      <w:pBdr>
        <w:top w:val="single" w:sz="4" w:space="0" w:color="auto"/>
        <w:left w:val="single" w:sz="8" w:space="0" w:color="auto"/>
        <w:right w:val="single" w:sz="4" w:space="0" w:color="auto"/>
      </w:pBdr>
      <w:shd w:val="clear" w:color="000000" w:fill="FEFDD7"/>
      <w:spacing w:before="100" w:beforeAutospacing="1" w:after="100" w:afterAutospacing="1"/>
      <w:textAlignment w:val="center"/>
    </w:pPr>
    <w:rPr>
      <w:rFonts w:eastAsia="Times New Roman" w:cs="Calibri"/>
      <w:b/>
      <w:bCs/>
      <w:color w:val="231F20"/>
      <w:sz w:val="18"/>
      <w:szCs w:val="18"/>
      <w:lang w:eastAsia="fr-FR"/>
    </w:rPr>
  </w:style>
  <w:style w:type="paragraph" w:customStyle="1" w:styleId="xl279">
    <w:name w:val="xl279"/>
    <w:basedOn w:val="Normal"/>
    <w:rsid w:val="006D6D09"/>
    <w:pPr>
      <w:pBdr>
        <w:top w:val="single" w:sz="4" w:space="0" w:color="auto"/>
        <w:left w:val="single" w:sz="4" w:space="0" w:color="auto"/>
        <w:right w:val="single" w:sz="4" w:space="0" w:color="auto"/>
      </w:pBdr>
      <w:shd w:val="clear" w:color="000000" w:fill="FEFDD7"/>
      <w:spacing w:before="100" w:beforeAutospacing="1" w:after="100" w:afterAutospacing="1"/>
      <w:textAlignment w:val="top"/>
    </w:pPr>
    <w:rPr>
      <w:rFonts w:eastAsia="Times New Roman" w:cs="Calibri"/>
      <w:color w:val="231F20"/>
      <w:sz w:val="18"/>
      <w:szCs w:val="18"/>
      <w:lang w:eastAsia="fr-FR"/>
    </w:rPr>
  </w:style>
  <w:style w:type="paragraph" w:customStyle="1" w:styleId="xl280">
    <w:name w:val="xl280"/>
    <w:basedOn w:val="Normal"/>
    <w:rsid w:val="006D6D09"/>
    <w:pPr>
      <w:pBdr>
        <w:top w:val="single" w:sz="4" w:space="0" w:color="auto"/>
        <w:left w:val="single" w:sz="8" w:space="0" w:color="auto"/>
        <w:bottom w:val="single" w:sz="8" w:space="0" w:color="auto"/>
      </w:pBdr>
      <w:shd w:val="clear" w:color="000000" w:fill="DBEFD3"/>
      <w:spacing w:before="100" w:beforeAutospacing="1" w:after="100" w:afterAutospacing="1"/>
      <w:textAlignment w:val="center"/>
    </w:pPr>
    <w:rPr>
      <w:rFonts w:eastAsia="Times New Roman" w:cs="Calibri"/>
      <w:i/>
      <w:iCs/>
      <w:color w:val="231F20"/>
      <w:sz w:val="24"/>
      <w:szCs w:val="24"/>
      <w:lang w:eastAsia="fr-FR"/>
    </w:rPr>
  </w:style>
  <w:style w:type="paragraph" w:customStyle="1" w:styleId="xl281">
    <w:name w:val="xl281"/>
    <w:basedOn w:val="Normal"/>
    <w:rsid w:val="006D6D09"/>
    <w:pPr>
      <w:pBdr>
        <w:top w:val="single" w:sz="4" w:space="0" w:color="auto"/>
        <w:bottom w:val="single" w:sz="8" w:space="0" w:color="auto"/>
      </w:pBdr>
      <w:shd w:val="clear" w:color="000000" w:fill="DBEFD3"/>
      <w:spacing w:before="100" w:beforeAutospacing="1" w:after="100" w:afterAutospacing="1"/>
      <w:textAlignment w:val="center"/>
    </w:pPr>
    <w:rPr>
      <w:rFonts w:eastAsia="Times New Roman" w:cs="Calibri"/>
      <w:i/>
      <w:iCs/>
      <w:color w:val="231F20"/>
      <w:sz w:val="24"/>
      <w:szCs w:val="24"/>
      <w:lang w:eastAsia="fr-FR"/>
    </w:rPr>
  </w:style>
  <w:style w:type="paragraph" w:customStyle="1" w:styleId="xl282">
    <w:name w:val="xl282"/>
    <w:basedOn w:val="Normal"/>
    <w:rsid w:val="006D6D09"/>
    <w:pPr>
      <w:pBdr>
        <w:top w:val="single" w:sz="4" w:space="0" w:color="auto"/>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i/>
      <w:iCs/>
      <w:color w:val="231F20"/>
      <w:sz w:val="24"/>
      <w:szCs w:val="24"/>
      <w:lang w:eastAsia="fr-FR"/>
    </w:rPr>
  </w:style>
  <w:style w:type="paragraph" w:customStyle="1" w:styleId="xl283">
    <w:name w:val="xl283"/>
    <w:basedOn w:val="Normal"/>
    <w:rsid w:val="006D6D09"/>
    <w:pPr>
      <w:pBdr>
        <w:top w:val="single" w:sz="8" w:space="0" w:color="auto"/>
        <w:left w:val="single" w:sz="8" w:space="0" w:color="auto"/>
        <w:bottom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84">
    <w:name w:val="xl284"/>
    <w:basedOn w:val="Normal"/>
    <w:rsid w:val="006D6D09"/>
    <w:pPr>
      <w:pBdr>
        <w:top w:val="single" w:sz="8" w:space="0" w:color="auto"/>
        <w:bottom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paragraph" w:customStyle="1" w:styleId="xl285">
    <w:name w:val="xl285"/>
    <w:basedOn w:val="Normal"/>
    <w:rsid w:val="006D6D09"/>
    <w:pPr>
      <w:pBdr>
        <w:top w:val="single" w:sz="8" w:space="0" w:color="auto"/>
        <w:bottom w:val="single" w:sz="8" w:space="0" w:color="auto"/>
        <w:right w:val="single" w:sz="8" w:space="0" w:color="auto"/>
      </w:pBdr>
      <w:shd w:val="clear" w:color="000000" w:fill="DBEFD3"/>
      <w:spacing w:before="100" w:beforeAutospacing="1" w:after="100" w:afterAutospacing="1"/>
      <w:textAlignment w:val="center"/>
    </w:pPr>
    <w:rPr>
      <w:rFonts w:eastAsia="Times New Roman" w:cs="Calibri"/>
      <w:b/>
      <w:bCs/>
      <w:sz w:val="26"/>
      <w:szCs w:val="26"/>
      <w:lang w:eastAsia="fr-FR"/>
    </w:rPr>
  </w:style>
  <w:style w:type="table" w:customStyle="1" w:styleId="NatureCoDefaultTable">
    <w:name w:val="NatureCo Default Table"/>
    <w:basedOn w:val="TableauNormal"/>
    <w:uiPriority w:val="99"/>
    <w:rsid w:val="00096644"/>
    <w:pPr>
      <w:spacing w:before="120" w:after="120" w:line="240" w:lineRule="auto"/>
    </w:pPr>
    <w:rPr>
      <w:color w:val="3C3C3B"/>
      <w:sz w:val="18"/>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Theme="majorHAnsi" w:hAnsiTheme="majorHAnsi"/>
        <w:b/>
        <w:color w:val="FFFFFF" w:themeColor="background1"/>
        <w:sz w:val="20"/>
      </w:rPr>
      <w:tblPr/>
      <w:tcPr>
        <w:shd w:val="clear" w:color="auto" w:fill="8AB833" w:themeFill="accent2"/>
      </w:tcPr>
    </w:tblStylePr>
    <w:tblStylePr w:type="firstCol">
      <w:rPr>
        <w:rFonts w:asciiTheme="minorHAnsi" w:hAnsiTheme="minorHAnsi"/>
        <w:b/>
        <w:color w:val="3C3C3B"/>
        <w:sz w:val="18"/>
      </w:rPr>
    </w:tblStylePr>
  </w:style>
  <w:style w:type="paragraph" w:styleId="Tabledesillustrations">
    <w:name w:val="table of figures"/>
    <w:basedOn w:val="Normal"/>
    <w:next w:val="Normal"/>
    <w:uiPriority w:val="99"/>
    <w:unhideWhenUsed/>
    <w:rsid w:val="00904C1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0629">
      <w:bodyDiv w:val="1"/>
      <w:marLeft w:val="0"/>
      <w:marRight w:val="0"/>
      <w:marTop w:val="0"/>
      <w:marBottom w:val="0"/>
      <w:divBdr>
        <w:top w:val="none" w:sz="0" w:space="0" w:color="auto"/>
        <w:left w:val="none" w:sz="0" w:space="0" w:color="auto"/>
        <w:bottom w:val="none" w:sz="0" w:space="0" w:color="auto"/>
        <w:right w:val="none" w:sz="0" w:space="0" w:color="auto"/>
      </w:divBdr>
    </w:div>
    <w:div w:id="128477659">
      <w:bodyDiv w:val="1"/>
      <w:marLeft w:val="0"/>
      <w:marRight w:val="0"/>
      <w:marTop w:val="0"/>
      <w:marBottom w:val="0"/>
      <w:divBdr>
        <w:top w:val="none" w:sz="0" w:space="0" w:color="auto"/>
        <w:left w:val="none" w:sz="0" w:space="0" w:color="auto"/>
        <w:bottom w:val="none" w:sz="0" w:space="0" w:color="auto"/>
        <w:right w:val="none" w:sz="0" w:space="0" w:color="auto"/>
      </w:divBdr>
    </w:div>
    <w:div w:id="184640364">
      <w:bodyDiv w:val="1"/>
      <w:marLeft w:val="0"/>
      <w:marRight w:val="0"/>
      <w:marTop w:val="0"/>
      <w:marBottom w:val="0"/>
      <w:divBdr>
        <w:top w:val="none" w:sz="0" w:space="0" w:color="auto"/>
        <w:left w:val="none" w:sz="0" w:space="0" w:color="auto"/>
        <w:bottom w:val="none" w:sz="0" w:space="0" w:color="auto"/>
        <w:right w:val="none" w:sz="0" w:space="0" w:color="auto"/>
      </w:divBdr>
    </w:div>
    <w:div w:id="321585458">
      <w:bodyDiv w:val="1"/>
      <w:marLeft w:val="0"/>
      <w:marRight w:val="0"/>
      <w:marTop w:val="0"/>
      <w:marBottom w:val="0"/>
      <w:divBdr>
        <w:top w:val="none" w:sz="0" w:space="0" w:color="auto"/>
        <w:left w:val="none" w:sz="0" w:space="0" w:color="auto"/>
        <w:bottom w:val="none" w:sz="0" w:space="0" w:color="auto"/>
        <w:right w:val="none" w:sz="0" w:space="0" w:color="auto"/>
      </w:divBdr>
    </w:div>
    <w:div w:id="488713007">
      <w:bodyDiv w:val="1"/>
      <w:marLeft w:val="0"/>
      <w:marRight w:val="0"/>
      <w:marTop w:val="0"/>
      <w:marBottom w:val="0"/>
      <w:divBdr>
        <w:top w:val="none" w:sz="0" w:space="0" w:color="auto"/>
        <w:left w:val="none" w:sz="0" w:space="0" w:color="auto"/>
        <w:bottom w:val="none" w:sz="0" w:space="0" w:color="auto"/>
        <w:right w:val="none" w:sz="0" w:space="0" w:color="auto"/>
      </w:divBdr>
      <w:divsChild>
        <w:div w:id="1163856233">
          <w:marLeft w:val="0"/>
          <w:marRight w:val="0"/>
          <w:marTop w:val="0"/>
          <w:marBottom w:val="0"/>
          <w:divBdr>
            <w:top w:val="none" w:sz="0" w:space="0" w:color="auto"/>
            <w:left w:val="none" w:sz="0" w:space="0" w:color="auto"/>
            <w:bottom w:val="none" w:sz="0" w:space="0" w:color="auto"/>
            <w:right w:val="none" w:sz="0" w:space="0" w:color="auto"/>
          </w:divBdr>
          <w:divsChild>
            <w:div w:id="1439636420">
              <w:marLeft w:val="0"/>
              <w:marRight w:val="0"/>
              <w:marTop w:val="0"/>
              <w:marBottom w:val="0"/>
              <w:divBdr>
                <w:top w:val="none" w:sz="0" w:space="0" w:color="auto"/>
                <w:left w:val="none" w:sz="0" w:space="0" w:color="auto"/>
                <w:bottom w:val="none" w:sz="0" w:space="0" w:color="auto"/>
                <w:right w:val="none" w:sz="0" w:space="0" w:color="auto"/>
              </w:divBdr>
              <w:divsChild>
                <w:div w:id="156700438">
                  <w:marLeft w:val="0"/>
                  <w:marRight w:val="0"/>
                  <w:marTop w:val="0"/>
                  <w:marBottom w:val="0"/>
                  <w:divBdr>
                    <w:top w:val="none" w:sz="0" w:space="0" w:color="auto"/>
                    <w:left w:val="none" w:sz="0" w:space="0" w:color="auto"/>
                    <w:bottom w:val="none" w:sz="0" w:space="0" w:color="auto"/>
                    <w:right w:val="none" w:sz="0" w:space="0" w:color="auto"/>
                  </w:divBdr>
                  <w:divsChild>
                    <w:div w:id="880165910">
                      <w:marLeft w:val="0"/>
                      <w:marRight w:val="0"/>
                      <w:marTop w:val="0"/>
                      <w:marBottom w:val="0"/>
                      <w:divBdr>
                        <w:top w:val="none" w:sz="0" w:space="0" w:color="auto"/>
                        <w:left w:val="none" w:sz="0" w:space="0" w:color="auto"/>
                        <w:bottom w:val="none" w:sz="0" w:space="0" w:color="auto"/>
                        <w:right w:val="none" w:sz="0" w:space="0" w:color="auto"/>
                      </w:divBdr>
                      <w:divsChild>
                        <w:div w:id="490603245">
                          <w:marLeft w:val="0"/>
                          <w:marRight w:val="0"/>
                          <w:marTop w:val="0"/>
                          <w:marBottom w:val="0"/>
                          <w:divBdr>
                            <w:top w:val="none" w:sz="0" w:space="0" w:color="auto"/>
                            <w:left w:val="none" w:sz="0" w:space="0" w:color="auto"/>
                            <w:bottom w:val="none" w:sz="0" w:space="0" w:color="auto"/>
                            <w:right w:val="none" w:sz="0" w:space="0" w:color="auto"/>
                          </w:divBdr>
                          <w:divsChild>
                            <w:div w:id="695354193">
                              <w:marLeft w:val="0"/>
                              <w:marRight w:val="0"/>
                              <w:marTop w:val="0"/>
                              <w:marBottom w:val="0"/>
                              <w:divBdr>
                                <w:top w:val="none" w:sz="0" w:space="0" w:color="auto"/>
                                <w:left w:val="none" w:sz="0" w:space="0" w:color="auto"/>
                                <w:bottom w:val="none" w:sz="0" w:space="0" w:color="auto"/>
                                <w:right w:val="none" w:sz="0" w:space="0" w:color="auto"/>
                              </w:divBdr>
                              <w:divsChild>
                                <w:div w:id="943002406">
                                  <w:marLeft w:val="0"/>
                                  <w:marRight w:val="0"/>
                                  <w:marTop w:val="0"/>
                                  <w:marBottom w:val="0"/>
                                  <w:divBdr>
                                    <w:top w:val="none" w:sz="0" w:space="0" w:color="auto"/>
                                    <w:left w:val="none" w:sz="0" w:space="0" w:color="auto"/>
                                    <w:bottom w:val="none" w:sz="0" w:space="0" w:color="auto"/>
                                    <w:right w:val="none" w:sz="0" w:space="0" w:color="auto"/>
                                  </w:divBdr>
                                  <w:divsChild>
                                    <w:div w:id="1394238526">
                                      <w:marLeft w:val="0"/>
                                      <w:marRight w:val="0"/>
                                      <w:marTop w:val="0"/>
                                      <w:marBottom w:val="0"/>
                                      <w:divBdr>
                                        <w:top w:val="none" w:sz="0" w:space="0" w:color="auto"/>
                                        <w:left w:val="none" w:sz="0" w:space="0" w:color="auto"/>
                                        <w:bottom w:val="none" w:sz="0" w:space="0" w:color="auto"/>
                                        <w:right w:val="none" w:sz="0" w:space="0" w:color="auto"/>
                                      </w:divBdr>
                                      <w:divsChild>
                                        <w:div w:id="505749628">
                                          <w:marLeft w:val="0"/>
                                          <w:marRight w:val="0"/>
                                          <w:marTop w:val="0"/>
                                          <w:marBottom w:val="0"/>
                                          <w:divBdr>
                                            <w:top w:val="none" w:sz="0" w:space="0" w:color="auto"/>
                                            <w:left w:val="none" w:sz="0" w:space="0" w:color="auto"/>
                                            <w:bottom w:val="none" w:sz="0" w:space="0" w:color="auto"/>
                                            <w:right w:val="none" w:sz="0" w:space="0" w:color="auto"/>
                                          </w:divBdr>
                                          <w:divsChild>
                                            <w:div w:id="783158664">
                                              <w:marLeft w:val="0"/>
                                              <w:marRight w:val="0"/>
                                              <w:marTop w:val="0"/>
                                              <w:marBottom w:val="0"/>
                                              <w:divBdr>
                                                <w:top w:val="none" w:sz="0" w:space="0" w:color="auto"/>
                                                <w:left w:val="none" w:sz="0" w:space="0" w:color="auto"/>
                                                <w:bottom w:val="none" w:sz="0" w:space="0" w:color="auto"/>
                                                <w:right w:val="none" w:sz="0" w:space="0" w:color="auto"/>
                                              </w:divBdr>
                                              <w:divsChild>
                                                <w:div w:id="814446782">
                                                  <w:marLeft w:val="0"/>
                                                  <w:marRight w:val="0"/>
                                                  <w:marTop w:val="0"/>
                                                  <w:marBottom w:val="0"/>
                                                  <w:divBdr>
                                                    <w:top w:val="none" w:sz="0" w:space="0" w:color="auto"/>
                                                    <w:left w:val="none" w:sz="0" w:space="0" w:color="auto"/>
                                                    <w:bottom w:val="none" w:sz="0" w:space="0" w:color="auto"/>
                                                    <w:right w:val="none" w:sz="0" w:space="0" w:color="auto"/>
                                                  </w:divBdr>
                                                  <w:divsChild>
                                                    <w:div w:id="221526275">
                                                      <w:marLeft w:val="0"/>
                                                      <w:marRight w:val="0"/>
                                                      <w:marTop w:val="0"/>
                                                      <w:marBottom w:val="0"/>
                                                      <w:divBdr>
                                                        <w:top w:val="none" w:sz="0" w:space="0" w:color="auto"/>
                                                        <w:left w:val="none" w:sz="0" w:space="0" w:color="auto"/>
                                                        <w:bottom w:val="none" w:sz="0" w:space="0" w:color="auto"/>
                                                        <w:right w:val="none" w:sz="0" w:space="0" w:color="auto"/>
                                                      </w:divBdr>
                                                      <w:divsChild>
                                                        <w:div w:id="119764820">
                                                          <w:marLeft w:val="0"/>
                                                          <w:marRight w:val="0"/>
                                                          <w:marTop w:val="0"/>
                                                          <w:marBottom w:val="0"/>
                                                          <w:divBdr>
                                                            <w:top w:val="none" w:sz="0" w:space="0" w:color="auto"/>
                                                            <w:left w:val="none" w:sz="0" w:space="0" w:color="auto"/>
                                                            <w:bottom w:val="none" w:sz="0" w:space="0" w:color="auto"/>
                                                            <w:right w:val="none" w:sz="0" w:space="0" w:color="auto"/>
                                                          </w:divBdr>
                                                          <w:divsChild>
                                                            <w:div w:id="92726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9065455">
      <w:bodyDiv w:val="1"/>
      <w:marLeft w:val="0"/>
      <w:marRight w:val="0"/>
      <w:marTop w:val="0"/>
      <w:marBottom w:val="0"/>
      <w:divBdr>
        <w:top w:val="none" w:sz="0" w:space="0" w:color="auto"/>
        <w:left w:val="none" w:sz="0" w:space="0" w:color="auto"/>
        <w:bottom w:val="none" w:sz="0" w:space="0" w:color="auto"/>
        <w:right w:val="none" w:sz="0" w:space="0" w:color="auto"/>
      </w:divBdr>
    </w:div>
    <w:div w:id="613945886">
      <w:bodyDiv w:val="1"/>
      <w:marLeft w:val="0"/>
      <w:marRight w:val="0"/>
      <w:marTop w:val="0"/>
      <w:marBottom w:val="0"/>
      <w:divBdr>
        <w:top w:val="none" w:sz="0" w:space="0" w:color="auto"/>
        <w:left w:val="none" w:sz="0" w:space="0" w:color="auto"/>
        <w:bottom w:val="none" w:sz="0" w:space="0" w:color="auto"/>
        <w:right w:val="none" w:sz="0" w:space="0" w:color="auto"/>
      </w:divBdr>
      <w:divsChild>
        <w:div w:id="1876655854">
          <w:marLeft w:val="0"/>
          <w:marRight w:val="0"/>
          <w:marTop w:val="0"/>
          <w:marBottom w:val="0"/>
          <w:divBdr>
            <w:top w:val="none" w:sz="0" w:space="0" w:color="auto"/>
            <w:left w:val="none" w:sz="0" w:space="0" w:color="auto"/>
            <w:bottom w:val="none" w:sz="0" w:space="0" w:color="auto"/>
            <w:right w:val="none" w:sz="0" w:space="0" w:color="auto"/>
          </w:divBdr>
          <w:divsChild>
            <w:div w:id="1858495661">
              <w:marLeft w:val="0"/>
              <w:marRight w:val="0"/>
              <w:marTop w:val="0"/>
              <w:marBottom w:val="0"/>
              <w:divBdr>
                <w:top w:val="none" w:sz="0" w:space="0" w:color="auto"/>
                <w:left w:val="none" w:sz="0" w:space="0" w:color="auto"/>
                <w:bottom w:val="none" w:sz="0" w:space="0" w:color="auto"/>
                <w:right w:val="none" w:sz="0" w:space="0" w:color="auto"/>
              </w:divBdr>
              <w:divsChild>
                <w:div w:id="1163857830">
                  <w:marLeft w:val="0"/>
                  <w:marRight w:val="0"/>
                  <w:marTop w:val="0"/>
                  <w:marBottom w:val="0"/>
                  <w:divBdr>
                    <w:top w:val="none" w:sz="0" w:space="0" w:color="auto"/>
                    <w:left w:val="none" w:sz="0" w:space="0" w:color="auto"/>
                    <w:bottom w:val="none" w:sz="0" w:space="0" w:color="auto"/>
                    <w:right w:val="none" w:sz="0" w:space="0" w:color="auto"/>
                  </w:divBdr>
                  <w:divsChild>
                    <w:div w:id="171797696">
                      <w:marLeft w:val="0"/>
                      <w:marRight w:val="0"/>
                      <w:marTop w:val="0"/>
                      <w:marBottom w:val="0"/>
                      <w:divBdr>
                        <w:top w:val="none" w:sz="0" w:space="0" w:color="auto"/>
                        <w:left w:val="none" w:sz="0" w:space="0" w:color="auto"/>
                        <w:bottom w:val="none" w:sz="0" w:space="0" w:color="auto"/>
                        <w:right w:val="none" w:sz="0" w:space="0" w:color="auto"/>
                      </w:divBdr>
                      <w:divsChild>
                        <w:div w:id="628753585">
                          <w:marLeft w:val="0"/>
                          <w:marRight w:val="0"/>
                          <w:marTop w:val="0"/>
                          <w:marBottom w:val="0"/>
                          <w:divBdr>
                            <w:top w:val="none" w:sz="0" w:space="0" w:color="auto"/>
                            <w:left w:val="none" w:sz="0" w:space="0" w:color="auto"/>
                            <w:bottom w:val="none" w:sz="0" w:space="0" w:color="auto"/>
                            <w:right w:val="none" w:sz="0" w:space="0" w:color="auto"/>
                          </w:divBdr>
                        </w:div>
                      </w:divsChild>
                    </w:div>
                    <w:div w:id="202637559">
                      <w:marLeft w:val="0"/>
                      <w:marRight w:val="0"/>
                      <w:marTop w:val="0"/>
                      <w:marBottom w:val="0"/>
                      <w:divBdr>
                        <w:top w:val="none" w:sz="0" w:space="0" w:color="auto"/>
                        <w:left w:val="none" w:sz="0" w:space="0" w:color="auto"/>
                        <w:bottom w:val="none" w:sz="0" w:space="0" w:color="auto"/>
                        <w:right w:val="none" w:sz="0" w:space="0" w:color="auto"/>
                      </w:divBdr>
                      <w:divsChild>
                        <w:div w:id="65689066">
                          <w:marLeft w:val="0"/>
                          <w:marRight w:val="0"/>
                          <w:marTop w:val="0"/>
                          <w:marBottom w:val="0"/>
                          <w:divBdr>
                            <w:top w:val="none" w:sz="0" w:space="0" w:color="auto"/>
                            <w:left w:val="none" w:sz="0" w:space="0" w:color="auto"/>
                            <w:bottom w:val="none" w:sz="0" w:space="0" w:color="auto"/>
                            <w:right w:val="none" w:sz="0" w:space="0" w:color="auto"/>
                          </w:divBdr>
                        </w:div>
                        <w:div w:id="551842931">
                          <w:marLeft w:val="0"/>
                          <w:marRight w:val="0"/>
                          <w:marTop w:val="0"/>
                          <w:marBottom w:val="0"/>
                          <w:divBdr>
                            <w:top w:val="none" w:sz="0" w:space="0" w:color="auto"/>
                            <w:left w:val="none" w:sz="0" w:space="0" w:color="auto"/>
                            <w:bottom w:val="none" w:sz="0" w:space="0" w:color="auto"/>
                            <w:right w:val="none" w:sz="0" w:space="0" w:color="auto"/>
                          </w:divBdr>
                        </w:div>
                      </w:divsChild>
                    </w:div>
                    <w:div w:id="426120007">
                      <w:marLeft w:val="0"/>
                      <w:marRight w:val="0"/>
                      <w:marTop w:val="0"/>
                      <w:marBottom w:val="0"/>
                      <w:divBdr>
                        <w:top w:val="none" w:sz="0" w:space="0" w:color="auto"/>
                        <w:left w:val="none" w:sz="0" w:space="0" w:color="auto"/>
                        <w:bottom w:val="none" w:sz="0" w:space="0" w:color="auto"/>
                        <w:right w:val="none" w:sz="0" w:space="0" w:color="auto"/>
                      </w:divBdr>
                      <w:divsChild>
                        <w:div w:id="2051605268">
                          <w:marLeft w:val="0"/>
                          <w:marRight w:val="0"/>
                          <w:marTop w:val="0"/>
                          <w:marBottom w:val="0"/>
                          <w:divBdr>
                            <w:top w:val="none" w:sz="0" w:space="0" w:color="auto"/>
                            <w:left w:val="none" w:sz="0" w:space="0" w:color="auto"/>
                            <w:bottom w:val="none" w:sz="0" w:space="0" w:color="auto"/>
                            <w:right w:val="none" w:sz="0" w:space="0" w:color="auto"/>
                          </w:divBdr>
                        </w:div>
                      </w:divsChild>
                    </w:div>
                    <w:div w:id="698049621">
                      <w:marLeft w:val="0"/>
                      <w:marRight w:val="0"/>
                      <w:marTop w:val="0"/>
                      <w:marBottom w:val="0"/>
                      <w:divBdr>
                        <w:top w:val="none" w:sz="0" w:space="0" w:color="auto"/>
                        <w:left w:val="none" w:sz="0" w:space="0" w:color="auto"/>
                        <w:bottom w:val="none" w:sz="0" w:space="0" w:color="auto"/>
                        <w:right w:val="none" w:sz="0" w:space="0" w:color="auto"/>
                      </w:divBdr>
                      <w:divsChild>
                        <w:div w:id="435175483">
                          <w:marLeft w:val="0"/>
                          <w:marRight w:val="0"/>
                          <w:marTop w:val="0"/>
                          <w:marBottom w:val="0"/>
                          <w:divBdr>
                            <w:top w:val="none" w:sz="0" w:space="0" w:color="auto"/>
                            <w:left w:val="none" w:sz="0" w:space="0" w:color="auto"/>
                            <w:bottom w:val="none" w:sz="0" w:space="0" w:color="auto"/>
                            <w:right w:val="none" w:sz="0" w:space="0" w:color="auto"/>
                          </w:divBdr>
                        </w:div>
                      </w:divsChild>
                    </w:div>
                    <w:div w:id="760905454">
                      <w:marLeft w:val="0"/>
                      <w:marRight w:val="0"/>
                      <w:marTop w:val="0"/>
                      <w:marBottom w:val="0"/>
                      <w:divBdr>
                        <w:top w:val="none" w:sz="0" w:space="0" w:color="auto"/>
                        <w:left w:val="none" w:sz="0" w:space="0" w:color="auto"/>
                        <w:bottom w:val="none" w:sz="0" w:space="0" w:color="auto"/>
                        <w:right w:val="none" w:sz="0" w:space="0" w:color="auto"/>
                      </w:divBdr>
                      <w:divsChild>
                        <w:div w:id="291399588">
                          <w:marLeft w:val="0"/>
                          <w:marRight w:val="0"/>
                          <w:marTop w:val="0"/>
                          <w:marBottom w:val="0"/>
                          <w:divBdr>
                            <w:top w:val="none" w:sz="0" w:space="0" w:color="auto"/>
                            <w:left w:val="none" w:sz="0" w:space="0" w:color="auto"/>
                            <w:bottom w:val="none" w:sz="0" w:space="0" w:color="auto"/>
                            <w:right w:val="none" w:sz="0" w:space="0" w:color="auto"/>
                          </w:divBdr>
                        </w:div>
                      </w:divsChild>
                    </w:div>
                    <w:div w:id="763575211">
                      <w:marLeft w:val="0"/>
                      <w:marRight w:val="0"/>
                      <w:marTop w:val="0"/>
                      <w:marBottom w:val="0"/>
                      <w:divBdr>
                        <w:top w:val="none" w:sz="0" w:space="0" w:color="auto"/>
                        <w:left w:val="none" w:sz="0" w:space="0" w:color="auto"/>
                        <w:bottom w:val="none" w:sz="0" w:space="0" w:color="auto"/>
                        <w:right w:val="none" w:sz="0" w:space="0" w:color="auto"/>
                      </w:divBdr>
                      <w:divsChild>
                        <w:div w:id="2045673258">
                          <w:marLeft w:val="0"/>
                          <w:marRight w:val="0"/>
                          <w:marTop w:val="0"/>
                          <w:marBottom w:val="0"/>
                          <w:divBdr>
                            <w:top w:val="none" w:sz="0" w:space="0" w:color="auto"/>
                            <w:left w:val="none" w:sz="0" w:space="0" w:color="auto"/>
                            <w:bottom w:val="none" w:sz="0" w:space="0" w:color="auto"/>
                            <w:right w:val="none" w:sz="0" w:space="0" w:color="auto"/>
                          </w:divBdr>
                        </w:div>
                      </w:divsChild>
                    </w:div>
                    <w:div w:id="861629480">
                      <w:marLeft w:val="0"/>
                      <w:marRight w:val="0"/>
                      <w:marTop w:val="0"/>
                      <w:marBottom w:val="0"/>
                      <w:divBdr>
                        <w:top w:val="none" w:sz="0" w:space="0" w:color="auto"/>
                        <w:left w:val="none" w:sz="0" w:space="0" w:color="auto"/>
                        <w:bottom w:val="none" w:sz="0" w:space="0" w:color="auto"/>
                        <w:right w:val="none" w:sz="0" w:space="0" w:color="auto"/>
                      </w:divBdr>
                      <w:divsChild>
                        <w:div w:id="594628948">
                          <w:marLeft w:val="0"/>
                          <w:marRight w:val="0"/>
                          <w:marTop w:val="0"/>
                          <w:marBottom w:val="0"/>
                          <w:divBdr>
                            <w:top w:val="none" w:sz="0" w:space="0" w:color="auto"/>
                            <w:left w:val="none" w:sz="0" w:space="0" w:color="auto"/>
                            <w:bottom w:val="none" w:sz="0" w:space="0" w:color="auto"/>
                            <w:right w:val="none" w:sz="0" w:space="0" w:color="auto"/>
                          </w:divBdr>
                        </w:div>
                      </w:divsChild>
                    </w:div>
                    <w:div w:id="942683704">
                      <w:marLeft w:val="0"/>
                      <w:marRight w:val="0"/>
                      <w:marTop w:val="0"/>
                      <w:marBottom w:val="0"/>
                      <w:divBdr>
                        <w:top w:val="none" w:sz="0" w:space="0" w:color="auto"/>
                        <w:left w:val="none" w:sz="0" w:space="0" w:color="auto"/>
                        <w:bottom w:val="none" w:sz="0" w:space="0" w:color="auto"/>
                        <w:right w:val="none" w:sz="0" w:space="0" w:color="auto"/>
                      </w:divBdr>
                      <w:divsChild>
                        <w:div w:id="1851918038">
                          <w:marLeft w:val="0"/>
                          <w:marRight w:val="0"/>
                          <w:marTop w:val="0"/>
                          <w:marBottom w:val="0"/>
                          <w:divBdr>
                            <w:top w:val="none" w:sz="0" w:space="0" w:color="auto"/>
                            <w:left w:val="none" w:sz="0" w:space="0" w:color="auto"/>
                            <w:bottom w:val="none" w:sz="0" w:space="0" w:color="auto"/>
                            <w:right w:val="none" w:sz="0" w:space="0" w:color="auto"/>
                          </w:divBdr>
                        </w:div>
                      </w:divsChild>
                    </w:div>
                    <w:div w:id="1161001599">
                      <w:marLeft w:val="0"/>
                      <w:marRight w:val="0"/>
                      <w:marTop w:val="0"/>
                      <w:marBottom w:val="0"/>
                      <w:divBdr>
                        <w:top w:val="none" w:sz="0" w:space="0" w:color="auto"/>
                        <w:left w:val="none" w:sz="0" w:space="0" w:color="auto"/>
                        <w:bottom w:val="none" w:sz="0" w:space="0" w:color="auto"/>
                        <w:right w:val="none" w:sz="0" w:space="0" w:color="auto"/>
                      </w:divBdr>
                      <w:divsChild>
                        <w:div w:id="1666854443">
                          <w:marLeft w:val="0"/>
                          <w:marRight w:val="0"/>
                          <w:marTop w:val="0"/>
                          <w:marBottom w:val="0"/>
                          <w:divBdr>
                            <w:top w:val="none" w:sz="0" w:space="0" w:color="auto"/>
                            <w:left w:val="none" w:sz="0" w:space="0" w:color="auto"/>
                            <w:bottom w:val="none" w:sz="0" w:space="0" w:color="auto"/>
                            <w:right w:val="none" w:sz="0" w:space="0" w:color="auto"/>
                          </w:divBdr>
                        </w:div>
                      </w:divsChild>
                    </w:div>
                    <w:div w:id="1267152964">
                      <w:marLeft w:val="0"/>
                      <w:marRight w:val="0"/>
                      <w:marTop w:val="0"/>
                      <w:marBottom w:val="0"/>
                      <w:divBdr>
                        <w:top w:val="none" w:sz="0" w:space="0" w:color="auto"/>
                        <w:left w:val="none" w:sz="0" w:space="0" w:color="auto"/>
                        <w:bottom w:val="none" w:sz="0" w:space="0" w:color="auto"/>
                        <w:right w:val="none" w:sz="0" w:space="0" w:color="auto"/>
                      </w:divBdr>
                      <w:divsChild>
                        <w:div w:id="787971379">
                          <w:marLeft w:val="0"/>
                          <w:marRight w:val="0"/>
                          <w:marTop w:val="0"/>
                          <w:marBottom w:val="0"/>
                          <w:divBdr>
                            <w:top w:val="none" w:sz="0" w:space="0" w:color="auto"/>
                            <w:left w:val="none" w:sz="0" w:space="0" w:color="auto"/>
                            <w:bottom w:val="none" w:sz="0" w:space="0" w:color="auto"/>
                            <w:right w:val="none" w:sz="0" w:space="0" w:color="auto"/>
                          </w:divBdr>
                        </w:div>
                      </w:divsChild>
                    </w:div>
                    <w:div w:id="1509831336">
                      <w:marLeft w:val="0"/>
                      <w:marRight w:val="0"/>
                      <w:marTop w:val="0"/>
                      <w:marBottom w:val="0"/>
                      <w:divBdr>
                        <w:top w:val="none" w:sz="0" w:space="0" w:color="auto"/>
                        <w:left w:val="none" w:sz="0" w:space="0" w:color="auto"/>
                        <w:bottom w:val="none" w:sz="0" w:space="0" w:color="auto"/>
                        <w:right w:val="none" w:sz="0" w:space="0" w:color="auto"/>
                      </w:divBdr>
                      <w:divsChild>
                        <w:div w:id="966206409">
                          <w:marLeft w:val="0"/>
                          <w:marRight w:val="0"/>
                          <w:marTop w:val="0"/>
                          <w:marBottom w:val="0"/>
                          <w:divBdr>
                            <w:top w:val="none" w:sz="0" w:space="0" w:color="auto"/>
                            <w:left w:val="none" w:sz="0" w:space="0" w:color="auto"/>
                            <w:bottom w:val="none" w:sz="0" w:space="0" w:color="auto"/>
                            <w:right w:val="none" w:sz="0" w:space="0" w:color="auto"/>
                          </w:divBdr>
                        </w:div>
                      </w:divsChild>
                    </w:div>
                    <w:div w:id="1722316630">
                      <w:marLeft w:val="0"/>
                      <w:marRight w:val="0"/>
                      <w:marTop w:val="0"/>
                      <w:marBottom w:val="0"/>
                      <w:divBdr>
                        <w:top w:val="none" w:sz="0" w:space="0" w:color="auto"/>
                        <w:left w:val="none" w:sz="0" w:space="0" w:color="auto"/>
                        <w:bottom w:val="none" w:sz="0" w:space="0" w:color="auto"/>
                        <w:right w:val="none" w:sz="0" w:space="0" w:color="auto"/>
                      </w:divBdr>
                      <w:divsChild>
                        <w:div w:id="1921215088">
                          <w:marLeft w:val="0"/>
                          <w:marRight w:val="0"/>
                          <w:marTop w:val="0"/>
                          <w:marBottom w:val="0"/>
                          <w:divBdr>
                            <w:top w:val="none" w:sz="0" w:space="0" w:color="auto"/>
                            <w:left w:val="none" w:sz="0" w:space="0" w:color="auto"/>
                            <w:bottom w:val="none" w:sz="0" w:space="0" w:color="auto"/>
                            <w:right w:val="none" w:sz="0" w:space="0" w:color="auto"/>
                          </w:divBdr>
                        </w:div>
                      </w:divsChild>
                    </w:div>
                    <w:div w:id="1777402112">
                      <w:marLeft w:val="0"/>
                      <w:marRight w:val="0"/>
                      <w:marTop w:val="0"/>
                      <w:marBottom w:val="0"/>
                      <w:divBdr>
                        <w:top w:val="none" w:sz="0" w:space="0" w:color="auto"/>
                        <w:left w:val="none" w:sz="0" w:space="0" w:color="auto"/>
                        <w:bottom w:val="none" w:sz="0" w:space="0" w:color="auto"/>
                        <w:right w:val="none" w:sz="0" w:space="0" w:color="auto"/>
                      </w:divBdr>
                      <w:divsChild>
                        <w:div w:id="505898444">
                          <w:marLeft w:val="0"/>
                          <w:marRight w:val="0"/>
                          <w:marTop w:val="0"/>
                          <w:marBottom w:val="0"/>
                          <w:divBdr>
                            <w:top w:val="none" w:sz="0" w:space="0" w:color="auto"/>
                            <w:left w:val="none" w:sz="0" w:space="0" w:color="auto"/>
                            <w:bottom w:val="none" w:sz="0" w:space="0" w:color="auto"/>
                            <w:right w:val="none" w:sz="0" w:space="0" w:color="auto"/>
                          </w:divBdr>
                        </w:div>
                      </w:divsChild>
                    </w:div>
                    <w:div w:id="1817646789">
                      <w:marLeft w:val="0"/>
                      <w:marRight w:val="0"/>
                      <w:marTop w:val="0"/>
                      <w:marBottom w:val="0"/>
                      <w:divBdr>
                        <w:top w:val="none" w:sz="0" w:space="0" w:color="auto"/>
                        <w:left w:val="none" w:sz="0" w:space="0" w:color="auto"/>
                        <w:bottom w:val="none" w:sz="0" w:space="0" w:color="auto"/>
                        <w:right w:val="none" w:sz="0" w:space="0" w:color="auto"/>
                      </w:divBdr>
                      <w:divsChild>
                        <w:div w:id="108248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078401">
      <w:bodyDiv w:val="1"/>
      <w:marLeft w:val="0"/>
      <w:marRight w:val="0"/>
      <w:marTop w:val="0"/>
      <w:marBottom w:val="0"/>
      <w:divBdr>
        <w:top w:val="none" w:sz="0" w:space="0" w:color="auto"/>
        <w:left w:val="none" w:sz="0" w:space="0" w:color="auto"/>
        <w:bottom w:val="none" w:sz="0" w:space="0" w:color="auto"/>
        <w:right w:val="none" w:sz="0" w:space="0" w:color="auto"/>
      </w:divBdr>
    </w:div>
    <w:div w:id="811219758">
      <w:bodyDiv w:val="1"/>
      <w:marLeft w:val="0"/>
      <w:marRight w:val="0"/>
      <w:marTop w:val="0"/>
      <w:marBottom w:val="0"/>
      <w:divBdr>
        <w:top w:val="none" w:sz="0" w:space="0" w:color="auto"/>
        <w:left w:val="none" w:sz="0" w:space="0" w:color="auto"/>
        <w:bottom w:val="none" w:sz="0" w:space="0" w:color="auto"/>
        <w:right w:val="none" w:sz="0" w:space="0" w:color="auto"/>
      </w:divBdr>
    </w:div>
    <w:div w:id="826819983">
      <w:bodyDiv w:val="1"/>
      <w:marLeft w:val="0"/>
      <w:marRight w:val="0"/>
      <w:marTop w:val="0"/>
      <w:marBottom w:val="0"/>
      <w:divBdr>
        <w:top w:val="none" w:sz="0" w:space="0" w:color="auto"/>
        <w:left w:val="none" w:sz="0" w:space="0" w:color="auto"/>
        <w:bottom w:val="none" w:sz="0" w:space="0" w:color="auto"/>
        <w:right w:val="none" w:sz="0" w:space="0" w:color="auto"/>
      </w:divBdr>
    </w:div>
    <w:div w:id="836312538">
      <w:bodyDiv w:val="1"/>
      <w:marLeft w:val="0"/>
      <w:marRight w:val="0"/>
      <w:marTop w:val="0"/>
      <w:marBottom w:val="0"/>
      <w:divBdr>
        <w:top w:val="none" w:sz="0" w:space="0" w:color="auto"/>
        <w:left w:val="none" w:sz="0" w:space="0" w:color="auto"/>
        <w:bottom w:val="none" w:sz="0" w:space="0" w:color="auto"/>
        <w:right w:val="none" w:sz="0" w:space="0" w:color="auto"/>
      </w:divBdr>
    </w:div>
    <w:div w:id="843133560">
      <w:bodyDiv w:val="1"/>
      <w:marLeft w:val="0"/>
      <w:marRight w:val="0"/>
      <w:marTop w:val="0"/>
      <w:marBottom w:val="0"/>
      <w:divBdr>
        <w:top w:val="none" w:sz="0" w:space="0" w:color="auto"/>
        <w:left w:val="none" w:sz="0" w:space="0" w:color="auto"/>
        <w:bottom w:val="none" w:sz="0" w:space="0" w:color="auto"/>
        <w:right w:val="none" w:sz="0" w:space="0" w:color="auto"/>
      </w:divBdr>
    </w:div>
    <w:div w:id="862521911">
      <w:bodyDiv w:val="1"/>
      <w:marLeft w:val="0"/>
      <w:marRight w:val="0"/>
      <w:marTop w:val="0"/>
      <w:marBottom w:val="0"/>
      <w:divBdr>
        <w:top w:val="none" w:sz="0" w:space="0" w:color="auto"/>
        <w:left w:val="none" w:sz="0" w:space="0" w:color="auto"/>
        <w:bottom w:val="none" w:sz="0" w:space="0" w:color="auto"/>
        <w:right w:val="none" w:sz="0" w:space="0" w:color="auto"/>
      </w:divBdr>
    </w:div>
    <w:div w:id="992222646">
      <w:bodyDiv w:val="1"/>
      <w:marLeft w:val="0"/>
      <w:marRight w:val="0"/>
      <w:marTop w:val="0"/>
      <w:marBottom w:val="0"/>
      <w:divBdr>
        <w:top w:val="none" w:sz="0" w:space="0" w:color="auto"/>
        <w:left w:val="none" w:sz="0" w:space="0" w:color="auto"/>
        <w:bottom w:val="none" w:sz="0" w:space="0" w:color="auto"/>
        <w:right w:val="none" w:sz="0" w:space="0" w:color="auto"/>
      </w:divBdr>
    </w:div>
    <w:div w:id="1090005019">
      <w:bodyDiv w:val="1"/>
      <w:marLeft w:val="0"/>
      <w:marRight w:val="0"/>
      <w:marTop w:val="0"/>
      <w:marBottom w:val="0"/>
      <w:divBdr>
        <w:top w:val="none" w:sz="0" w:space="0" w:color="auto"/>
        <w:left w:val="none" w:sz="0" w:space="0" w:color="auto"/>
        <w:bottom w:val="none" w:sz="0" w:space="0" w:color="auto"/>
        <w:right w:val="none" w:sz="0" w:space="0" w:color="auto"/>
      </w:divBdr>
    </w:div>
    <w:div w:id="1202353767">
      <w:bodyDiv w:val="1"/>
      <w:marLeft w:val="0"/>
      <w:marRight w:val="0"/>
      <w:marTop w:val="0"/>
      <w:marBottom w:val="0"/>
      <w:divBdr>
        <w:top w:val="none" w:sz="0" w:space="0" w:color="auto"/>
        <w:left w:val="none" w:sz="0" w:space="0" w:color="auto"/>
        <w:bottom w:val="none" w:sz="0" w:space="0" w:color="auto"/>
        <w:right w:val="none" w:sz="0" w:space="0" w:color="auto"/>
      </w:divBdr>
      <w:divsChild>
        <w:div w:id="863254187">
          <w:marLeft w:val="0"/>
          <w:marRight w:val="0"/>
          <w:marTop w:val="0"/>
          <w:marBottom w:val="0"/>
          <w:divBdr>
            <w:top w:val="none" w:sz="0" w:space="0" w:color="auto"/>
            <w:left w:val="none" w:sz="0" w:space="0" w:color="auto"/>
            <w:bottom w:val="none" w:sz="0" w:space="0" w:color="auto"/>
            <w:right w:val="none" w:sz="0" w:space="0" w:color="auto"/>
          </w:divBdr>
          <w:divsChild>
            <w:div w:id="253637762">
              <w:marLeft w:val="0"/>
              <w:marRight w:val="0"/>
              <w:marTop w:val="0"/>
              <w:marBottom w:val="0"/>
              <w:divBdr>
                <w:top w:val="none" w:sz="0" w:space="0" w:color="auto"/>
                <w:left w:val="none" w:sz="0" w:space="0" w:color="auto"/>
                <w:bottom w:val="none" w:sz="0" w:space="0" w:color="auto"/>
                <w:right w:val="none" w:sz="0" w:space="0" w:color="auto"/>
              </w:divBdr>
              <w:divsChild>
                <w:div w:id="344527186">
                  <w:marLeft w:val="0"/>
                  <w:marRight w:val="0"/>
                  <w:marTop w:val="0"/>
                  <w:marBottom w:val="0"/>
                  <w:divBdr>
                    <w:top w:val="none" w:sz="0" w:space="0" w:color="auto"/>
                    <w:left w:val="none" w:sz="0" w:space="0" w:color="auto"/>
                    <w:bottom w:val="none" w:sz="0" w:space="0" w:color="auto"/>
                    <w:right w:val="none" w:sz="0" w:space="0" w:color="auto"/>
                  </w:divBdr>
                </w:div>
                <w:div w:id="1128553779">
                  <w:marLeft w:val="0"/>
                  <w:marRight w:val="0"/>
                  <w:marTop w:val="0"/>
                  <w:marBottom w:val="0"/>
                  <w:divBdr>
                    <w:top w:val="none" w:sz="0" w:space="0" w:color="auto"/>
                    <w:left w:val="none" w:sz="0" w:space="0" w:color="auto"/>
                    <w:bottom w:val="none" w:sz="0" w:space="0" w:color="auto"/>
                    <w:right w:val="none" w:sz="0" w:space="0" w:color="auto"/>
                  </w:divBdr>
                </w:div>
              </w:divsChild>
            </w:div>
            <w:div w:id="403798007">
              <w:marLeft w:val="0"/>
              <w:marRight w:val="0"/>
              <w:marTop w:val="0"/>
              <w:marBottom w:val="0"/>
              <w:divBdr>
                <w:top w:val="none" w:sz="0" w:space="0" w:color="auto"/>
                <w:left w:val="none" w:sz="0" w:space="0" w:color="auto"/>
                <w:bottom w:val="none" w:sz="0" w:space="0" w:color="auto"/>
                <w:right w:val="none" w:sz="0" w:space="0" w:color="auto"/>
              </w:divBdr>
            </w:div>
            <w:div w:id="559053550">
              <w:marLeft w:val="0"/>
              <w:marRight w:val="0"/>
              <w:marTop w:val="0"/>
              <w:marBottom w:val="0"/>
              <w:divBdr>
                <w:top w:val="none" w:sz="0" w:space="0" w:color="auto"/>
                <w:left w:val="none" w:sz="0" w:space="0" w:color="auto"/>
                <w:bottom w:val="none" w:sz="0" w:space="0" w:color="auto"/>
                <w:right w:val="none" w:sz="0" w:space="0" w:color="auto"/>
              </w:divBdr>
            </w:div>
            <w:div w:id="1120761499">
              <w:marLeft w:val="0"/>
              <w:marRight w:val="0"/>
              <w:marTop w:val="0"/>
              <w:marBottom w:val="0"/>
              <w:divBdr>
                <w:top w:val="none" w:sz="0" w:space="0" w:color="auto"/>
                <w:left w:val="none" w:sz="0" w:space="0" w:color="auto"/>
                <w:bottom w:val="none" w:sz="0" w:space="0" w:color="auto"/>
                <w:right w:val="none" w:sz="0" w:space="0" w:color="auto"/>
              </w:divBdr>
              <w:divsChild>
                <w:div w:id="262107252">
                  <w:marLeft w:val="0"/>
                  <w:marRight w:val="0"/>
                  <w:marTop w:val="0"/>
                  <w:marBottom w:val="0"/>
                  <w:divBdr>
                    <w:top w:val="none" w:sz="0" w:space="0" w:color="auto"/>
                    <w:left w:val="none" w:sz="0" w:space="0" w:color="auto"/>
                    <w:bottom w:val="none" w:sz="0" w:space="0" w:color="auto"/>
                    <w:right w:val="none" w:sz="0" w:space="0" w:color="auto"/>
                  </w:divBdr>
                </w:div>
                <w:div w:id="270282422">
                  <w:marLeft w:val="0"/>
                  <w:marRight w:val="0"/>
                  <w:marTop w:val="0"/>
                  <w:marBottom w:val="0"/>
                  <w:divBdr>
                    <w:top w:val="none" w:sz="0" w:space="0" w:color="auto"/>
                    <w:left w:val="none" w:sz="0" w:space="0" w:color="auto"/>
                    <w:bottom w:val="none" w:sz="0" w:space="0" w:color="auto"/>
                    <w:right w:val="none" w:sz="0" w:space="0" w:color="auto"/>
                  </w:divBdr>
                </w:div>
                <w:div w:id="272174178">
                  <w:marLeft w:val="0"/>
                  <w:marRight w:val="0"/>
                  <w:marTop w:val="0"/>
                  <w:marBottom w:val="0"/>
                  <w:divBdr>
                    <w:top w:val="none" w:sz="0" w:space="0" w:color="auto"/>
                    <w:left w:val="none" w:sz="0" w:space="0" w:color="auto"/>
                    <w:bottom w:val="none" w:sz="0" w:space="0" w:color="auto"/>
                    <w:right w:val="none" w:sz="0" w:space="0" w:color="auto"/>
                  </w:divBdr>
                </w:div>
                <w:div w:id="323778290">
                  <w:marLeft w:val="0"/>
                  <w:marRight w:val="0"/>
                  <w:marTop w:val="0"/>
                  <w:marBottom w:val="0"/>
                  <w:divBdr>
                    <w:top w:val="none" w:sz="0" w:space="0" w:color="auto"/>
                    <w:left w:val="none" w:sz="0" w:space="0" w:color="auto"/>
                    <w:bottom w:val="none" w:sz="0" w:space="0" w:color="auto"/>
                    <w:right w:val="none" w:sz="0" w:space="0" w:color="auto"/>
                  </w:divBdr>
                </w:div>
                <w:div w:id="326710231">
                  <w:marLeft w:val="0"/>
                  <w:marRight w:val="0"/>
                  <w:marTop w:val="0"/>
                  <w:marBottom w:val="0"/>
                  <w:divBdr>
                    <w:top w:val="none" w:sz="0" w:space="0" w:color="auto"/>
                    <w:left w:val="none" w:sz="0" w:space="0" w:color="auto"/>
                    <w:bottom w:val="none" w:sz="0" w:space="0" w:color="auto"/>
                    <w:right w:val="none" w:sz="0" w:space="0" w:color="auto"/>
                  </w:divBdr>
                </w:div>
                <w:div w:id="351147899">
                  <w:marLeft w:val="0"/>
                  <w:marRight w:val="0"/>
                  <w:marTop w:val="0"/>
                  <w:marBottom w:val="0"/>
                  <w:divBdr>
                    <w:top w:val="none" w:sz="0" w:space="0" w:color="auto"/>
                    <w:left w:val="none" w:sz="0" w:space="0" w:color="auto"/>
                    <w:bottom w:val="none" w:sz="0" w:space="0" w:color="auto"/>
                    <w:right w:val="none" w:sz="0" w:space="0" w:color="auto"/>
                  </w:divBdr>
                </w:div>
                <w:div w:id="432941319">
                  <w:marLeft w:val="0"/>
                  <w:marRight w:val="0"/>
                  <w:marTop w:val="0"/>
                  <w:marBottom w:val="0"/>
                  <w:divBdr>
                    <w:top w:val="none" w:sz="0" w:space="0" w:color="auto"/>
                    <w:left w:val="none" w:sz="0" w:space="0" w:color="auto"/>
                    <w:bottom w:val="none" w:sz="0" w:space="0" w:color="auto"/>
                    <w:right w:val="none" w:sz="0" w:space="0" w:color="auto"/>
                  </w:divBdr>
                </w:div>
                <w:div w:id="493496569">
                  <w:marLeft w:val="0"/>
                  <w:marRight w:val="0"/>
                  <w:marTop w:val="0"/>
                  <w:marBottom w:val="0"/>
                  <w:divBdr>
                    <w:top w:val="none" w:sz="0" w:space="0" w:color="auto"/>
                    <w:left w:val="none" w:sz="0" w:space="0" w:color="auto"/>
                    <w:bottom w:val="none" w:sz="0" w:space="0" w:color="auto"/>
                    <w:right w:val="none" w:sz="0" w:space="0" w:color="auto"/>
                  </w:divBdr>
                </w:div>
                <w:div w:id="570702067">
                  <w:marLeft w:val="0"/>
                  <w:marRight w:val="0"/>
                  <w:marTop w:val="0"/>
                  <w:marBottom w:val="0"/>
                  <w:divBdr>
                    <w:top w:val="none" w:sz="0" w:space="0" w:color="auto"/>
                    <w:left w:val="none" w:sz="0" w:space="0" w:color="auto"/>
                    <w:bottom w:val="none" w:sz="0" w:space="0" w:color="auto"/>
                    <w:right w:val="none" w:sz="0" w:space="0" w:color="auto"/>
                  </w:divBdr>
                </w:div>
                <w:div w:id="648024192">
                  <w:marLeft w:val="0"/>
                  <w:marRight w:val="0"/>
                  <w:marTop w:val="0"/>
                  <w:marBottom w:val="0"/>
                  <w:divBdr>
                    <w:top w:val="none" w:sz="0" w:space="0" w:color="auto"/>
                    <w:left w:val="none" w:sz="0" w:space="0" w:color="auto"/>
                    <w:bottom w:val="none" w:sz="0" w:space="0" w:color="auto"/>
                    <w:right w:val="none" w:sz="0" w:space="0" w:color="auto"/>
                  </w:divBdr>
                </w:div>
                <w:div w:id="693581366">
                  <w:marLeft w:val="0"/>
                  <w:marRight w:val="0"/>
                  <w:marTop w:val="0"/>
                  <w:marBottom w:val="0"/>
                  <w:divBdr>
                    <w:top w:val="none" w:sz="0" w:space="0" w:color="auto"/>
                    <w:left w:val="none" w:sz="0" w:space="0" w:color="auto"/>
                    <w:bottom w:val="none" w:sz="0" w:space="0" w:color="auto"/>
                    <w:right w:val="none" w:sz="0" w:space="0" w:color="auto"/>
                  </w:divBdr>
                </w:div>
                <w:div w:id="732047441">
                  <w:marLeft w:val="0"/>
                  <w:marRight w:val="0"/>
                  <w:marTop w:val="0"/>
                  <w:marBottom w:val="0"/>
                  <w:divBdr>
                    <w:top w:val="none" w:sz="0" w:space="0" w:color="auto"/>
                    <w:left w:val="none" w:sz="0" w:space="0" w:color="auto"/>
                    <w:bottom w:val="none" w:sz="0" w:space="0" w:color="auto"/>
                    <w:right w:val="none" w:sz="0" w:space="0" w:color="auto"/>
                  </w:divBdr>
                </w:div>
                <w:div w:id="800343459">
                  <w:marLeft w:val="0"/>
                  <w:marRight w:val="0"/>
                  <w:marTop w:val="0"/>
                  <w:marBottom w:val="0"/>
                  <w:divBdr>
                    <w:top w:val="none" w:sz="0" w:space="0" w:color="auto"/>
                    <w:left w:val="none" w:sz="0" w:space="0" w:color="auto"/>
                    <w:bottom w:val="none" w:sz="0" w:space="0" w:color="auto"/>
                    <w:right w:val="none" w:sz="0" w:space="0" w:color="auto"/>
                  </w:divBdr>
                </w:div>
                <w:div w:id="932400803">
                  <w:marLeft w:val="0"/>
                  <w:marRight w:val="0"/>
                  <w:marTop w:val="0"/>
                  <w:marBottom w:val="0"/>
                  <w:divBdr>
                    <w:top w:val="none" w:sz="0" w:space="0" w:color="auto"/>
                    <w:left w:val="none" w:sz="0" w:space="0" w:color="auto"/>
                    <w:bottom w:val="none" w:sz="0" w:space="0" w:color="auto"/>
                    <w:right w:val="none" w:sz="0" w:space="0" w:color="auto"/>
                  </w:divBdr>
                </w:div>
                <w:div w:id="972098578">
                  <w:marLeft w:val="0"/>
                  <w:marRight w:val="0"/>
                  <w:marTop w:val="0"/>
                  <w:marBottom w:val="0"/>
                  <w:divBdr>
                    <w:top w:val="none" w:sz="0" w:space="0" w:color="auto"/>
                    <w:left w:val="none" w:sz="0" w:space="0" w:color="auto"/>
                    <w:bottom w:val="none" w:sz="0" w:space="0" w:color="auto"/>
                    <w:right w:val="none" w:sz="0" w:space="0" w:color="auto"/>
                  </w:divBdr>
                </w:div>
                <w:div w:id="1142042011">
                  <w:marLeft w:val="0"/>
                  <w:marRight w:val="0"/>
                  <w:marTop w:val="0"/>
                  <w:marBottom w:val="0"/>
                  <w:divBdr>
                    <w:top w:val="none" w:sz="0" w:space="0" w:color="auto"/>
                    <w:left w:val="none" w:sz="0" w:space="0" w:color="auto"/>
                    <w:bottom w:val="none" w:sz="0" w:space="0" w:color="auto"/>
                    <w:right w:val="none" w:sz="0" w:space="0" w:color="auto"/>
                  </w:divBdr>
                </w:div>
                <w:div w:id="1242372254">
                  <w:marLeft w:val="0"/>
                  <w:marRight w:val="0"/>
                  <w:marTop w:val="0"/>
                  <w:marBottom w:val="0"/>
                  <w:divBdr>
                    <w:top w:val="none" w:sz="0" w:space="0" w:color="auto"/>
                    <w:left w:val="none" w:sz="0" w:space="0" w:color="auto"/>
                    <w:bottom w:val="none" w:sz="0" w:space="0" w:color="auto"/>
                    <w:right w:val="none" w:sz="0" w:space="0" w:color="auto"/>
                  </w:divBdr>
                </w:div>
                <w:div w:id="1484852381">
                  <w:marLeft w:val="0"/>
                  <w:marRight w:val="0"/>
                  <w:marTop w:val="0"/>
                  <w:marBottom w:val="0"/>
                  <w:divBdr>
                    <w:top w:val="none" w:sz="0" w:space="0" w:color="auto"/>
                    <w:left w:val="none" w:sz="0" w:space="0" w:color="auto"/>
                    <w:bottom w:val="none" w:sz="0" w:space="0" w:color="auto"/>
                    <w:right w:val="none" w:sz="0" w:space="0" w:color="auto"/>
                  </w:divBdr>
                </w:div>
                <w:div w:id="1541163245">
                  <w:marLeft w:val="0"/>
                  <w:marRight w:val="0"/>
                  <w:marTop w:val="0"/>
                  <w:marBottom w:val="0"/>
                  <w:divBdr>
                    <w:top w:val="none" w:sz="0" w:space="0" w:color="auto"/>
                    <w:left w:val="none" w:sz="0" w:space="0" w:color="auto"/>
                    <w:bottom w:val="none" w:sz="0" w:space="0" w:color="auto"/>
                    <w:right w:val="none" w:sz="0" w:space="0" w:color="auto"/>
                  </w:divBdr>
                </w:div>
                <w:div w:id="1650014022">
                  <w:marLeft w:val="0"/>
                  <w:marRight w:val="0"/>
                  <w:marTop w:val="0"/>
                  <w:marBottom w:val="0"/>
                  <w:divBdr>
                    <w:top w:val="none" w:sz="0" w:space="0" w:color="auto"/>
                    <w:left w:val="none" w:sz="0" w:space="0" w:color="auto"/>
                    <w:bottom w:val="none" w:sz="0" w:space="0" w:color="auto"/>
                    <w:right w:val="none" w:sz="0" w:space="0" w:color="auto"/>
                  </w:divBdr>
                </w:div>
                <w:div w:id="1666939093">
                  <w:marLeft w:val="0"/>
                  <w:marRight w:val="0"/>
                  <w:marTop w:val="0"/>
                  <w:marBottom w:val="0"/>
                  <w:divBdr>
                    <w:top w:val="none" w:sz="0" w:space="0" w:color="auto"/>
                    <w:left w:val="none" w:sz="0" w:space="0" w:color="auto"/>
                    <w:bottom w:val="none" w:sz="0" w:space="0" w:color="auto"/>
                    <w:right w:val="none" w:sz="0" w:space="0" w:color="auto"/>
                  </w:divBdr>
                </w:div>
                <w:div w:id="1781102211">
                  <w:marLeft w:val="0"/>
                  <w:marRight w:val="0"/>
                  <w:marTop w:val="0"/>
                  <w:marBottom w:val="0"/>
                  <w:divBdr>
                    <w:top w:val="none" w:sz="0" w:space="0" w:color="auto"/>
                    <w:left w:val="none" w:sz="0" w:space="0" w:color="auto"/>
                    <w:bottom w:val="none" w:sz="0" w:space="0" w:color="auto"/>
                    <w:right w:val="none" w:sz="0" w:space="0" w:color="auto"/>
                  </w:divBdr>
                </w:div>
                <w:div w:id="1947695066">
                  <w:marLeft w:val="0"/>
                  <w:marRight w:val="0"/>
                  <w:marTop w:val="0"/>
                  <w:marBottom w:val="0"/>
                  <w:divBdr>
                    <w:top w:val="none" w:sz="0" w:space="0" w:color="auto"/>
                    <w:left w:val="none" w:sz="0" w:space="0" w:color="auto"/>
                    <w:bottom w:val="none" w:sz="0" w:space="0" w:color="auto"/>
                    <w:right w:val="none" w:sz="0" w:space="0" w:color="auto"/>
                  </w:divBdr>
                </w:div>
                <w:div w:id="2013101814">
                  <w:marLeft w:val="0"/>
                  <w:marRight w:val="0"/>
                  <w:marTop w:val="0"/>
                  <w:marBottom w:val="0"/>
                  <w:divBdr>
                    <w:top w:val="none" w:sz="0" w:space="0" w:color="auto"/>
                    <w:left w:val="none" w:sz="0" w:space="0" w:color="auto"/>
                    <w:bottom w:val="none" w:sz="0" w:space="0" w:color="auto"/>
                    <w:right w:val="none" w:sz="0" w:space="0" w:color="auto"/>
                  </w:divBdr>
                </w:div>
                <w:div w:id="2109766640">
                  <w:marLeft w:val="0"/>
                  <w:marRight w:val="0"/>
                  <w:marTop w:val="0"/>
                  <w:marBottom w:val="0"/>
                  <w:divBdr>
                    <w:top w:val="none" w:sz="0" w:space="0" w:color="auto"/>
                    <w:left w:val="none" w:sz="0" w:space="0" w:color="auto"/>
                    <w:bottom w:val="none" w:sz="0" w:space="0" w:color="auto"/>
                    <w:right w:val="none" w:sz="0" w:space="0" w:color="auto"/>
                  </w:divBdr>
                </w:div>
                <w:div w:id="2114981164">
                  <w:marLeft w:val="0"/>
                  <w:marRight w:val="0"/>
                  <w:marTop w:val="0"/>
                  <w:marBottom w:val="0"/>
                  <w:divBdr>
                    <w:top w:val="none" w:sz="0" w:space="0" w:color="auto"/>
                    <w:left w:val="none" w:sz="0" w:space="0" w:color="auto"/>
                    <w:bottom w:val="none" w:sz="0" w:space="0" w:color="auto"/>
                    <w:right w:val="none" w:sz="0" w:space="0" w:color="auto"/>
                  </w:divBdr>
                </w:div>
              </w:divsChild>
            </w:div>
            <w:div w:id="1617104513">
              <w:marLeft w:val="0"/>
              <w:marRight w:val="0"/>
              <w:marTop w:val="0"/>
              <w:marBottom w:val="0"/>
              <w:divBdr>
                <w:top w:val="none" w:sz="0" w:space="0" w:color="auto"/>
                <w:left w:val="none" w:sz="0" w:space="0" w:color="auto"/>
                <w:bottom w:val="none" w:sz="0" w:space="0" w:color="auto"/>
                <w:right w:val="none" w:sz="0" w:space="0" w:color="auto"/>
              </w:divBdr>
            </w:div>
            <w:div w:id="21297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71899">
      <w:bodyDiv w:val="1"/>
      <w:marLeft w:val="0"/>
      <w:marRight w:val="0"/>
      <w:marTop w:val="0"/>
      <w:marBottom w:val="0"/>
      <w:divBdr>
        <w:top w:val="none" w:sz="0" w:space="0" w:color="auto"/>
        <w:left w:val="none" w:sz="0" w:space="0" w:color="auto"/>
        <w:bottom w:val="none" w:sz="0" w:space="0" w:color="auto"/>
        <w:right w:val="none" w:sz="0" w:space="0" w:color="auto"/>
      </w:divBdr>
    </w:div>
    <w:div w:id="1256133009">
      <w:bodyDiv w:val="1"/>
      <w:marLeft w:val="0"/>
      <w:marRight w:val="0"/>
      <w:marTop w:val="0"/>
      <w:marBottom w:val="0"/>
      <w:divBdr>
        <w:top w:val="none" w:sz="0" w:space="0" w:color="auto"/>
        <w:left w:val="none" w:sz="0" w:space="0" w:color="auto"/>
        <w:bottom w:val="none" w:sz="0" w:space="0" w:color="auto"/>
        <w:right w:val="none" w:sz="0" w:space="0" w:color="auto"/>
      </w:divBdr>
    </w:div>
    <w:div w:id="1360547634">
      <w:bodyDiv w:val="1"/>
      <w:marLeft w:val="0"/>
      <w:marRight w:val="0"/>
      <w:marTop w:val="0"/>
      <w:marBottom w:val="0"/>
      <w:divBdr>
        <w:top w:val="none" w:sz="0" w:space="0" w:color="auto"/>
        <w:left w:val="none" w:sz="0" w:space="0" w:color="auto"/>
        <w:bottom w:val="none" w:sz="0" w:space="0" w:color="auto"/>
        <w:right w:val="none" w:sz="0" w:space="0" w:color="auto"/>
      </w:divBdr>
    </w:div>
    <w:div w:id="1509515177">
      <w:bodyDiv w:val="1"/>
      <w:marLeft w:val="0"/>
      <w:marRight w:val="0"/>
      <w:marTop w:val="0"/>
      <w:marBottom w:val="0"/>
      <w:divBdr>
        <w:top w:val="none" w:sz="0" w:space="0" w:color="auto"/>
        <w:left w:val="none" w:sz="0" w:space="0" w:color="auto"/>
        <w:bottom w:val="none" w:sz="0" w:space="0" w:color="auto"/>
        <w:right w:val="none" w:sz="0" w:space="0" w:color="auto"/>
      </w:divBdr>
    </w:div>
    <w:div w:id="1709834464">
      <w:bodyDiv w:val="1"/>
      <w:marLeft w:val="0"/>
      <w:marRight w:val="0"/>
      <w:marTop w:val="0"/>
      <w:marBottom w:val="0"/>
      <w:divBdr>
        <w:top w:val="none" w:sz="0" w:space="0" w:color="auto"/>
        <w:left w:val="none" w:sz="0" w:space="0" w:color="auto"/>
        <w:bottom w:val="none" w:sz="0" w:space="0" w:color="auto"/>
        <w:right w:val="none" w:sz="0" w:space="0" w:color="auto"/>
      </w:divBdr>
      <w:divsChild>
        <w:div w:id="796990966">
          <w:marLeft w:val="0"/>
          <w:marRight w:val="0"/>
          <w:marTop w:val="0"/>
          <w:marBottom w:val="0"/>
          <w:divBdr>
            <w:top w:val="none" w:sz="0" w:space="0" w:color="auto"/>
            <w:left w:val="none" w:sz="0" w:space="0" w:color="auto"/>
            <w:bottom w:val="none" w:sz="0" w:space="0" w:color="auto"/>
            <w:right w:val="none" w:sz="0" w:space="0" w:color="auto"/>
          </w:divBdr>
          <w:divsChild>
            <w:div w:id="456680413">
              <w:marLeft w:val="0"/>
              <w:marRight w:val="0"/>
              <w:marTop w:val="0"/>
              <w:marBottom w:val="0"/>
              <w:divBdr>
                <w:top w:val="none" w:sz="0" w:space="0" w:color="auto"/>
                <w:left w:val="none" w:sz="0" w:space="0" w:color="auto"/>
                <w:bottom w:val="none" w:sz="0" w:space="0" w:color="auto"/>
                <w:right w:val="none" w:sz="0" w:space="0" w:color="auto"/>
              </w:divBdr>
              <w:divsChild>
                <w:div w:id="1425344613">
                  <w:marLeft w:val="0"/>
                  <w:marRight w:val="0"/>
                  <w:marTop w:val="0"/>
                  <w:marBottom w:val="0"/>
                  <w:divBdr>
                    <w:top w:val="none" w:sz="0" w:space="0" w:color="auto"/>
                    <w:left w:val="none" w:sz="0" w:space="0" w:color="auto"/>
                    <w:bottom w:val="none" w:sz="0" w:space="0" w:color="auto"/>
                    <w:right w:val="none" w:sz="0" w:space="0" w:color="auto"/>
                  </w:divBdr>
                  <w:divsChild>
                    <w:div w:id="1978604551">
                      <w:marLeft w:val="0"/>
                      <w:marRight w:val="0"/>
                      <w:marTop w:val="0"/>
                      <w:marBottom w:val="0"/>
                      <w:divBdr>
                        <w:top w:val="none" w:sz="0" w:space="0" w:color="auto"/>
                        <w:left w:val="none" w:sz="0" w:space="0" w:color="auto"/>
                        <w:bottom w:val="none" w:sz="0" w:space="0" w:color="auto"/>
                        <w:right w:val="none" w:sz="0" w:space="0" w:color="auto"/>
                      </w:divBdr>
                      <w:divsChild>
                        <w:div w:id="305480021">
                          <w:marLeft w:val="0"/>
                          <w:marRight w:val="0"/>
                          <w:marTop w:val="0"/>
                          <w:marBottom w:val="0"/>
                          <w:divBdr>
                            <w:top w:val="none" w:sz="0" w:space="0" w:color="auto"/>
                            <w:left w:val="none" w:sz="0" w:space="0" w:color="auto"/>
                            <w:bottom w:val="none" w:sz="0" w:space="0" w:color="auto"/>
                            <w:right w:val="none" w:sz="0" w:space="0" w:color="auto"/>
                          </w:divBdr>
                          <w:divsChild>
                            <w:div w:id="1490170500">
                              <w:marLeft w:val="0"/>
                              <w:marRight w:val="0"/>
                              <w:marTop w:val="0"/>
                              <w:marBottom w:val="0"/>
                              <w:divBdr>
                                <w:top w:val="none" w:sz="0" w:space="0" w:color="auto"/>
                                <w:left w:val="none" w:sz="0" w:space="0" w:color="auto"/>
                                <w:bottom w:val="none" w:sz="0" w:space="0" w:color="auto"/>
                                <w:right w:val="none" w:sz="0" w:space="0" w:color="auto"/>
                              </w:divBdr>
                              <w:divsChild>
                                <w:div w:id="28989879">
                                  <w:marLeft w:val="0"/>
                                  <w:marRight w:val="0"/>
                                  <w:marTop w:val="0"/>
                                  <w:marBottom w:val="0"/>
                                  <w:divBdr>
                                    <w:top w:val="none" w:sz="0" w:space="0" w:color="auto"/>
                                    <w:left w:val="none" w:sz="0" w:space="0" w:color="auto"/>
                                    <w:bottom w:val="none" w:sz="0" w:space="0" w:color="auto"/>
                                    <w:right w:val="none" w:sz="0" w:space="0" w:color="auto"/>
                                  </w:divBdr>
                                  <w:divsChild>
                                    <w:div w:id="787046960">
                                      <w:marLeft w:val="0"/>
                                      <w:marRight w:val="0"/>
                                      <w:marTop w:val="0"/>
                                      <w:marBottom w:val="0"/>
                                      <w:divBdr>
                                        <w:top w:val="none" w:sz="0" w:space="0" w:color="auto"/>
                                        <w:left w:val="none" w:sz="0" w:space="0" w:color="auto"/>
                                        <w:bottom w:val="none" w:sz="0" w:space="0" w:color="auto"/>
                                        <w:right w:val="none" w:sz="0" w:space="0" w:color="auto"/>
                                      </w:divBdr>
                                      <w:divsChild>
                                        <w:div w:id="961039393">
                                          <w:marLeft w:val="0"/>
                                          <w:marRight w:val="0"/>
                                          <w:marTop w:val="0"/>
                                          <w:marBottom w:val="0"/>
                                          <w:divBdr>
                                            <w:top w:val="none" w:sz="0" w:space="0" w:color="auto"/>
                                            <w:left w:val="none" w:sz="0" w:space="0" w:color="auto"/>
                                            <w:bottom w:val="none" w:sz="0" w:space="0" w:color="auto"/>
                                            <w:right w:val="none" w:sz="0" w:space="0" w:color="auto"/>
                                          </w:divBdr>
                                          <w:divsChild>
                                            <w:div w:id="199443555">
                                              <w:marLeft w:val="0"/>
                                              <w:marRight w:val="0"/>
                                              <w:marTop w:val="0"/>
                                              <w:marBottom w:val="0"/>
                                              <w:divBdr>
                                                <w:top w:val="none" w:sz="0" w:space="0" w:color="auto"/>
                                                <w:left w:val="none" w:sz="0" w:space="0" w:color="auto"/>
                                                <w:bottom w:val="none" w:sz="0" w:space="0" w:color="auto"/>
                                                <w:right w:val="none" w:sz="0" w:space="0" w:color="auto"/>
                                              </w:divBdr>
                                              <w:divsChild>
                                                <w:div w:id="480587619">
                                                  <w:marLeft w:val="0"/>
                                                  <w:marRight w:val="0"/>
                                                  <w:marTop w:val="0"/>
                                                  <w:marBottom w:val="0"/>
                                                  <w:divBdr>
                                                    <w:top w:val="none" w:sz="0" w:space="0" w:color="auto"/>
                                                    <w:left w:val="none" w:sz="0" w:space="0" w:color="auto"/>
                                                    <w:bottom w:val="none" w:sz="0" w:space="0" w:color="auto"/>
                                                    <w:right w:val="none" w:sz="0" w:space="0" w:color="auto"/>
                                                  </w:divBdr>
                                                  <w:divsChild>
                                                    <w:div w:id="331372504">
                                                      <w:marLeft w:val="0"/>
                                                      <w:marRight w:val="0"/>
                                                      <w:marTop w:val="0"/>
                                                      <w:marBottom w:val="0"/>
                                                      <w:divBdr>
                                                        <w:top w:val="none" w:sz="0" w:space="0" w:color="auto"/>
                                                        <w:left w:val="none" w:sz="0" w:space="0" w:color="auto"/>
                                                        <w:bottom w:val="none" w:sz="0" w:space="0" w:color="auto"/>
                                                        <w:right w:val="none" w:sz="0" w:space="0" w:color="auto"/>
                                                      </w:divBdr>
                                                      <w:divsChild>
                                                        <w:div w:id="1559585736">
                                                          <w:marLeft w:val="0"/>
                                                          <w:marRight w:val="0"/>
                                                          <w:marTop w:val="0"/>
                                                          <w:marBottom w:val="0"/>
                                                          <w:divBdr>
                                                            <w:top w:val="none" w:sz="0" w:space="0" w:color="auto"/>
                                                            <w:left w:val="none" w:sz="0" w:space="0" w:color="auto"/>
                                                            <w:bottom w:val="none" w:sz="0" w:space="0" w:color="auto"/>
                                                            <w:right w:val="none" w:sz="0" w:space="0" w:color="auto"/>
                                                          </w:divBdr>
                                                          <w:divsChild>
                                                            <w:div w:id="177408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94585897">
      <w:bodyDiv w:val="1"/>
      <w:marLeft w:val="0"/>
      <w:marRight w:val="0"/>
      <w:marTop w:val="0"/>
      <w:marBottom w:val="0"/>
      <w:divBdr>
        <w:top w:val="none" w:sz="0" w:space="0" w:color="auto"/>
        <w:left w:val="none" w:sz="0" w:space="0" w:color="auto"/>
        <w:bottom w:val="none" w:sz="0" w:space="0" w:color="auto"/>
        <w:right w:val="none" w:sz="0" w:space="0" w:color="auto"/>
      </w:divBdr>
    </w:div>
    <w:div w:id="1913154424">
      <w:bodyDiv w:val="1"/>
      <w:marLeft w:val="0"/>
      <w:marRight w:val="0"/>
      <w:marTop w:val="0"/>
      <w:marBottom w:val="0"/>
      <w:divBdr>
        <w:top w:val="none" w:sz="0" w:space="0" w:color="auto"/>
        <w:left w:val="none" w:sz="0" w:space="0" w:color="auto"/>
        <w:bottom w:val="none" w:sz="0" w:space="0" w:color="auto"/>
        <w:right w:val="none" w:sz="0" w:space="0" w:color="auto"/>
      </w:divBdr>
    </w:div>
    <w:div w:id="1919361731">
      <w:bodyDiv w:val="1"/>
      <w:marLeft w:val="0"/>
      <w:marRight w:val="0"/>
      <w:marTop w:val="0"/>
      <w:marBottom w:val="0"/>
      <w:divBdr>
        <w:top w:val="none" w:sz="0" w:space="0" w:color="auto"/>
        <w:left w:val="none" w:sz="0" w:space="0" w:color="auto"/>
        <w:bottom w:val="none" w:sz="0" w:space="0" w:color="auto"/>
        <w:right w:val="none" w:sz="0" w:space="0" w:color="auto"/>
      </w:divBdr>
    </w:div>
    <w:div w:id="2119448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info.undp.org/sites/ERM/SitePages/ERM%20Risk%20Categories.aspx" TargetMode="External"/><Relationship Id="rId21" Type="http://schemas.openxmlformats.org/officeDocument/2006/relationships/header" Target="header5.xml"/><Relationship Id="rId42" Type="http://schemas.openxmlformats.org/officeDocument/2006/relationships/hyperlink" Target="https://drive.google.com/drive/u/1/folders/15Ao8MsAyNKmWZ6qqHersB9Y5EG0JXX1b" TargetMode="External"/><Relationship Id="rId47" Type="http://schemas.openxmlformats.org/officeDocument/2006/relationships/hyperlink" Target="https://docs.google.com/document/d/1Xlt4m81yVkvMW4VgwAk6-99RUEdzZE8H/edit" TargetMode="External"/><Relationship Id="rId63" Type="http://schemas.openxmlformats.org/officeDocument/2006/relationships/hyperlink" Target="https://docs.google.com/document/d/1Xlt4m81yVkvMW4VgwAk6-99RUEdzZE8H/edit" TargetMode="External"/><Relationship Id="rId68" Type="http://schemas.openxmlformats.org/officeDocument/2006/relationships/hyperlink" Target="https://docs.google.com/document/d/1Xlt4m81yVkvMW4VgwAk6-99RUEdzZE8H/edit" TargetMode="External"/><Relationship Id="rId84" Type="http://schemas.openxmlformats.org/officeDocument/2006/relationships/hyperlink" Target="https://docs.google.com/document/d/1Xlt4m81yVkvMW4VgwAk6-99RUEdzZE8H/edit" TargetMode="External"/><Relationship Id="rId89" Type="http://schemas.openxmlformats.org/officeDocument/2006/relationships/hyperlink" Target="https://docs.google.com/document/d/1Xlt4m81yVkvMW4VgwAk6-99RUEdzZE8H/edit" TargetMode="External"/><Relationship Id="rId16" Type="http://schemas.openxmlformats.org/officeDocument/2006/relationships/header" Target="header3.xml"/><Relationship Id="rId11" Type="http://schemas.openxmlformats.org/officeDocument/2006/relationships/hyperlink" Target="https://mptf.undp.org/" TargetMode="External"/><Relationship Id="rId32" Type="http://schemas.openxmlformats.org/officeDocument/2006/relationships/hyperlink" Target="https://www.un.org/preventing-sexual-exploitation-and-abuse/fr" TargetMode="External"/><Relationship Id="rId37" Type="http://schemas.openxmlformats.org/officeDocument/2006/relationships/hyperlink" Target="https://www.undp.org/fr/publications/la-strategie-pour-legalite-entre-les-hommes-et-les-femmes-2022-2025" TargetMode="External"/><Relationship Id="rId53" Type="http://schemas.openxmlformats.org/officeDocument/2006/relationships/hyperlink" Target="https://docs.google.com/document/d/1Xlt4m81yVkvMW4VgwAk6-99RUEdzZE8H/edit" TargetMode="External"/><Relationship Id="rId58" Type="http://schemas.openxmlformats.org/officeDocument/2006/relationships/hyperlink" Target="https://docs.google.com/document/d/1Xlt4m81yVkvMW4VgwAk6-99RUEdzZE8H/edit" TargetMode="External"/><Relationship Id="rId74" Type="http://schemas.openxmlformats.org/officeDocument/2006/relationships/hyperlink" Target="https://docs.google.com/document/d/1Xlt4m81yVkvMW4VgwAk6-99RUEdzZE8H/edit" TargetMode="External"/><Relationship Id="rId79" Type="http://schemas.openxmlformats.org/officeDocument/2006/relationships/hyperlink" Target="https://docs.google.com/document/d/1Xlt4m81yVkvMW4VgwAk6-99RUEdzZE8H/edit" TargetMode="External"/><Relationship Id="rId5" Type="http://schemas.openxmlformats.org/officeDocument/2006/relationships/numbering" Target="numbering.xml"/><Relationship Id="rId90" Type="http://schemas.openxmlformats.org/officeDocument/2006/relationships/hyperlink" Target="https://docs.google.com/document/d/1Xlt4m81yVkvMW4VgwAk6-99RUEdzZE8H/edit" TargetMode="External"/><Relationship Id="rId95" Type="http://schemas.openxmlformats.org/officeDocument/2006/relationships/theme" Target="theme/theme1.xml"/><Relationship Id="rId22" Type="http://schemas.openxmlformats.org/officeDocument/2006/relationships/header" Target="header6.xml"/><Relationship Id="rId27" Type="http://schemas.openxmlformats.org/officeDocument/2006/relationships/image" Target="media/image4.png"/><Relationship Id="rId43" Type="http://schemas.openxmlformats.org/officeDocument/2006/relationships/hyperlink" Target="https://docs.google.com/document/d/1Xlt4m81yVkvMW4VgwAk6-99RUEdzZE8H/edit" TargetMode="External"/><Relationship Id="rId48" Type="http://schemas.openxmlformats.org/officeDocument/2006/relationships/hyperlink" Target="https://docs.google.com/document/d/1Xlt4m81yVkvMW4VgwAk6-99RUEdzZE8H/edit" TargetMode="External"/><Relationship Id="rId64" Type="http://schemas.openxmlformats.org/officeDocument/2006/relationships/hyperlink" Target="https://docs.google.com/document/d/1Xlt4m81yVkvMW4VgwAk6-99RUEdzZE8H/edit" TargetMode="External"/><Relationship Id="rId69" Type="http://schemas.openxmlformats.org/officeDocument/2006/relationships/hyperlink" Target="https://docs.google.com/document/d/1Xlt4m81yVkvMW4VgwAk6-99RUEdzZE8H/edit" TargetMode="External"/><Relationship Id="rId8" Type="http://schemas.openxmlformats.org/officeDocument/2006/relationships/webSettings" Target="webSettings.xml"/><Relationship Id="rId51" Type="http://schemas.openxmlformats.org/officeDocument/2006/relationships/hyperlink" Target="https://docs.google.com/document/d/1Xlt4m81yVkvMW4VgwAk6-99RUEdzZE8H/edit" TargetMode="External"/><Relationship Id="rId72" Type="http://schemas.openxmlformats.org/officeDocument/2006/relationships/hyperlink" Target="https://docs.google.com/document/d/1Xlt4m81yVkvMW4VgwAk6-99RUEdzZE8H/edit" TargetMode="External"/><Relationship Id="rId80" Type="http://schemas.openxmlformats.org/officeDocument/2006/relationships/hyperlink" Target="https://docs.google.com/document/d/1Xlt4m81yVkvMW4VgwAk6-99RUEdzZE8H/edit" TargetMode="External"/><Relationship Id="rId85" Type="http://schemas.openxmlformats.org/officeDocument/2006/relationships/hyperlink" Target="https://docs.google.com/document/d/1Xlt4m81yVkvMW4VgwAk6-99RUEdzZE8H/edit" TargetMode="External"/><Relationship Id="rId93" Type="http://schemas.openxmlformats.org/officeDocument/2006/relationships/header" Target="header11.xml"/><Relationship Id="rId3" Type="http://schemas.openxmlformats.org/officeDocument/2006/relationships/customXml" Target="../customXml/item3.xml"/><Relationship Id="rId12" Type="http://schemas.openxmlformats.org/officeDocument/2006/relationships/chart" Target="charts/chart1.xml"/><Relationship Id="rId17" Type="http://schemas.openxmlformats.org/officeDocument/2006/relationships/footer" Target="footer2.xml"/><Relationship Id="rId25" Type="http://schemas.openxmlformats.org/officeDocument/2006/relationships/hyperlink" Target="https://info.undp.org/sites/ERM/SitePages/ERM%20Risk%20Categories.aspx" TargetMode="External"/><Relationship Id="rId33" Type="http://schemas.openxmlformats.org/officeDocument/2006/relationships/hyperlink" Target="https://www.undp.org/sites/g/files/zskgke326/files/publications/UNDP%20SES%202021_French.pdf" TargetMode="External"/><Relationship Id="rId38" Type="http://schemas.openxmlformats.org/officeDocument/2006/relationships/hyperlink" Target="https://www.undp.org/sites/g/files/zskgke326/files/2023-03/undp-sn-Brochure-info-HAS-2023.pdf" TargetMode="External"/><Relationship Id="rId46" Type="http://schemas.openxmlformats.org/officeDocument/2006/relationships/hyperlink" Target="https://docs.google.com/document/d/1Xlt4m81yVkvMW4VgwAk6-99RUEdzZE8H/edit" TargetMode="External"/><Relationship Id="rId59" Type="http://schemas.openxmlformats.org/officeDocument/2006/relationships/hyperlink" Target="https://docs.google.com/document/d/1Xlt4m81yVkvMW4VgwAk6-99RUEdzZE8H/edit" TargetMode="External"/><Relationship Id="rId67" Type="http://schemas.openxmlformats.org/officeDocument/2006/relationships/hyperlink" Target="https://docs.google.com/document/d/1Xlt4m81yVkvMW4VgwAk6-99RUEdzZE8H/edit" TargetMode="External"/><Relationship Id="rId20" Type="http://schemas.openxmlformats.org/officeDocument/2006/relationships/hyperlink" Target="https://documents-dds-ny.un.org/doc/UNDOC/GEN/N22/315/18/pdf/N2231518.pdf?OpenElement" TargetMode="External"/><Relationship Id="rId41" Type="http://schemas.openxmlformats.org/officeDocument/2006/relationships/hyperlink" Target="https://www.undp.org/fr/responsabilite/audit/bureau-de-verification-et-denquete" TargetMode="External"/><Relationship Id="rId54" Type="http://schemas.openxmlformats.org/officeDocument/2006/relationships/hyperlink" Target="https://docs.google.com/document/d/1Xlt4m81yVkvMW4VgwAk6-99RUEdzZE8H/edit" TargetMode="External"/><Relationship Id="rId62" Type="http://schemas.openxmlformats.org/officeDocument/2006/relationships/hyperlink" Target="https://docs.google.com/document/d/1Xlt4m81yVkvMW4VgwAk6-99RUEdzZE8H/edit" TargetMode="External"/><Relationship Id="rId70" Type="http://schemas.openxmlformats.org/officeDocument/2006/relationships/hyperlink" Target="https://docs.google.com/document/d/1Xlt4m81yVkvMW4VgwAk6-99RUEdzZE8H/edit" TargetMode="External"/><Relationship Id="rId75" Type="http://schemas.openxmlformats.org/officeDocument/2006/relationships/hyperlink" Target="https://docs.google.com/document/d/1Xlt4m81yVkvMW4VgwAk6-99RUEdzZE8H/edit" TargetMode="External"/><Relationship Id="rId83" Type="http://schemas.openxmlformats.org/officeDocument/2006/relationships/hyperlink" Target="https://docs.google.com/document/d/1Xlt4m81yVkvMW4VgwAk6-99RUEdzZE8H/edit" TargetMode="External"/><Relationship Id="rId88" Type="http://schemas.openxmlformats.org/officeDocument/2006/relationships/hyperlink" Target="https://docs.google.com/document/d/1Xlt4m81yVkvMW4VgwAk6-99RUEdzZE8H/edit" TargetMode="External"/><Relationship Id="rId91" Type="http://schemas.openxmlformats.org/officeDocument/2006/relationships/hyperlink" Target="https://docs.google.com/document/d/1Xlt4m81yVkvMW4VgwAk6-99RUEdzZE8H/edit"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yperlink" Target="https://documents-dds-ny.un.org/doc/UNDOC/GEN/N22/315/18/pdf/N2231518.pdf?OpenElement" TargetMode="External"/><Relationship Id="rId49" Type="http://schemas.openxmlformats.org/officeDocument/2006/relationships/hyperlink" Target="https://docs.google.com/document/d/1Xlt4m81yVkvMW4VgwAk6-99RUEdzZE8H/edit" TargetMode="External"/><Relationship Id="rId57" Type="http://schemas.openxmlformats.org/officeDocument/2006/relationships/hyperlink" Target="https://docs.google.com/document/d/1Xlt4m81yVkvMW4VgwAk6-99RUEdzZE8H/edit" TargetMode="External"/><Relationship Id="rId10" Type="http://schemas.openxmlformats.org/officeDocument/2006/relationships/endnotes" Target="endnotes.xml"/><Relationship Id="rId31" Type="http://schemas.openxmlformats.org/officeDocument/2006/relationships/hyperlink" Target="https://www.undp.org/sites/g/files/zskgke326/files/2023-03/undp-sn-Brochure-info-HAS-2023.pdf" TargetMode="External"/><Relationship Id="rId44" Type="http://schemas.openxmlformats.org/officeDocument/2006/relationships/hyperlink" Target="https://docs.google.com/document/d/1Xlt4m81yVkvMW4VgwAk6-99RUEdzZE8H/edit" TargetMode="External"/><Relationship Id="rId52" Type="http://schemas.openxmlformats.org/officeDocument/2006/relationships/hyperlink" Target="https://docs.google.com/document/d/1Xlt4m81yVkvMW4VgwAk6-99RUEdzZE8H/edit" TargetMode="External"/><Relationship Id="rId60" Type="http://schemas.openxmlformats.org/officeDocument/2006/relationships/hyperlink" Target="https://docs.google.com/document/d/1Xlt4m81yVkvMW4VgwAk6-99RUEdzZE8H/edit" TargetMode="External"/><Relationship Id="rId65" Type="http://schemas.openxmlformats.org/officeDocument/2006/relationships/hyperlink" Target="https://docs.google.com/document/d/1Xlt4m81yVkvMW4VgwAk6-99RUEdzZE8H/edit" TargetMode="External"/><Relationship Id="rId73" Type="http://schemas.openxmlformats.org/officeDocument/2006/relationships/hyperlink" Target="https://docs.google.com/document/d/1Xlt4m81yVkvMW4VgwAk6-99RUEdzZE8H/edit" TargetMode="External"/><Relationship Id="rId78" Type="http://schemas.openxmlformats.org/officeDocument/2006/relationships/hyperlink" Target="https://docs.google.com/document/d/1Xlt4m81yVkvMW4VgwAk6-99RUEdzZE8H/edit" TargetMode="External"/><Relationship Id="rId81" Type="http://schemas.openxmlformats.org/officeDocument/2006/relationships/hyperlink" Target="https://docs.google.com/document/d/1Xlt4m81yVkvMW4VgwAk6-99RUEdzZE8H/edit" TargetMode="External"/><Relationship Id="rId86" Type="http://schemas.openxmlformats.org/officeDocument/2006/relationships/hyperlink" Target="https://docs.google.com/document/d/1Xlt4m81yVkvMW4VgwAk6-99RUEdzZE8H/edit"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39" Type="http://schemas.openxmlformats.org/officeDocument/2006/relationships/hyperlink" Target="https://www.un.org/preventing-sexual-exploitation-and-abuse/fr" TargetMode="External"/><Relationship Id="rId34" Type="http://schemas.openxmlformats.org/officeDocument/2006/relationships/hyperlink" Target="https://www.undp.org/fr/responsabilite/audit/bureau-de-verification-et-denquete" TargetMode="External"/><Relationship Id="rId50" Type="http://schemas.openxmlformats.org/officeDocument/2006/relationships/hyperlink" Target="https://docs.google.com/document/d/1Xlt4m81yVkvMW4VgwAk6-99RUEdzZE8H/edit" TargetMode="External"/><Relationship Id="rId55" Type="http://schemas.openxmlformats.org/officeDocument/2006/relationships/hyperlink" Target="https://docs.google.com/document/d/1Xlt4m81yVkvMW4VgwAk6-99RUEdzZE8H/edit" TargetMode="External"/><Relationship Id="rId76" Type="http://schemas.openxmlformats.org/officeDocument/2006/relationships/hyperlink" Target="https://docs.google.com/document/d/1Xlt4m81yVkvMW4VgwAk6-99RUEdzZE8H/edit" TargetMode="External"/><Relationship Id="rId7" Type="http://schemas.openxmlformats.org/officeDocument/2006/relationships/settings" Target="settings.xml"/><Relationship Id="rId71" Type="http://schemas.openxmlformats.org/officeDocument/2006/relationships/hyperlink" Target="https://docs.google.com/document/d/1Xlt4m81yVkvMW4VgwAk6-99RUEdzZE8H/edit" TargetMode="External"/><Relationship Id="rId92" Type="http://schemas.openxmlformats.org/officeDocument/2006/relationships/hyperlink" Target="https://drive.google.com/drive/folders/1Xjnbe72SjBLbXzvjCQHmNDsRT3ktEhhj" TargetMode="External"/><Relationship Id="rId2" Type="http://schemas.openxmlformats.org/officeDocument/2006/relationships/customXml" Target="../customXml/item2.xml"/><Relationship Id="rId29" Type="http://schemas.openxmlformats.org/officeDocument/2006/relationships/hyperlink" Target="https://documents-dds-ny.un.org/doc/UNDOC/GEN/N22/315/18/pdf/N2231518.pdf?OpenElement" TargetMode="External"/><Relationship Id="rId24" Type="http://schemas.openxmlformats.org/officeDocument/2006/relationships/header" Target="header8.xml"/><Relationship Id="rId40" Type="http://schemas.openxmlformats.org/officeDocument/2006/relationships/hyperlink" Target="https://www.undp.org/sites/g/files/zskgke326/files/publications/UNDP%20SES%202021_French.pdf" TargetMode="External"/><Relationship Id="rId45" Type="http://schemas.openxmlformats.org/officeDocument/2006/relationships/hyperlink" Target="https://docs.google.com/document/d/1Xlt4m81yVkvMW4VgwAk6-99RUEdzZE8H/edit" TargetMode="External"/><Relationship Id="rId66" Type="http://schemas.openxmlformats.org/officeDocument/2006/relationships/hyperlink" Target="https://docs.google.com/document/d/1Xlt4m81yVkvMW4VgwAk6-99RUEdzZE8H/edit" TargetMode="External"/><Relationship Id="rId87" Type="http://schemas.openxmlformats.org/officeDocument/2006/relationships/hyperlink" Target="https://docs.google.com/document/d/1Xlt4m81yVkvMW4VgwAk6-99RUEdzZE8H/edit" TargetMode="External"/><Relationship Id="rId61" Type="http://schemas.openxmlformats.org/officeDocument/2006/relationships/hyperlink" Target="https://docs.google.com/document/d/1Xlt4m81yVkvMW4VgwAk6-99RUEdzZE8H/edit" TargetMode="External"/><Relationship Id="rId82" Type="http://schemas.openxmlformats.org/officeDocument/2006/relationships/hyperlink" Target="https://docs.google.com/document/d/1Xlt4m81yVkvMW4VgwAk6-99RUEdzZE8H/edit" TargetMode="External"/><Relationship Id="rId19" Type="http://schemas.openxmlformats.org/officeDocument/2006/relationships/hyperlink" Target="https://www.undp.org/fr/drcongo/publications/plan-national-strat%C3%A9gique-de-d%C3%A9veloppement" TargetMode="External"/><Relationship Id="rId14" Type="http://schemas.openxmlformats.org/officeDocument/2006/relationships/footer" Target="footer1.xml"/><Relationship Id="rId30" Type="http://schemas.openxmlformats.org/officeDocument/2006/relationships/hyperlink" Target="https://www.undp.org/fr/publications/la-strategie-pour-legalite-entre-les-hommes-et-les-femmes-2022-2025" TargetMode="External"/><Relationship Id="rId35" Type="http://schemas.openxmlformats.org/officeDocument/2006/relationships/header" Target="header10.xml"/><Relationship Id="rId56" Type="http://schemas.openxmlformats.org/officeDocument/2006/relationships/hyperlink" Target="https://docs.google.com/document/d/1Xlt4m81yVkvMW4VgwAk6-99RUEdzZE8H/edit" TargetMode="External"/><Relationship Id="rId77" Type="http://schemas.openxmlformats.org/officeDocument/2006/relationships/hyperlink" Target="https://docs.google.com/document/d/1Xlt4m81yVkvMW4VgwAk6-99RUEdzZE8H/edi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rive.google.com/drive/folders/10_iMMXrKRFqibYcInziFYhG12g_G78AG?usp=drive_link" TargetMode="External"/><Relationship Id="rId3" Type="http://schemas.openxmlformats.org/officeDocument/2006/relationships/hyperlink" Target="https://actualite.cd/2021/12/12/redd-mai-ndombe-le-projet-era-congo-vendu-125-millions-de-tonnes-de-credit-carbone-entre" TargetMode="External"/><Relationship Id="rId7" Type="http://schemas.openxmlformats.org/officeDocument/2006/relationships/hyperlink" Target="https://www.wrm.org.uy/fr/articles-du-bulletin/le-projet-de-plantation-darbres-dibi-bateke-en-rdc-ou-est-le-succes-tant-vante" TargetMode="External"/><Relationship Id="rId2" Type="http://schemas.openxmlformats.org/officeDocument/2006/relationships/hyperlink" Target="https://www.lemonde.fr/afrique/article/2022/11/10/cop27-en-rdc-la-foret-son-carbone-et-ses-aventuriers_6149286_3212.html" TargetMode="External"/><Relationship Id="rId1" Type="http://schemas.openxmlformats.org/officeDocument/2006/relationships/hyperlink" Target="https://s3.amazonaws.com/CCBA/Projects/Isangi_REDD%2B_Project/Jadora+Isangi+REDD%2B+Project+PDD+Summary+-+french+(2).pdf" TargetMode="External"/><Relationship Id="rId6" Type="http://schemas.openxmlformats.org/officeDocument/2006/relationships/hyperlink" Target="https://www.wwfdrc.org/?38684/Grace-au-WWF-la-province-du-Nord-Kivu-beneficie-de-la-vente-des-credits-carbone" TargetMode="External"/><Relationship Id="rId5" Type="http://schemas.openxmlformats.org/officeDocument/2006/relationships/hyperlink" Target="https://environews-rdc.net/2022/11/11/cop27-era-congo-va-se-deployer-dans-quelques-autres-provinces-forestieres-de-la-rdc/" TargetMode="External"/><Relationship Id="rId10" Type="http://schemas.openxmlformats.org/officeDocument/2006/relationships/hyperlink" Target="https://drive.google.com/drive/u/1/folders/1LC5lNP1Baw9psacLihFgogYgKYJBnJbw" TargetMode="External"/><Relationship Id="rId4" Type="http://schemas.openxmlformats.org/officeDocument/2006/relationships/hyperlink" Target="https://medd.gouv.cd/rdc-vente-carbone-experience-de-era-congo/" TargetMode="External"/><Relationship Id="rId9" Type="http://schemas.openxmlformats.org/officeDocument/2006/relationships/hyperlink" Target="https://drive.google.com/drive/folders/15Ao8MsAyNKmWZ6qqHersB9Y5EG0JXX1b"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3.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koued\Downloads\Traitement_Donn&#233;es_Pro_RDC.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Sheet3!$E$40</c:f>
              <c:strCache>
                <c:ptCount val="1"/>
                <c:pt idx="0">
                  <c:v>Gold Standard </c:v>
                </c:pt>
              </c:strCache>
            </c:strRef>
          </c:tx>
          <c:spPr>
            <a:solidFill>
              <a:schemeClr val="accent1"/>
            </a:solidFill>
            <a:ln>
              <a:noFill/>
            </a:ln>
            <a:effectLst/>
          </c:spPr>
          <c:invertIfNegative val="0"/>
          <c:cat>
            <c:strRef>
              <c:f>Sheet3!$D$41:$D$49</c:f>
              <c:strCache>
                <c:ptCount val="9"/>
                <c:pt idx="0">
                  <c:v>Gold Standard Certified Design</c:v>
                </c:pt>
                <c:pt idx="1">
                  <c:v>Gold Standard Certified Project</c:v>
                </c:pt>
                <c:pt idx="2">
                  <c:v>Listed</c:v>
                </c:pt>
                <c:pt idx="3">
                  <c:v>Registered</c:v>
                </c:pt>
                <c:pt idx="4">
                  <c:v>Registration requested</c:v>
                </c:pt>
                <c:pt idx="5">
                  <c:v>Rejected by Administrator</c:v>
                </c:pt>
                <c:pt idx="6">
                  <c:v>Under development</c:v>
                </c:pt>
                <c:pt idx="7">
                  <c:v>Under validation</c:v>
                </c:pt>
                <c:pt idx="8">
                  <c:v>Withdrawn</c:v>
                </c:pt>
              </c:strCache>
            </c:strRef>
          </c:cat>
          <c:val>
            <c:numRef>
              <c:f>Sheet3!$E$41:$E$49</c:f>
              <c:numCache>
                <c:formatCode>General</c:formatCode>
                <c:ptCount val="9"/>
                <c:pt idx="0">
                  <c:v>6</c:v>
                </c:pt>
                <c:pt idx="1">
                  <c:v>6</c:v>
                </c:pt>
                <c:pt idx="2">
                  <c:v>13</c:v>
                </c:pt>
              </c:numCache>
            </c:numRef>
          </c:val>
          <c:extLst>
            <c:ext xmlns:c16="http://schemas.microsoft.com/office/drawing/2014/chart" uri="{C3380CC4-5D6E-409C-BE32-E72D297353CC}">
              <c16:uniqueId val="{00000000-2534-484C-A3CB-1D39B5D724AF}"/>
            </c:ext>
          </c:extLst>
        </c:ser>
        <c:ser>
          <c:idx val="1"/>
          <c:order val="1"/>
          <c:tx>
            <c:strRef>
              <c:f>Sheet3!$F$40</c:f>
              <c:strCache>
                <c:ptCount val="1"/>
                <c:pt idx="0">
                  <c:v>VCS</c:v>
                </c:pt>
              </c:strCache>
            </c:strRef>
          </c:tx>
          <c:spPr>
            <a:solidFill>
              <a:schemeClr val="accent2"/>
            </a:solidFill>
            <a:ln>
              <a:noFill/>
            </a:ln>
            <a:effectLst/>
          </c:spPr>
          <c:invertIfNegative val="0"/>
          <c:cat>
            <c:strRef>
              <c:f>Sheet3!$D$41:$D$49</c:f>
              <c:strCache>
                <c:ptCount val="9"/>
                <c:pt idx="0">
                  <c:v>Gold Standard Certified Design</c:v>
                </c:pt>
                <c:pt idx="1">
                  <c:v>Gold Standard Certified Project</c:v>
                </c:pt>
                <c:pt idx="2">
                  <c:v>Listed</c:v>
                </c:pt>
                <c:pt idx="3">
                  <c:v>Registered</c:v>
                </c:pt>
                <c:pt idx="4">
                  <c:v>Registration requested</c:v>
                </c:pt>
                <c:pt idx="5">
                  <c:v>Rejected by Administrator</c:v>
                </c:pt>
                <c:pt idx="6">
                  <c:v>Under development</c:v>
                </c:pt>
                <c:pt idx="7">
                  <c:v>Under validation</c:v>
                </c:pt>
                <c:pt idx="8">
                  <c:v>Withdrawn</c:v>
                </c:pt>
              </c:strCache>
            </c:strRef>
          </c:cat>
          <c:val>
            <c:numRef>
              <c:f>Sheet3!$F$41:$F$49</c:f>
              <c:numCache>
                <c:formatCode>General</c:formatCode>
                <c:ptCount val="9"/>
                <c:pt idx="3">
                  <c:v>4</c:v>
                </c:pt>
                <c:pt idx="4">
                  <c:v>2</c:v>
                </c:pt>
                <c:pt idx="5">
                  <c:v>2</c:v>
                </c:pt>
                <c:pt idx="6">
                  <c:v>4</c:v>
                </c:pt>
                <c:pt idx="7">
                  <c:v>6</c:v>
                </c:pt>
                <c:pt idx="8">
                  <c:v>1</c:v>
                </c:pt>
              </c:numCache>
            </c:numRef>
          </c:val>
          <c:extLst>
            <c:ext xmlns:c16="http://schemas.microsoft.com/office/drawing/2014/chart" uri="{C3380CC4-5D6E-409C-BE32-E72D297353CC}">
              <c16:uniqueId val="{00000001-2534-484C-A3CB-1D39B5D724AF}"/>
            </c:ext>
          </c:extLst>
        </c:ser>
        <c:dLbls>
          <c:showLegendKey val="0"/>
          <c:showVal val="0"/>
          <c:showCatName val="0"/>
          <c:showSerName val="0"/>
          <c:showPercent val="0"/>
          <c:showBubbleSize val="0"/>
        </c:dLbls>
        <c:gapWidth val="182"/>
        <c:axId val="1140597503"/>
        <c:axId val="1140597983"/>
      </c:barChart>
      <c:catAx>
        <c:axId val="11405975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40597983"/>
        <c:crosses val="autoZero"/>
        <c:auto val="1"/>
        <c:lblAlgn val="ctr"/>
        <c:lblOffset val="100"/>
        <c:noMultiLvlLbl val="0"/>
      </c:catAx>
      <c:valAx>
        <c:axId val="114059798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140597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B0324 - Dem. Rep. of the Congo</OfficeCountry>
    <DocumentStatus xmlns="d9cf0e28-81d2-4dc7-8b10-820d80ed680d">Approved</DocumentStatus>
    <DocCoverageEndDate xmlns="d9cf0e28-81d2-4dc7-8b10-820d80ed680d">2028-04-30T04:00:00+00:00</DocCoverageEndDate>
    <FunctionalArea xmlns="d9cf0e28-81d2-4dc7-8b10-820d80ed680d" xsi:nil="true"/>
    <FileNameDescription xmlns="d9cf0e28-81d2-4dc7-8b10-820d80ed680d">Document du Projet d'appui au développement des marchés du carbone et la CDN en RDC</FileNameDescription>
    <ProjectNumber xmlns="d9cf0e28-81d2-4dc7-8b10-820d80ed680d">01004093</ProjectNumber>
    <DocumentType xmlns="d9cf0e28-81d2-4dc7-8b10-820d80ed680d">Project Document (Prodoc)</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FocusArea xmlns="d9cf0e28-81d2-4dc7-8b10-820d80ed680d" xsi:nil="true"/>
    <DocCoverageStartDate xmlns="d9cf0e28-81d2-4dc7-8b10-820d80ed680d">2025-05-01T04:00:00+00:00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EB55F-CE2E-4A62-9F26-22267AA730BE}"/>
</file>

<file path=customXml/itemProps2.xml><?xml version="1.0" encoding="utf-8"?>
<ds:datastoreItem xmlns:ds="http://schemas.openxmlformats.org/officeDocument/2006/customXml" ds:itemID="{D423D06C-807A-4B71-9468-342AAA5C8F5E}">
  <ds:schemaRefs>
    <ds:schemaRef ds:uri="http://schemas.microsoft.com/sharepoint/v3/contenttype/forms"/>
  </ds:schemaRefs>
</ds:datastoreItem>
</file>

<file path=customXml/itemProps3.xml><?xml version="1.0" encoding="utf-8"?>
<ds:datastoreItem xmlns:ds="http://schemas.openxmlformats.org/officeDocument/2006/customXml" ds:itemID="{5B2CCBCA-BBAB-44F8-B92C-343368D22454}">
  <ds:schemaRefs>
    <ds:schemaRef ds:uri="http://schemas.microsoft.com/office/2006/metadata/properties"/>
    <ds:schemaRef ds:uri="http://schemas.microsoft.com/office/infopath/2007/PartnerControls"/>
    <ds:schemaRef ds:uri="123383da-b89e-46c1-8fc8-157800a0967e"/>
    <ds:schemaRef ds:uri="79315d5e-3ef5-4d2f-bb8b-05c21f967ddc"/>
  </ds:schemaRefs>
</ds:datastoreItem>
</file>

<file path=customXml/itemProps4.xml><?xml version="1.0" encoding="utf-8"?>
<ds:datastoreItem xmlns:ds="http://schemas.openxmlformats.org/officeDocument/2006/customXml" ds:itemID="{FBA78BFE-08C2-496B-9A77-4480520D4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2035</TotalTime>
  <Pages>115</Pages>
  <Words>40891</Words>
  <Characters>224903</Characters>
  <Application>Microsoft Office Word</Application>
  <DocSecurity>0</DocSecurity>
  <Lines>1874</Lines>
  <Paragraphs>530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du Projet d'appui au développement des marchés du carbone et la CDN en RDC</dc:title>
  <dc:subject/>
  <dc:creator>Didier Mboma</dc:creator>
  <cp:keywords/>
  <dc:description/>
  <cp:lastModifiedBy>Faria Matondo</cp:lastModifiedBy>
  <cp:revision>8</cp:revision>
  <cp:lastPrinted>2024-12-09T14:11:00Z</cp:lastPrinted>
  <dcterms:created xsi:type="dcterms:W3CDTF">2025-02-19T14:13:00Z</dcterms:created>
  <dcterms:modified xsi:type="dcterms:W3CDTF">2025-03-21T08:49:00Z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0a989b0b4a7e2cecc3c5e959fe77835707ceeb37b681f47d0be5fc5a5fc5619f</vt:lpwstr>
  </property>
</Properties>
</file>